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80"/>
      </w:pPr>
      <w:r>
        <w:rPr>
          <w:rFonts w:ascii="Arial" w:hAnsi="Arial"/>
          <w:b/>
          <w:color w:val="232F3E"/>
          <w:sz w:val="40"/>
        </w:rPr>
        <w:t>Skills-based agent with governed MCP tools reference architecture</w:t>
      </w:r>
    </w:p>
    <w:p>
      <w:pPr>
        <w:spacing w:before="0" w:after="80"/>
      </w:pPr>
      <w:r>
        <w:rPr>
          <w:rFonts w:ascii="Arial" w:hAnsi="Arial"/>
          <w:b w:val="0"/>
          <w:color w:val="414D5C"/>
          <w:sz w:val="25"/>
        </w:rPr>
        <w:t>Serve an AI agent and its tools to MCP clients from Amazon Bedrock AgentCore, with every call signed, authorized and logged</w:t>
      </w:r>
    </w:p>
    <w:p>
      <w:pPr>
        <w:pBdr>
          <w:bottom w:val="single" w:sz="12" w:space="4" w:color="FF9900"/>
        </w:pBdr>
        <w:spacing w:before="0" w:after="240"/>
      </w:pPr>
      <w:r>
        <w:rPr>
          <w:rFonts w:ascii="Arial" w:hAnsi="Arial"/>
          <w:b w:val="0"/>
          <w:color w:val="5F6B7A"/>
          <w:sz w:val="17"/>
        </w:rPr>
        <w:t>Prepared by AWS Professional Services   |   Version: 1.0   |   Status: Example   |   Owner: Platform team   |   Audience: Builders who host agents for MCP clients such as Claude Code, Codex and Kiro   |   Classification: Public example   |   Date: 2026-10-16</w:t>
      </w:r>
    </w:p>
    <w:p>
      <w:pPr>
        <w:pStyle w:val="FirstParagraph"/>
        <w:keepNext w:val="1"/>
        <w:spacing w:after="140" w:line="276" w:lineRule="auto"/>
        <w:jc w:val="center"/>
      </w:pPr>
      <w:r>
        <w:rPr>
          <w:rFonts w:ascii="Arial" w:hAnsi="Arial"/>
          <w:color w:val="16191F"/>
          <w:sz w:val="21"/>
        </w:rPr>
        <w:drawing>
          <wp:inline>
            <wp:extent cx="5334000" cy="4395611"/>
            <wp:effectExtent b="0" l="0" r="0" t="0"/>
            <wp:docPr descr="Figure 1. MCP clients call the tools through an AgentCore Gateway; ask_architect hands a whole request to the AgentCore harness" title="" id="10" name="Picture"/>
            <a:graphic>
              <a:graphicData uri="http://schemas.openxmlformats.org/drawingml/2006/picture">
                <pic:pic>
                  <pic:nvPicPr>
                    <pic:cNvPr descr="fig-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5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hAnsi="Arial"/>
          <w:b/>
          <w:color w:val="16191F"/>
          <w:sz w:val="18"/>
        </w:rPr>
        <w:t xml:space="preserve">Figure 1. </w:t>
      </w:r>
      <w:r>
        <w:rPr>
          <w:rFonts w:ascii="Arial" w:hAnsi="Arial"/>
          <w:b w:val="0"/>
          <w:color w:val="414D5C"/>
          <w:sz w:val="18"/>
        </w:rPr>
        <w:t>MCP clients call the tools through an AgentCore Gateway; ask_architect hands a whole request to the AgentCore harness</w:t>
      </w:r>
    </w:p>
    <w:bookmarkStart w:id="12" w:name="_3982030c658dbaf13aeba8bd7a29a561160fdd0"/>
    <w:p>
      <w:pPr>
        <w:pStyle w:val="Heading1"/>
        <w:keepNext w:val="1"/>
        <w:pBdr>
          <w:bottom w:val="single" w:sz="12" w:space="4" w:color="FF9900"/>
        </w:pBdr>
        <w:spacing w:before="400" w:after="120"/>
      </w:pPr>
      <w:r>
        <w:rPr>
          <w:rFonts w:ascii="Arial" w:hAnsi="Arial"/>
          <w:b/>
          <w:color w:val="232F3E"/>
          <w:sz w:val="28"/>
        </w:rPr>
        <w:t xml:space="preserve">How it works</w:t>
      </w:r>
    </w:p>
    <w:p>
      <w:pPr>
        <w:pStyle w:val="Compact"/>
        <w:numPr>
          <w:ilvl w:val="0"/>
          <w:numId w:val="1001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Tool calls</w:t>
      </w:r>
      <w:r>
        <w:rPr>
          <w:rFonts w:ascii="Arial" w:hAnsi="Arial"/>
          <w:color w:val="16191F"/>
          <w:sz w:val="21"/>
        </w:rPr>
        <w:t xml:space="preserve">: a Model Context Protocol (MCP) client signs each call with the caller's AWS credentials through the MCP Proxy for AWS, and the AgentCore Gateway checks it against a default-deny Cedar policy and a per-caller rate limit.</w:t>
      </w:r>
    </w:p>
    <w:p>
      <w:pPr>
        <w:pStyle w:val="Compact"/>
        <w:numPr>
          <w:ilvl w:val="0"/>
          <w:numId w:val="1001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MCP</w:t>
      </w:r>
      <w:r>
        <w:rPr>
          <w:rFonts w:ascii="Arial" w:hAnsi="Arial"/>
          <w:color w:val="16191F"/>
          <w:sz w:val="21"/>
        </w:rPr>
        <w:t xml:space="preserve">: the gateway forwards the call to the MCP server on AgentCore Runtime, which only the gateway role may invoke.</w:t>
      </w:r>
    </w:p>
    <w:p>
      <w:pPr>
        <w:pStyle w:val="Compact"/>
        <w:numPr>
          <w:ilvl w:val="0"/>
          <w:numId w:val="1001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Save</w:t>
      </w:r>
      <w:r>
        <w:rPr>
          <w:rFonts w:ascii="Arial" w:hAnsi="Arial"/>
          <w:color w:val="16191F"/>
          <w:sz w:val="21"/>
        </w:rPr>
        <w:t xml:space="preserve">: the tools render diagrams, run layout checks and build documents, upload the files to Amazon S3 and return presigned links.</w:t>
      </w:r>
    </w:p>
    <w:p>
      <w:pPr>
        <w:pStyle w:val="Compact"/>
        <w:numPr>
          <w:ilvl w:val="0"/>
          <w:numId w:val="1001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ask_architect</w:t>
      </w:r>
      <w:r>
        <w:rPr>
          <w:rFonts w:ascii="Arial" w:hAnsi="Arial"/>
          <w:color w:val="16191F"/>
          <w:sz w:val="21"/>
        </w:rPr>
        <w:t xml:space="preserve">: for a whole request, the tools runtime runs one turn of the AgentCore harness on its pinned endpoint.</w:t>
      </w:r>
    </w:p>
    <w:p>
      <w:pPr>
        <w:pStyle w:val="Compact"/>
        <w:numPr>
          <w:ilvl w:val="0"/>
          <w:numId w:val="1001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Reason</w:t>
      </w:r>
      <w:r>
        <w:rPr>
          <w:rFonts w:ascii="Arial" w:hAnsi="Arial"/>
          <w:color w:val="16191F"/>
          <w:sz w:val="21"/>
        </w:rPr>
        <w:t xml:space="preserve">: the harness reasons with a Claude model on Amazon Bedrock, with a guardrail on every request, and keeps context in AgentCore Memory.</w:t>
      </w:r>
    </w:p>
    <w:p>
      <w:pPr>
        <w:pStyle w:val="Compact"/>
        <w:numPr>
          <w:ilvl w:val="0"/>
          <w:numId w:val="1001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Tools</w:t>
      </w:r>
      <w:r>
        <w:rPr>
          <w:rFonts w:ascii="Arial" w:hAnsi="Arial"/>
          <w:color w:val="16191F"/>
          <w:sz w:val="21"/>
        </w:rPr>
        <w:t xml:space="preserve"> </w:t>
      </w:r>
      <w:r>
        <w:rPr>
          <w:rFonts w:ascii="Arial" w:hAnsi="Arial"/>
          <w:color w:val="16191F"/>
          <w:sz w:val="21"/>
        </w:rPr>
        <w:t xml:space="preserve">and</w:t>
      </w:r>
      <w:r>
        <w:rPr>
          <w:rFonts w:ascii="Arial" w:hAnsi="Arial"/>
          <w:color w:val="16191F"/>
          <w:sz w:val="21"/>
        </w:rPr>
        <w:t xml:space="preserve"> </w:t>
      </w:r>
      <w:r>
        <w:rPr>
          <w:rFonts w:ascii="Arial" w:hAnsi="Arial"/>
          <w:b/>
          <w:bCs/>
          <w:color w:val="16191F"/>
          <w:sz w:val="21"/>
        </w:rPr>
        <w:t xml:space="preserve">Docs</w:t>
      </w:r>
      <w:r>
        <w:rPr>
          <w:rFonts w:ascii="Arial" w:hAnsi="Arial"/>
          <w:color w:val="16191F"/>
          <w:sz w:val="21"/>
        </w:rPr>
        <w:t xml:space="preserve">: the harness calls the same tools through the gateway and reads AWS documentation from the AWS Knowledge MCP Server.</w:t>
      </w:r>
    </w:p>
    <w:bookmarkEnd w:id="12"/>
    <w:bookmarkStart w:id="13" w:name="_2bf866586e34dd6225eaaac754890f090cab79d"/>
    <w:p>
      <w:pPr>
        <w:pStyle w:val="Heading1"/>
        <w:keepNext w:val="1"/>
        <w:pBdr>
          <w:bottom w:val="single" w:sz="12" w:space="4" w:color="FF9900"/>
        </w:pBdr>
        <w:spacing w:before="400" w:after="120"/>
      </w:pPr>
      <w:r>
        <w:rPr>
          <w:rFonts w:ascii="Arial" w:hAnsi="Arial"/>
          <w:b/>
          <w:color w:val="232F3E"/>
          <w:sz w:val="28"/>
        </w:rPr>
        <w:t xml:space="preserve">Services used</w:t>
      </w:r>
    </w:p>
    <w:p>
      <w:pPr>
        <w:pStyle w:val="Compact"/>
        <w:numPr>
          <w:ilvl w:val="0"/>
          <w:numId w:val="1002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Amazon Bedrock AgentCore</w:t>
      </w:r>
      <w:r>
        <w:rPr>
          <w:rFonts w:ascii="Arial" w:hAnsi="Arial"/>
          <w:color w:val="16191F"/>
          <w:sz w:val="21"/>
        </w:rPr>
        <w:t xml:space="preserve">: the harness, the MCP tools runtime, the gateway, Policy, Memory and Evaluations.</w:t>
      </w:r>
    </w:p>
    <w:p>
      <w:pPr>
        <w:pStyle w:val="Compact"/>
        <w:numPr>
          <w:ilvl w:val="0"/>
          <w:numId w:val="1002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Amazon Bedrock</w:t>
      </w:r>
      <w:r>
        <w:rPr>
          <w:rFonts w:ascii="Arial" w:hAnsi="Arial"/>
          <w:color w:val="16191F"/>
          <w:sz w:val="21"/>
        </w:rPr>
        <w:t xml:space="preserve">: the Claude model and the guardrail.</w:t>
      </w:r>
    </w:p>
    <w:p>
      <w:pPr>
        <w:pStyle w:val="Compact"/>
        <w:numPr>
          <w:ilvl w:val="0"/>
          <w:numId w:val="1002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Amazon S3</w:t>
      </w:r>
      <w:r>
        <w:rPr>
          <w:rFonts w:ascii="Arial" w:hAnsi="Arial"/>
          <w:color w:val="16191F"/>
          <w:sz w:val="21"/>
        </w:rPr>
        <w:t xml:space="preserve">: generated figures and documents, expiring after 30 days.</w:t>
      </w:r>
    </w:p>
    <w:p>
      <w:pPr>
        <w:pStyle w:val="Compact"/>
        <w:numPr>
          <w:ilvl w:val="0"/>
          <w:numId w:val="1002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AWS IAM</w:t>
      </w:r>
      <w:r>
        <w:rPr>
          <w:rFonts w:ascii="Arial" w:hAnsi="Arial"/>
          <w:color w:val="16191F"/>
          <w:sz w:val="21"/>
        </w:rPr>
        <w:t xml:space="preserve">: one role per component, each scoped to what it calls.</w:t>
      </w:r>
    </w:p>
    <w:p>
      <w:pPr>
        <w:pStyle w:val="Compact"/>
        <w:numPr>
          <w:ilvl w:val="0"/>
          <w:numId w:val="1002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Amazon CloudWatch</w:t>
      </w:r>
      <w:r>
        <w:rPr>
          <w:rFonts w:ascii="Arial" w:hAnsi="Arial"/>
          <w:color w:val="16191F"/>
          <w:sz w:val="21"/>
        </w:rPr>
        <w:t xml:space="preserve">: traces, alarms, a dashboard and a canary.</w:t>
      </w:r>
    </w:p>
    <w:bookmarkEnd w:id="13"/>
    <w:bookmarkStart w:id="16" w:name="_considerations"/>
    <w:p>
      <w:pPr>
        <w:pStyle w:val="Heading1"/>
        <w:keepNext w:val="1"/>
        <w:pBdr>
          <w:bottom w:val="single" w:sz="12" w:space="4" w:color="FF9900"/>
        </w:pBdr>
        <w:spacing w:before="400" w:after="120"/>
      </w:pPr>
      <w:r>
        <w:rPr>
          <w:rFonts w:ascii="Arial" w:hAnsi="Arial"/>
          <w:b/>
          <w:color w:val="232F3E"/>
          <w:sz w:val="28"/>
        </w:rPr>
        <w:t xml:space="preserve">Considerations</w:t>
      </w:r>
    </w:p>
    <w:p>
      <w:pPr>
        <w:pStyle w:val="Compact"/>
        <w:numPr>
          <w:ilvl w:val="0"/>
          <w:numId w:val="1003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Security</w:t>
      </w:r>
      <w:r>
        <w:rPr>
          <w:rFonts w:ascii="Arial" w:hAnsi="Arial"/>
          <w:color w:val="16191F"/>
          <w:sz w:val="21"/>
        </w:rPr>
        <w:t xml:space="preserve">: keep the harness on SigV4 only, because any caller of a harness can override its model, prompt and tools for a call; users reach it through the gateway.</w:t>
      </w:r>
    </w:p>
    <w:p>
      <w:pPr>
        <w:pStyle w:val="Compact"/>
        <w:numPr>
          <w:ilvl w:val="0"/>
          <w:numId w:val="1003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Cost</w:t>
      </w:r>
      <w:r>
        <w:rPr>
          <w:rFonts w:ascii="Arial" w:hAnsi="Arial"/>
          <w:color w:val="16191F"/>
          <w:sz w:val="21"/>
        </w:rPr>
        <w:t xml:space="preserve">: model tokens are most of the cost of a turn; see</w:t>
      </w:r>
      <w:r>
        <w:rPr>
          <w:rFonts w:ascii="Arial" w:hAnsi="Arial"/>
          <w:color w:val="16191F"/>
          <w:sz w:val="21"/>
        </w:rPr>
        <w:t xml:space="preserve"> </w:t>
      </w:r>
      <w:hyperlink r:id="rId14">
        <w:r>
          <w:rPr>
            <w:rStyle w:val="Hyperlink"/>
          </w:rPr>
          <w:t xml:space="preserve">Amazon Bedrock pricing</w:t>
        </w:r>
      </w:hyperlink>
      <w:r>
        <w:rPr>
          <w:rFonts w:ascii="Arial" w:hAnsi="Arial"/>
          <w:color w:val="16191F"/>
          <w:sz w:val="21"/>
        </w:rPr>
        <w:t xml:space="preserve"> </w:t>
      </w:r>
      <w:r>
        <w:rPr>
          <w:rFonts w:ascii="Arial" w:hAnsi="Arial"/>
          <w:color w:val="16191F"/>
          <w:sz w:val="21"/>
        </w:rPr>
        <w:t xml:space="preserve">and</w:t>
      </w:r>
      <w:r>
        <w:rPr>
          <w:rFonts w:ascii="Arial" w:hAnsi="Arial"/>
          <w:color w:val="16191F"/>
          <w:sz w:val="21"/>
        </w:rPr>
        <w:t xml:space="preserve"> </w:t>
      </w:r>
      <w:hyperlink r:id="rId15">
        <w:r>
          <w:rPr>
            <w:rStyle w:val="Hyperlink"/>
          </w:rPr>
          <w:t xml:space="preserve">Amazon Bedrock AgentCore pricing</w:t>
        </w:r>
      </w:hyperlink>
      <w:r>
        <w:rPr>
          <w:rFonts w:ascii="Arial" w:hAnsi="Arial"/>
          <w:color w:val="16191F"/>
          <w:sz w:val="21"/>
        </w:rPr>
        <w:t xml:space="preserve">.</w:t>
      </w:r>
    </w:p>
    <w:p>
      <w:pPr>
        <w:pStyle w:val="Compact"/>
        <w:numPr>
          <w:ilvl w:val="0"/>
          <w:numId w:val="1003"/>
        </w:numPr>
        <w:spacing w:after="140" w:line="276" w:lineRule="auto"/>
      </w:pPr>
      <w:r>
        <w:rPr>
          <w:rFonts w:ascii="Arial" w:hAnsi="Arial"/>
          <w:b/>
          <w:bCs/>
          <w:color w:val="16191F"/>
          <w:sz w:val="21"/>
        </w:rPr>
        <w:t xml:space="preserve">Operations</w:t>
      </w:r>
      <w:r>
        <w:rPr>
          <w:rFonts w:ascii="Arial" w:hAnsi="Arial"/>
          <w:color w:val="16191F"/>
          <w:sz w:val="21"/>
        </w:rPr>
        <w:t xml:space="preserve">: promote a new agent version to the pinned endpoint only after it passes an evaluation, and alarm on errors, throttles and slow tool calls.</w:t>
      </w:r>
    </w:p>
    <w:bookmarkEnd w:id="16"/>
    <w:sectPr>
      <w:headerReference w:type="default" r:id="rId10"/>
      <w:footerReference w:type="default" r:id="rId11"/>
      <w:footnotePr>
        <w:numRestart w:val="eachSect"/>
      </w:footnotePr>
      <w:pgSz w:w="11906" w:h="16838"/>
      <w:pgMar w:left="1440" w:right="1440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F6B7A"/>
        <w:sz w:val="17"/>
      </w:rPr>
      <w:t xml:space="preserve">Skills-based agent with governed MCP tools reference architecture (v1.0)  |  Public example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" w:hAnsi="Arial"/>
        <w:color w:val="5F6B7A"/>
        <w:sz w:val="17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5DBDB"/>
      </w:pBdr>
      <w:jc w:val="right"/>
    </w:pPr>
    <w:r/>
    <w:r>
      <w:rPr>
        <w:rFonts w:ascii="Arial" w:hAnsi="Arial"/>
        <w:color w:val="5F6B7A"/>
        <w:sz w:val="17"/>
      </w:rPr>
      <w:t>AWS Professional Services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b w:val="0"/>
      <w:i w:val="0"/>
      <w:color w:val="16191F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hAnsi="Arial"/>
      <w:b/>
      <w:i w:val="0"/>
      <w:color w:val="232F3E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hAnsi="Arial"/>
      <w:b/>
      <w:i w:val="0"/>
      <w:color w:val="232F3E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hAnsi="Arial"/>
      <w:b/>
      <w:i w:val="0"/>
      <w:color w:val="232F3E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hAnsi="Arial"/>
      <w:b/>
      <w:i w:val="0"/>
      <w:iCs/>
      <w:color w:val="232F3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5" Type="http://schemas.openxmlformats.org/officeDocument/2006/relationships/hyperlink" Target="https://aws.amazon.com/bedrock/agentcore/pricing/" TargetMode="External"/><Relationship Id="rId14" Type="http://schemas.openxmlformats.org/officeDocument/2006/relationships/hyperlink" Target="https://aws.amazon.com/bedrock/pricing/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aws.amazon.com/bedrock/agentcore/pricing/" TargetMode="External"/><Relationship Id="rId14" Type="http://schemas.openxmlformats.org/officeDocument/2006/relationships/hyperlink" Target="https://aws.amazon.com/bedrock/pri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Skills-based agent with governed MCP tools reference architecture</dc:title>
  <dc:creator>Platform team</dc:creator>
  <cp:keywords/>
  <dcterms:created xsi:type="dcterms:W3CDTF">2026-10-16T02:35:37Z</dcterms:created>
  <dcterms:modified xsi:type="dcterms:W3CDTF">2026-10-16T02:35:37Z</dcterms:modified>
  <dc:subject>Example / Public example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