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3000" w:after="200"/>
        <w:jc w:val="center"/>
      </w:pPr>
      <w:r>
        <w:rPr>
          <w:rFonts w:ascii="Arial" w:hAnsi="Arial"/>
          <w:b/>
          <w:color w:val="232F3E"/>
          <w:sz w:val="50"/>
        </w:rPr>
        <w:t>Retrieval-augmented assistant on Amazon Bedrock high-level design</w:t>
      </w:r>
    </w:p>
    <w:p>
      <w:pPr>
        <w:pBdr>
          <w:bottom w:val="single" w:sz="12" w:space="4" w:color="FF9900"/>
        </w:pBdr>
        <w:spacing w:before="0" w:after="200"/>
        <w:jc w:val="center"/>
      </w:pPr>
      <w:r>
        <w:rPr>
          <w:rFonts w:ascii="Arial" w:hAnsi="Arial"/>
          <w:b w:val="0"/>
          <w:color w:val="414D5C"/>
          <w:sz w:val="32"/>
        </w:rPr>
        <w:t>An internal assistant that answers from a company's own approved documents</w:t>
      </w:r>
    </w:p>
    <w:p>
      <w:pPr>
        <w:spacing w:before="400" w:after="0"/>
        <w:ind w:left="720" w:right="720"/>
        <w:jc w:val="center"/>
      </w:pPr>
      <w:r>
        <w:rPr>
          <w:rFonts w:ascii="Arial" w:hAnsi="Arial"/>
          <w:b w:val="0"/>
          <w:color w:val="414D5C"/>
          <w:sz w:val="22"/>
        </w:rPr>
        <w:t>A worked example of the document shape this plugin produces: an internal assistant that answers from a company's own documents, owned by the platform team.</w:t>
      </w:r>
    </w:p>
    <w:p>
      <w:pPr>
        <w:spacing w:before="800" w:after="0"/>
      </w:pPr>
    </w:p>
    <w:tbl>
      <w:tblPr>
        <w:tblW w:type="dxa" w:w="7220"/>
        <w:jc w:val="center"/>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80" w:type="dxa"/>
          <w:bottom w:w="80" w:type="dxa"/>
          <w:left w:w="140" w:type="dxa"/>
          <w:right w:w="140" w:type="dxa"/>
        </w:tblCellMar>
        <w:tblLook w:firstColumn="1" w:firstRow="1" w:lastColumn="0" w:lastRow="0" w:noHBand="0" w:noVBand="1" w:val="04A0"/>
      </w:tblPr>
      <w:tblGrid>
        <w:gridCol w:w="2599"/>
        <w:gridCol w:w="4621"/>
      </w:tblGrid>
      <w:tr>
        <w:trPr>
          <w:cantSplit/>
        </w:trPr>
        <w:tc>
          <w:tcPr>
            <w:tcW w:type="dxa" w:w="4513"/>
            <w:tcW w:w="2599" w:type="dxa"/>
            <w:shd w:val="clear" w:fill="F2F3F3"/>
          </w:tcPr>
          <w:p>
            <w:pPr>
              <w:spacing w:after="0"/>
            </w:pPr>
            <w:r>
              <w:rPr>
                <w:rFonts w:ascii="Arial" w:hAnsi="Arial"/>
                <w:b/>
                <w:color w:val="16191F"/>
                <w:sz w:val="20"/>
              </w:rPr>
              <w:t>Prepared by</w:t>
            </w:r>
          </w:p>
        </w:tc>
        <w:tc>
          <w:tcPr>
            <w:tcW w:type="dxa" w:w="4513"/>
            <w:tcW w:w="4621" w:type="dxa"/>
          </w:tcPr>
          <w:p>
            <w:pPr>
              <w:spacing w:after="0"/>
            </w:pPr>
            <w:r>
              <w:rPr>
                <w:rFonts w:ascii="Arial" w:hAnsi="Arial"/>
                <w:color w:val="16191F"/>
                <w:sz w:val="20"/>
              </w:rPr>
              <w:t>AWS Professional Services</w:t>
            </w:r>
          </w:p>
        </w:tc>
      </w:tr>
      <w:tr>
        <w:trPr>
          <w:cantSplit/>
        </w:trPr>
        <w:tc>
          <w:tcPr>
            <w:tcW w:type="dxa" w:w="4513"/>
            <w:tcW w:w="2599" w:type="dxa"/>
            <w:shd w:val="clear" w:fill="F2F3F3"/>
          </w:tcPr>
          <w:p>
            <w:pPr>
              <w:spacing w:after="0"/>
            </w:pPr>
            <w:r>
              <w:rPr>
                <w:rFonts w:ascii="Arial" w:hAnsi="Arial"/>
                <w:b/>
                <w:color w:val="16191F"/>
                <w:sz w:val="20"/>
              </w:rPr>
              <w:t>Prepared for</w:t>
            </w:r>
          </w:p>
        </w:tc>
        <w:tc>
          <w:tcPr>
            <w:tcW w:type="dxa" w:w="4513"/>
            <w:tcW w:w="4621" w:type="dxa"/>
          </w:tcPr>
          <w:p>
            <w:pPr>
              <w:spacing w:after="0"/>
            </w:pPr>
            <w:r>
              <w:rPr>
                <w:rFonts w:ascii="Arial" w:hAnsi="Arial"/>
                <w:color w:val="16191F"/>
                <w:sz w:val="20"/>
              </w:rPr>
              <w:t>AnyCompany</w:t>
            </w:r>
          </w:p>
        </w:tc>
      </w:tr>
      <w:tr>
        <w:trPr>
          <w:cantSplit/>
        </w:trPr>
        <w:tc>
          <w:tcPr>
            <w:tcW w:type="dxa" w:w="4513"/>
            <w:tcW w:w="2599" w:type="dxa"/>
            <w:shd w:val="clear" w:fill="F2F3F3"/>
          </w:tcPr>
          <w:p>
            <w:pPr>
              <w:spacing w:after="0"/>
            </w:pPr>
            <w:r>
              <w:rPr>
                <w:rFonts w:ascii="Arial" w:hAnsi="Arial"/>
                <w:b/>
                <w:color w:val="16191F"/>
                <w:sz w:val="20"/>
              </w:rPr>
              <w:t>Version</w:t>
            </w:r>
          </w:p>
        </w:tc>
        <w:tc>
          <w:tcPr>
            <w:tcW w:type="dxa" w:w="4513"/>
            <w:tcW w:w="4621" w:type="dxa"/>
          </w:tcPr>
          <w:p>
            <w:pPr>
              <w:spacing w:after="0"/>
            </w:pPr>
            <w:r>
              <w:rPr>
                <w:rFonts w:ascii="Arial" w:hAnsi="Arial"/>
                <w:color w:val="16191F"/>
                <w:sz w:val="20"/>
              </w:rPr>
              <w:t>1.1</w:t>
            </w:r>
          </w:p>
        </w:tc>
      </w:tr>
      <w:tr>
        <w:trPr>
          <w:cantSplit/>
        </w:trPr>
        <w:tc>
          <w:tcPr>
            <w:tcW w:type="dxa" w:w="4513"/>
            <w:tcW w:w="2599" w:type="dxa"/>
            <w:shd w:val="clear" w:fill="F2F3F3"/>
          </w:tcPr>
          <w:p>
            <w:pPr>
              <w:spacing w:after="0"/>
            </w:pPr>
            <w:r>
              <w:rPr>
                <w:rFonts w:ascii="Arial" w:hAnsi="Arial"/>
                <w:b/>
                <w:color w:val="16191F"/>
                <w:sz w:val="20"/>
              </w:rPr>
              <w:t>Status</w:t>
            </w:r>
          </w:p>
        </w:tc>
        <w:tc>
          <w:tcPr>
            <w:tcW w:type="dxa" w:w="4513"/>
            <w:tcW w:w="4621" w:type="dxa"/>
          </w:tcPr>
          <w:p>
            <w:pPr>
              <w:spacing w:after="0"/>
            </w:pPr>
            <w:r>
              <w:rPr>
                <w:rFonts w:ascii="Arial" w:hAnsi="Arial"/>
                <w:color w:val="16191F"/>
                <w:sz w:val="20"/>
              </w:rPr>
              <w:t>Example</w:t>
            </w:r>
          </w:p>
        </w:tc>
      </w:tr>
      <w:tr>
        <w:trPr>
          <w:cantSplit/>
        </w:trPr>
        <w:tc>
          <w:tcPr>
            <w:tcW w:type="dxa" w:w="4513"/>
            <w:tcW w:w="2599" w:type="dxa"/>
            <w:shd w:val="clear" w:fill="F2F3F3"/>
          </w:tcPr>
          <w:p>
            <w:pPr>
              <w:spacing w:after="0"/>
            </w:pPr>
            <w:r>
              <w:rPr>
                <w:rFonts w:ascii="Arial" w:hAnsi="Arial"/>
                <w:b/>
                <w:color w:val="16191F"/>
                <w:sz w:val="20"/>
              </w:rPr>
              <w:t>Date</w:t>
            </w:r>
          </w:p>
        </w:tc>
        <w:tc>
          <w:tcPr>
            <w:tcW w:type="dxa" w:w="4513"/>
            <w:tcW w:w="4621" w:type="dxa"/>
          </w:tcPr>
          <w:p>
            <w:pPr>
              <w:spacing w:after="0"/>
            </w:pPr>
            <w:r>
              <w:rPr>
                <w:rFonts w:ascii="Arial" w:hAnsi="Arial"/>
                <w:color w:val="16191F"/>
                <w:sz w:val="20"/>
              </w:rPr>
              <w:t>2026-10-08</w:t>
            </w:r>
          </w:p>
        </w:tc>
      </w:tr>
      <w:tr>
        <w:trPr>
          <w:cantSplit/>
        </w:trPr>
        <w:tc>
          <w:tcPr>
            <w:tcW w:type="dxa" w:w="4513"/>
            <w:tcW w:w="2599" w:type="dxa"/>
            <w:shd w:val="clear" w:fill="F2F3F3"/>
          </w:tcPr>
          <w:p>
            <w:pPr>
              <w:spacing w:after="0"/>
            </w:pPr>
            <w:r>
              <w:rPr>
                <w:rFonts w:ascii="Arial" w:hAnsi="Arial"/>
                <w:b/>
                <w:color w:val="16191F"/>
                <w:sz w:val="20"/>
              </w:rPr>
              <w:t>Classification</w:t>
            </w:r>
          </w:p>
        </w:tc>
        <w:tc>
          <w:tcPr>
            <w:tcW w:type="dxa" w:w="4513"/>
            <w:tcW w:w="4621" w:type="dxa"/>
          </w:tcPr>
          <w:p>
            <w:pPr>
              <w:spacing w:after="0"/>
            </w:pPr>
            <w:r>
              <w:rPr>
                <w:rFonts w:ascii="Arial" w:hAnsi="Arial"/>
                <w:color w:val="16191F"/>
                <w:sz w:val="20"/>
              </w:rPr>
              <w:t>Public example</w:t>
            </w:r>
          </w:p>
        </w:tc>
      </w:tr>
      <w:tr>
        <w:trPr>
          <w:cantSplit/>
        </w:trPr>
        <w:tc>
          <w:tcPr>
            <w:tcW w:type="dxa" w:w="4513"/>
            <w:tcW w:w="2599" w:type="dxa"/>
            <w:shd w:val="clear" w:fill="F2F3F3"/>
          </w:tcPr>
          <w:p>
            <w:pPr>
              <w:spacing w:after="0"/>
            </w:pPr>
            <w:r>
              <w:rPr>
                <w:rFonts w:ascii="Arial" w:hAnsi="Arial"/>
                <w:b/>
                <w:color w:val="16191F"/>
                <w:sz w:val="20"/>
              </w:rPr>
              <w:t>Owner</w:t>
            </w:r>
          </w:p>
        </w:tc>
        <w:tc>
          <w:tcPr>
            <w:tcW w:type="dxa" w:w="4513"/>
            <w:tcW w:w="4621" w:type="dxa"/>
          </w:tcPr>
          <w:p>
            <w:pPr>
              <w:spacing w:after="0"/>
            </w:pPr>
            <w:r>
              <w:rPr>
                <w:rFonts w:ascii="Arial" w:hAnsi="Arial"/>
                <w:color w:val="16191F"/>
                <w:sz w:val="20"/>
              </w:rPr>
              <w:t>Platform team</w:t>
            </w:r>
          </w:p>
        </w:tc>
      </w:tr>
      <w:tr>
        <w:trPr>
          <w:cantSplit/>
        </w:trPr>
        <w:tc>
          <w:tcPr>
            <w:tcW w:type="dxa" w:w="4513"/>
            <w:tcW w:w="2599" w:type="dxa"/>
            <w:shd w:val="clear" w:fill="F2F3F3"/>
          </w:tcPr>
          <w:p>
            <w:pPr>
              <w:spacing w:after="0"/>
            </w:pPr>
            <w:r>
              <w:rPr>
                <w:rFonts w:ascii="Arial" w:hAnsi="Arial"/>
                <w:b/>
                <w:color w:val="16191F"/>
                <w:sz w:val="20"/>
              </w:rPr>
              <w:t>Audience</w:t>
            </w:r>
          </w:p>
        </w:tc>
        <w:tc>
          <w:tcPr>
            <w:tcW w:type="dxa" w:w="4513"/>
            <w:tcW w:w="4621" w:type="dxa"/>
          </w:tcPr>
          <w:p>
            <w:pPr>
              <w:spacing w:after="0"/>
            </w:pPr>
            <w:r>
              <w:rPr>
                <w:rFonts w:ascii="Arial" w:hAnsi="Arial"/>
                <w:color w:val="16191F"/>
                <w:sz w:val="20"/>
              </w:rPr>
              <w:t>Solution architects and security reviewers</w:t>
            </w:r>
          </w:p>
        </w:tc>
      </w:tr>
    </w:tbl>
    <w:p>
      <w:pPr>
        <w:pageBreakBefore/>
        <w:pBdr>
          <w:bottom w:val="single" w:sz="12" w:space="4" w:color="FF9900"/>
        </w:pBdr>
        <w:spacing w:before="0" w:after="240"/>
      </w:pPr>
      <w:bookmarkStart w:id="41" w:name="document-history"/>
      <w:r>
        <w:rPr>
          <w:rFonts w:ascii="Arial" w:hAnsi="Arial"/>
          <w:b/>
          <w:color w:val="232F3E"/>
          <w:sz w:val="28"/>
        </w:rPr>
        <w:t>Document history</w:t>
      </w:r>
      <w:bookmarkEnd w:id="41"/>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2256"/>
        <w:gridCol w:w="2256"/>
        <w:gridCol w:w="2256"/>
        <w:gridCol w:w="2256"/>
      </w:tblGrid>
      <w:tr>
        <w:trPr>
          <w:cantSplit/>
          <w:tblHeader w:val="on"/>
        </w:trPr>
        <w:tc>
          <w:tcPr>
            <w:tcW w:w="2256" w:type="dxa"/>
            <w:shd w:val="clear" w:fill="232F3E"/>
          </w:tcPr>
          <w:p>
            <w:pPr>
              <w:pStyle w:val="Compact"/>
            </w:pPr>
            <w:r>
              <w:rPr>
                <w:rFonts w:ascii="Arial" w:hAnsi="Arial"/>
                <w:b/>
                <w:color w:val="FFFFFF"/>
                <w:sz w:val="20"/>
              </w:rPr>
              <w:t xml:space="preserve">Version</w:t>
            </w:r>
          </w:p>
        </w:tc>
        <w:tc>
          <w:tcPr>
            <w:tcW w:w="2256" w:type="dxa"/>
            <w:shd w:val="clear" w:fill="232F3E"/>
          </w:tcPr>
          <w:p>
            <w:pPr>
              <w:pStyle w:val="Compact"/>
            </w:pPr>
            <w:r>
              <w:rPr>
                <w:rFonts w:ascii="Arial" w:hAnsi="Arial"/>
                <w:b/>
                <w:color w:val="FFFFFF"/>
                <w:sz w:val="20"/>
              </w:rPr>
              <w:t xml:space="preserve">Date</w:t>
            </w:r>
          </w:p>
        </w:tc>
        <w:tc>
          <w:tcPr>
            <w:tcW w:w="2256" w:type="dxa"/>
            <w:shd w:val="clear" w:fill="232F3E"/>
          </w:tcPr>
          <w:p>
            <w:pPr>
              <w:pStyle w:val="Compact"/>
            </w:pPr>
            <w:r>
              <w:rPr>
                <w:rFonts w:ascii="Arial" w:hAnsi="Arial"/>
                <w:b/>
                <w:color w:val="FFFFFF"/>
                <w:sz w:val="20"/>
              </w:rPr>
              <w:t xml:space="preserve">Author</w:t>
            </w:r>
          </w:p>
        </w:tc>
        <w:tc>
          <w:tcPr>
            <w:tcW w:w="2256" w:type="dxa"/>
            <w:shd w:val="clear" w:fill="232F3E"/>
          </w:tcPr>
          <w:p>
            <w:pPr>
              <w:pStyle w:val="Compact"/>
            </w:pPr>
            <w:r>
              <w:rPr>
                <w:rFonts w:ascii="Arial" w:hAnsi="Arial"/>
                <w:b/>
                <w:color w:val="FFFFFF"/>
                <w:sz w:val="20"/>
              </w:rPr>
              <w:t xml:space="preserve">Change</w:t>
            </w:r>
          </w:p>
        </w:tc>
      </w:tr>
      <w:tr>
        <w:trPr>
          <w:cantSplit/>
        </w:trPr>
        <w:tc>
          <w:tcPr>
            <w:tcW w:w="2256" w:type="dxa"/>
          </w:tcPr>
          <w:p>
            <w:pPr>
              <w:pStyle w:val="Compact"/>
            </w:pPr>
            <w:r>
              <w:rPr>
                <w:rFonts w:ascii="Arial" w:hAnsi="Arial"/>
                <w:color w:val="16191F"/>
                <w:sz w:val="20"/>
              </w:rPr>
              <w:t xml:space="preserve">1.0</w:t>
            </w:r>
          </w:p>
        </w:tc>
        <w:tc>
          <w:tcPr>
            <w:tcW w:w="2256" w:type="dxa"/>
          </w:tcPr>
          <w:p>
            <w:pPr>
              <w:pStyle w:val="Compact"/>
            </w:pPr>
            <w:r>
              <w:rPr>
                <w:rFonts w:ascii="Arial" w:hAnsi="Arial"/>
                <w:color w:val="16191F"/>
                <w:sz w:val="20"/>
              </w:rPr>
              <w:t xml:space="preserve">2026-09-30</w:t>
            </w:r>
          </w:p>
        </w:tc>
        <w:tc>
          <w:tcPr>
            <w:tcW w:w="2256" w:type="dxa"/>
          </w:tcPr>
          <w:p>
            <w:pPr>
              <w:pStyle w:val="Compact"/>
            </w:pPr>
            <w:r>
              <w:rPr>
                <w:rFonts w:ascii="Arial" w:hAnsi="Arial"/>
                <w:color w:val="16191F"/>
                <w:sz w:val="20"/>
              </w:rPr>
              <w:t xml:space="preserve">Platform team</w:t>
            </w:r>
          </w:p>
        </w:tc>
        <w:tc>
          <w:tcPr>
            <w:tcW w:w="2256" w:type="dxa"/>
          </w:tcPr>
          <w:p>
            <w:pPr>
              <w:pStyle w:val="Compact"/>
            </w:pPr>
            <w:r>
              <w:rPr>
                <w:rFonts w:ascii="Arial" w:hAnsi="Arial"/>
                <w:color w:val="16191F"/>
                <w:sz w:val="20"/>
              </w:rPr>
              <w:t xml:space="preserve">Example for the plugin</w:t>
            </w:r>
          </w:p>
        </w:tc>
      </w:tr>
      <w:tr>
        <w:trPr>
          <w:cantSplit/>
        </w:trPr>
        <w:tc>
          <w:tcPr>
            <w:tcW w:w="2256" w:type="dxa"/>
          </w:tcPr>
          <w:p>
            <w:pPr>
              <w:pStyle w:val="Compact"/>
            </w:pPr>
            <w:r>
              <w:rPr>
                <w:rFonts w:ascii="Arial" w:hAnsi="Arial"/>
                <w:color w:val="16191F"/>
                <w:sz w:val="20"/>
              </w:rPr>
              <w:t xml:space="preserve">1.1</w:t>
            </w:r>
          </w:p>
        </w:tc>
        <w:tc>
          <w:tcPr>
            <w:tcW w:w="2256" w:type="dxa"/>
          </w:tcPr>
          <w:p>
            <w:pPr>
              <w:pStyle w:val="Compact"/>
            </w:pPr>
            <w:r>
              <w:rPr>
                <w:rFonts w:ascii="Arial" w:hAnsi="Arial"/>
                <w:color w:val="16191F"/>
                <w:sz w:val="20"/>
              </w:rPr>
              <w:t xml:space="preserve">2026-10-08</w:t>
            </w:r>
          </w:p>
        </w:tc>
        <w:tc>
          <w:tcPr>
            <w:tcW w:w="2256" w:type="dxa"/>
          </w:tcPr>
          <w:p>
            <w:pPr>
              <w:pStyle w:val="Compact"/>
            </w:pPr>
            <w:r>
              <w:rPr>
                <w:rFonts w:ascii="Arial" w:hAnsi="Arial"/>
                <w:color w:val="16191F"/>
                <w:sz w:val="20"/>
              </w:rPr>
              <w:t xml:space="preserve">Platform team</w:t>
            </w:r>
          </w:p>
        </w:tc>
        <w:tc>
          <w:tcPr>
            <w:tcW w:w="2256" w:type="dxa"/>
          </w:tcPr>
          <w:p>
            <w:pPr>
              <w:pStyle w:val="Compact"/>
            </w:pPr>
            <w:r>
              <w:rPr>
                <w:rFonts w:ascii="Arial" w:hAnsi="Arial"/>
                <w:color w:val="16191F"/>
                <w:sz w:val="20"/>
              </w:rPr>
              <w:t xml:space="preserve">Restructured to the current HLD outline</w:t>
            </w:r>
          </w:p>
        </w:tc>
      </w:tr>
    </w:tbl>
    <w:p>
      <w:pPr>
        <w:pageBreakBefore/>
        <w:pBdr>
          <w:bottom w:val="single" w:sz="12" w:space="4" w:color="FF9900"/>
        </w:pBdr>
        <w:spacing w:before="0" w:after="240"/>
      </w:pPr>
      <w:r>
        <w:rPr>
          <w:rFonts w:ascii="Arial" w:hAnsi="Arial"/>
          <w:b/>
          <w:color w:val="232F3E"/>
          <w:sz w:val="28"/>
        </w:rPr>
        <w:t>Table of Contents</w:t>
      </w:r>
    </w:p>
    <w:p>
      <w:r>
        <w:fldChar w:fldCharType="begin"/>
      </w:r>
      <w:r>
        <w:instrText xml:space="preserve"> TOC \o "1-2" \h \z \u </w:instrText>
      </w:r>
      <w:r>
        <w:fldChar w:fldCharType="separate"/>
      </w:r>
      <w:r>
        <w:rPr>
          <w:rFonts w:ascii="Arial" w:hAnsi="Arial"/>
          <w:color w:val="414D5C"/>
          <w:sz w:val="19"/>
        </w:rPr>
        <w:t>Open in Word and choose Yes to update fields, or right-click here and choose Update Field, to build the table of contents.</w:t>
      </w:r>
      <w:r>
        <w:fldChar w:fldCharType="end"/>
      </w:r>
      <w:r>
        <w:br w:type="page"/>
      </w:r>
    </w:p>
    <w:bookmarkStart w:id="13" w:name="_e3d0fc0bea9a42ce7605565d0964033d7f6ee47"/>
    <w:p>
      <w:pPr>
        <w:pStyle w:val="Heading1"/>
        <w:keepNext w:val="1"/>
        <w:pBdr>
          <w:bottom w:val="single" w:sz="12" w:space="4" w:color="FF9900"/>
        </w:pBdr>
        <w:spacing w:before="400" w:after="120"/>
      </w:pPr>
      <w:r>
        <w:rPr>
          <w:rFonts w:ascii="Arial" w:hAnsi="Arial"/>
          <w:b/>
          <w:color w:val="232F3E"/>
          <w:sz w:val="28"/>
        </w:rPr>
        <w:t xml:space="preserve">1. Introduction</w:t>
      </w:r>
    </w:p>
    <w:bookmarkStart w:id="9" w:name="_e94c4103db6bb764aa3b798144b782dac27f424"/>
    <w:p>
      <w:pPr>
        <w:pStyle w:val="Heading2"/>
        <w:keepNext w:val="1"/>
        <w:spacing w:before="280" w:after="120"/>
      </w:pPr>
      <w:r>
        <w:rPr>
          <w:rFonts w:ascii="Arial" w:hAnsi="Arial"/>
          <w:b/>
          <w:color w:val="232F3E"/>
          <w:sz w:val="26"/>
        </w:rPr>
        <w:t xml:space="preserve">1.1 Purpose</w:t>
      </w:r>
    </w:p>
    <w:p>
      <w:pPr>
        <w:pStyle w:val="FirstParagraph"/>
        <w:spacing w:after="140" w:line="276" w:lineRule="auto"/>
      </w:pPr>
      <w:r>
        <w:rPr>
          <w:rFonts w:ascii="Arial" w:hAnsi="Arial"/>
          <w:color w:val="16191F"/>
          <w:sz w:val="21"/>
        </w:rPr>
        <w:t xml:space="preserve">Teams lose time searching approved internal documents for answers. This design adds an assistant that answers questions from those documents only, with each answer grounded in retrieved passages. It asks the reader to approve a retrieval-augmented design on Amazon Bedrock with a separate ingestion path.</w:t>
      </w:r>
    </w:p>
    <w:bookmarkEnd w:id="9"/>
    <w:bookmarkStart w:id="10" w:name="_66ba515a53cc31de6248515a79da4bc902da183"/>
    <w:p>
      <w:pPr>
        <w:pStyle w:val="Heading2"/>
        <w:keepNext w:val="1"/>
        <w:spacing w:before="280" w:after="120"/>
      </w:pPr>
      <w:r>
        <w:rPr>
          <w:rFonts w:ascii="Arial" w:hAnsi="Arial"/>
          <w:b/>
          <w:color w:val="232F3E"/>
          <w:sz w:val="26"/>
        </w:rPr>
        <w:t xml:space="preserve">1.2 Scope and assumptions</w:t>
      </w:r>
    </w:p>
    <w:p>
      <w:pPr>
        <w:pStyle w:val="FirstParagraph"/>
        <w:spacing w:after="140" w:line="276" w:lineRule="auto"/>
      </w:pPr>
      <w:r>
        <w:rPr>
          <w:rFonts w:ascii="Arial" w:hAnsi="Arial"/>
          <w:b/>
          <w:bCs/>
          <w:color w:val="16191F"/>
          <w:sz w:val="21"/>
        </w:rPr>
        <w:t xml:space="preserve">In scope.</w:t>
      </w:r>
      <w:r>
        <w:rPr>
          <w:rFonts w:ascii="Arial" w:hAnsi="Arial"/>
          <w:color w:val="16191F"/>
          <w:sz w:val="21"/>
        </w:rPr>
        <w:t xml:space="preserve"> </w:t>
      </w:r>
      <w:r>
        <w:rPr>
          <w:rFonts w:ascii="Arial" w:hAnsi="Arial"/>
          <w:color w:val="16191F"/>
          <w:sz w:val="21"/>
        </w:rPr>
        <w:t xml:space="preserve">The question-and-answer path for signed-in users, and the path that adds and retires documents in the index.</w:t>
      </w:r>
    </w:p>
    <w:p>
      <w:pPr>
        <w:pStyle w:val="BodyText"/>
        <w:spacing w:after="140" w:line="276" w:lineRule="auto"/>
      </w:pPr>
      <w:r>
        <w:rPr>
          <w:rFonts w:ascii="Arial" w:hAnsi="Arial"/>
          <w:b/>
          <w:bCs/>
          <w:color w:val="16191F"/>
          <w:sz w:val="21"/>
        </w:rPr>
        <w:t xml:space="preserve">Out of scope.</w:t>
      </w:r>
      <w:r>
        <w:rPr>
          <w:rFonts w:ascii="Arial" w:hAnsi="Arial"/>
          <w:color w:val="16191F"/>
          <w:sz w:val="21"/>
        </w:rPr>
        <w:t xml:space="preserve"> </w:t>
      </w:r>
      <w:r>
        <w:rPr>
          <w:rFonts w:ascii="Arial" w:hAnsi="Arial"/>
          <w:color w:val="16191F"/>
          <w:sz w:val="21"/>
        </w:rPr>
        <w:t xml:space="preserve">Writing or approving the documents themselves, which stays with each content owner.</w:t>
      </w:r>
    </w:p>
    <w:p>
      <w:pPr>
        <w:pStyle w:val="BodyText"/>
        <w:spacing w:after="140" w:line="276" w:lineRule="auto"/>
      </w:pPr>
      <w:r>
        <w:rPr>
          <w:rFonts w:ascii="Arial" w:hAnsi="Arial"/>
          <w:b/>
          <w:bCs/>
          <w:color w:val="16191F"/>
          <w:sz w:val="21"/>
        </w:rPr>
        <w:t xml:space="preserve">Assumptions.</w:t>
      </w:r>
      <w:r>
        <w:rPr>
          <w:rFonts w:ascii="Arial" w:hAnsi="Arial"/>
          <w:color w:val="16191F"/>
          <w:sz w:val="21"/>
        </w:rPr>
        <w:t xml:space="preserve"> </w:t>
      </w:r>
      <w:r>
        <w:rPr>
          <w:rFonts w:ascii="Arial" w:hAnsi="Arial"/>
          <w:color w:val="16191F"/>
          <w:sz w:val="21"/>
        </w:rPr>
        <w:t xml:space="preserve">Documents stay in the team's own storage, and the assistant reads only what has been indexed. Appendix C lists what still has to be confirmed.</w:t>
      </w:r>
    </w:p>
    <w:bookmarkEnd w:id="10"/>
    <w:bookmarkStart w:id="11" w:name="_6e3611f206a0f509b029fabf459ac817e19727a"/>
    <w:p>
      <w:pPr>
        <w:pStyle w:val="Heading2"/>
        <w:keepNext w:val="1"/>
        <w:spacing w:before="280" w:after="120"/>
      </w:pPr>
      <w:r>
        <w:rPr>
          <w:rFonts w:ascii="Arial" w:hAnsi="Arial"/>
          <w:b/>
          <w:color w:val="232F3E"/>
          <w:sz w:val="26"/>
        </w:rPr>
        <w:t xml:space="preserve">1.3 Requirements summary</w:t>
      </w:r>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3008"/>
        <w:gridCol w:w="3008"/>
        <w:gridCol w:w="3008"/>
      </w:tblGrid>
      <w:tr>
        <w:trPr>
          <w:cantSplit/>
          <w:tblHeader w:val="on"/>
        </w:trPr>
        <w:tc>
          <w:tcPr>
            <w:tcW w:w="3008" w:type="dxa"/>
            <w:shd w:val="clear" w:fill="232F3E"/>
          </w:tcPr>
          <w:p>
            <w:pPr>
              <w:pStyle w:val="Compact"/>
            </w:pPr>
            <w:r>
              <w:rPr>
                <w:rFonts w:ascii="Arial" w:hAnsi="Arial"/>
                <w:b/>
                <w:color w:val="FFFFFF"/>
                <w:sz w:val="20"/>
              </w:rPr>
              <w:t xml:space="preserve">ID</w:t>
            </w:r>
          </w:p>
        </w:tc>
        <w:tc>
          <w:tcPr>
            <w:tcW w:w="3008" w:type="dxa"/>
            <w:shd w:val="clear" w:fill="232F3E"/>
          </w:tcPr>
          <w:p>
            <w:pPr>
              <w:pStyle w:val="Compact"/>
            </w:pPr>
            <w:r>
              <w:rPr>
                <w:rFonts w:ascii="Arial" w:hAnsi="Arial"/>
                <w:b/>
                <w:color w:val="FFFFFF"/>
                <w:sz w:val="20"/>
              </w:rPr>
              <w:t xml:space="preserve">Requirement</w:t>
            </w:r>
          </w:p>
        </w:tc>
        <w:tc>
          <w:tcPr>
            <w:tcW w:w="3008" w:type="dxa"/>
            <w:shd w:val="clear" w:fill="232F3E"/>
          </w:tcPr>
          <w:p>
            <w:pPr>
              <w:pStyle w:val="Compact"/>
            </w:pPr>
            <w:r>
              <w:rPr>
                <w:rFonts w:ascii="Arial" w:hAnsi="Arial"/>
                <w:b/>
                <w:color w:val="FFFFFF"/>
                <w:sz w:val="20"/>
              </w:rPr>
              <w:t xml:space="preserve">Section</w:t>
            </w:r>
          </w:p>
        </w:tc>
      </w:tr>
      <w:tr>
        <w:trPr>
          <w:cantSplit/>
        </w:trPr>
        <w:tc>
          <w:tcPr>
            <w:tcW w:w="3008" w:type="dxa"/>
          </w:tcPr>
          <w:p>
            <w:pPr>
              <w:pStyle w:val="Compact"/>
            </w:pPr>
            <w:r>
              <w:rPr>
                <w:rFonts w:ascii="Arial" w:hAnsi="Arial"/>
                <w:color w:val="16191F"/>
                <w:sz w:val="20"/>
              </w:rPr>
              <w:t xml:space="preserve">R1</w:t>
            </w:r>
          </w:p>
        </w:tc>
        <w:tc>
          <w:tcPr>
            <w:tcW w:w="3008" w:type="dxa"/>
          </w:tcPr>
          <w:p>
            <w:pPr>
              <w:pStyle w:val="Compact"/>
            </w:pPr>
            <w:r>
              <w:rPr>
                <w:rFonts w:ascii="Arial" w:hAnsi="Arial"/>
                <w:color w:val="16191F"/>
                <w:sz w:val="20"/>
              </w:rPr>
              <w:t xml:space="preserve">A user asks a question in plain language and gets an answer grounded in approved internal documents</w:t>
            </w:r>
          </w:p>
        </w:tc>
        <w:tc>
          <w:tcPr>
            <w:tcW w:w="3008" w:type="dxa"/>
          </w:tcPr>
          <w:p>
            <w:pPr>
              <w:pStyle w:val="Compact"/>
            </w:pPr>
            <w:hyperlink w:anchor="_f761be55620a9c0268039300c0861831a1620e4">
              <w:r>
                <w:rPr>
                  <w:rStyle w:val="Hyperlink"/>
                </w:rPr>
                <w:t xml:space="preserve">3.1</w:t>
              </w:r>
            </w:hyperlink>
          </w:p>
        </w:tc>
      </w:tr>
      <w:tr>
        <w:trPr>
          <w:cantSplit/>
        </w:trPr>
        <w:tc>
          <w:tcPr>
            <w:tcW w:w="3008" w:type="dxa"/>
          </w:tcPr>
          <w:p>
            <w:pPr>
              <w:pStyle w:val="Compact"/>
            </w:pPr>
            <w:r>
              <w:rPr>
                <w:rFonts w:ascii="Arial" w:hAnsi="Arial"/>
                <w:color w:val="16191F"/>
                <w:sz w:val="20"/>
              </w:rPr>
              <w:t xml:space="preserve">R2</w:t>
            </w:r>
          </w:p>
        </w:tc>
        <w:tc>
          <w:tcPr>
            <w:tcW w:w="3008" w:type="dxa"/>
          </w:tcPr>
          <w:p>
            <w:pPr>
              <w:pStyle w:val="Compact"/>
            </w:pPr>
            <w:r>
              <w:rPr>
                <w:rFonts w:ascii="Arial" w:hAnsi="Arial"/>
                <w:color w:val="16191F"/>
                <w:sz w:val="20"/>
              </w:rPr>
              <w:t xml:space="preserve">A content owner adds or retires a document, and the assistant reflects it without a redeploy</w:t>
            </w:r>
          </w:p>
        </w:tc>
        <w:tc>
          <w:tcPr>
            <w:tcW w:w="3008" w:type="dxa"/>
          </w:tcPr>
          <w:p>
            <w:pPr>
              <w:pStyle w:val="Compact"/>
            </w:pPr>
            <w:hyperlink w:anchor="_f79557b77de46e350b9821ec74d59cf6abc889f">
              <w:r>
                <w:rPr>
                  <w:rStyle w:val="Hyperlink"/>
                </w:rPr>
                <w:t xml:space="preserve">3.2</w:t>
              </w:r>
            </w:hyperlink>
          </w:p>
        </w:tc>
      </w:tr>
      <w:tr>
        <w:trPr>
          <w:cantSplit/>
        </w:trPr>
        <w:tc>
          <w:tcPr>
            <w:tcW w:w="3008" w:type="dxa"/>
          </w:tcPr>
          <w:p>
            <w:pPr>
              <w:pStyle w:val="Compact"/>
            </w:pPr>
            <w:r>
              <w:rPr>
                <w:rFonts w:ascii="Arial" w:hAnsi="Arial"/>
                <w:color w:val="16191F"/>
                <w:sz w:val="20"/>
              </w:rPr>
              <w:t xml:space="preserve">NFR1</w:t>
            </w:r>
          </w:p>
        </w:tc>
        <w:tc>
          <w:tcPr>
            <w:tcW w:w="3008" w:type="dxa"/>
          </w:tcPr>
          <w:p>
            <w:pPr>
              <w:pStyle w:val="Compact"/>
            </w:pPr>
            <w:r>
              <w:rPr>
                <w:rFonts w:ascii="Arial" w:hAnsi="Arial"/>
                <w:color w:val="16191F"/>
                <w:sz w:val="20"/>
              </w:rPr>
              <w:t xml:space="preserve">Only signed-in users reach the API</w:t>
            </w:r>
          </w:p>
        </w:tc>
        <w:tc>
          <w:tcPr>
            <w:tcW w:w="3008" w:type="dxa"/>
          </w:tcPr>
          <w:p>
            <w:pPr>
              <w:pStyle w:val="Compact"/>
            </w:pPr>
            <w:hyperlink w:anchor="_421cdef3e193fb3ec0da4c52f3fc8b81ed2ac62">
              <w:r>
                <w:rPr>
                  <w:rStyle w:val="Hyperlink"/>
                </w:rPr>
                <w:t xml:space="preserve">3.3</w:t>
              </w:r>
            </w:hyperlink>
          </w:p>
        </w:tc>
      </w:tr>
      <w:tr>
        <w:trPr>
          <w:cantSplit/>
        </w:trPr>
        <w:tc>
          <w:tcPr>
            <w:tcW w:w="3008" w:type="dxa"/>
          </w:tcPr>
          <w:p>
            <w:pPr>
              <w:pStyle w:val="Compact"/>
            </w:pPr>
            <w:r>
              <w:rPr>
                <w:rFonts w:ascii="Arial" w:hAnsi="Arial"/>
                <w:color w:val="16191F"/>
                <w:sz w:val="20"/>
              </w:rPr>
              <w:t xml:space="preserve">NFR2</w:t>
            </w:r>
          </w:p>
        </w:tc>
        <w:tc>
          <w:tcPr>
            <w:tcW w:w="3008" w:type="dxa"/>
          </w:tcPr>
          <w:p>
            <w:pPr>
              <w:pStyle w:val="Compact"/>
            </w:pPr>
            <w:r>
              <w:rPr>
                <w:rFonts w:ascii="Arial" w:hAnsi="Arial"/>
                <w:color w:val="16191F"/>
                <w:sz w:val="20"/>
              </w:rPr>
              <w:t xml:space="preserve">An answer returns within the API integration timeout of 29 seconds</w:t>
            </w:r>
          </w:p>
        </w:tc>
        <w:tc>
          <w:tcPr>
            <w:tcW w:w="3008" w:type="dxa"/>
          </w:tcPr>
          <w:p>
            <w:pPr>
              <w:pStyle w:val="Compact"/>
            </w:pPr>
            <w:hyperlink w:anchor="_73f4f86f2ba3f0885958ebacf4855057ace0f63">
              <w:r>
                <w:rPr>
                  <w:rStyle w:val="Hyperlink"/>
                </w:rPr>
                <w:t xml:space="preserve">3.4</w:t>
              </w:r>
            </w:hyperlink>
          </w:p>
        </w:tc>
      </w:tr>
    </w:tbl>
    <w:bookmarkEnd w:id="11"/>
    <w:bookmarkStart w:id="12" w:name="_360506b9cb88cc2d1afbae5e04104689014346e"/>
    <w:p>
      <w:pPr>
        <w:pStyle w:val="Heading2"/>
        <w:keepNext w:val="1"/>
        <w:spacing w:before="280" w:after="120"/>
      </w:pPr>
      <w:r>
        <w:rPr>
          <w:rFonts w:ascii="Arial" w:hAnsi="Arial"/>
          <w:b/>
          <w:color w:val="232F3E"/>
          <w:sz w:val="26"/>
        </w:rPr>
        <w:t xml:space="preserve">1.4 Key terms</w:t>
      </w:r>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2888"/>
        <w:gridCol w:w="6137"/>
      </w:tblGrid>
      <w:tr>
        <w:trPr>
          <w:cantSplit/>
          <w:tblHeader w:val="on"/>
        </w:trPr>
        <w:tc>
          <w:tcPr>
            <w:tcW w:w="2888" w:type="dxa"/>
            <w:shd w:val="clear" w:fill="232F3E"/>
          </w:tcPr>
          <w:p>
            <w:pPr>
              <w:pStyle w:val="Compact"/>
            </w:pPr>
            <w:r>
              <w:rPr>
                <w:rFonts w:ascii="Arial" w:hAnsi="Arial"/>
                <w:b/>
                <w:color w:val="FFFFFF"/>
                <w:sz w:val="20"/>
              </w:rPr>
              <w:t xml:space="preserve">Term</w:t>
            </w:r>
          </w:p>
        </w:tc>
        <w:tc>
          <w:tcPr>
            <w:tcW w:w="6137" w:type="dxa"/>
            <w:shd w:val="clear" w:fill="232F3E"/>
          </w:tcPr>
          <w:p>
            <w:pPr>
              <w:pStyle w:val="Compact"/>
            </w:pPr>
            <w:r>
              <w:rPr>
                <w:rFonts w:ascii="Arial" w:hAnsi="Arial"/>
                <w:b/>
                <w:color w:val="FFFFFF"/>
                <w:sz w:val="20"/>
              </w:rPr>
              <w:t xml:space="preserve">Meaning</w:t>
            </w:r>
          </w:p>
        </w:tc>
      </w:tr>
      <w:tr>
        <w:trPr>
          <w:cantSplit/>
        </w:trPr>
        <w:tc>
          <w:tcPr>
            <w:tcW w:w="2888" w:type="dxa"/>
          </w:tcPr>
          <w:p>
            <w:pPr>
              <w:pStyle w:val="Compact"/>
            </w:pPr>
            <w:r>
              <w:rPr>
                <w:rFonts w:ascii="Arial" w:hAnsi="Arial"/>
                <w:color w:val="16191F"/>
                <w:sz w:val="20"/>
              </w:rPr>
              <w:t xml:space="preserve">RAG</w:t>
            </w:r>
          </w:p>
        </w:tc>
        <w:tc>
          <w:tcPr>
            <w:tcW w:w="6137" w:type="dxa"/>
          </w:tcPr>
          <w:p>
            <w:pPr>
              <w:pStyle w:val="Compact"/>
            </w:pPr>
            <w:r>
              <w:rPr>
                <w:rFonts w:ascii="Arial" w:hAnsi="Arial"/>
                <w:color w:val="16191F"/>
                <w:sz w:val="20"/>
              </w:rPr>
              <w:t xml:space="preserve">Retrieval-augmented generation: the model answers from passages retrieved for the question</w:t>
            </w:r>
          </w:p>
        </w:tc>
      </w:tr>
      <w:tr>
        <w:trPr>
          <w:cantSplit/>
        </w:trPr>
        <w:tc>
          <w:tcPr>
            <w:tcW w:w="2888" w:type="dxa"/>
          </w:tcPr>
          <w:p>
            <w:pPr>
              <w:pStyle w:val="Compact"/>
            </w:pPr>
            <w:r>
              <w:rPr>
                <w:rFonts w:ascii="Arial" w:hAnsi="Arial"/>
                <w:color w:val="16191F"/>
                <w:sz w:val="20"/>
              </w:rPr>
              <w:t xml:space="preserve">HLD</w:t>
            </w:r>
          </w:p>
        </w:tc>
        <w:tc>
          <w:tcPr>
            <w:tcW w:w="6137" w:type="dxa"/>
          </w:tcPr>
          <w:p>
            <w:pPr>
              <w:pStyle w:val="Compact"/>
            </w:pPr>
            <w:r>
              <w:rPr>
                <w:rFonts w:ascii="Arial" w:hAnsi="Arial"/>
                <w:color w:val="16191F"/>
                <w:sz w:val="20"/>
              </w:rPr>
              <w:t xml:space="preserve">High-level design</w:t>
            </w:r>
          </w:p>
        </w:tc>
      </w:tr>
      <w:tr>
        <w:trPr>
          <w:cantSplit/>
        </w:trPr>
        <w:tc>
          <w:tcPr>
            <w:tcW w:w="2888" w:type="dxa"/>
          </w:tcPr>
          <w:p>
            <w:pPr>
              <w:pStyle w:val="Compact"/>
            </w:pPr>
            <w:r>
              <w:rPr>
                <w:rFonts w:ascii="Arial" w:hAnsi="Arial"/>
                <w:color w:val="16191F"/>
                <w:sz w:val="20"/>
              </w:rPr>
              <w:t xml:space="preserve">NFR</w:t>
            </w:r>
          </w:p>
        </w:tc>
        <w:tc>
          <w:tcPr>
            <w:tcW w:w="6137" w:type="dxa"/>
          </w:tcPr>
          <w:p>
            <w:pPr>
              <w:pStyle w:val="Compact"/>
            </w:pPr>
            <w:r>
              <w:rPr>
                <w:rFonts w:ascii="Arial" w:hAnsi="Arial"/>
                <w:color w:val="16191F"/>
                <w:sz w:val="20"/>
              </w:rPr>
              <w:t xml:space="preserve">Non-functional requirement</w:t>
            </w:r>
          </w:p>
        </w:tc>
      </w:tr>
      <w:tr>
        <w:trPr>
          <w:cantSplit/>
        </w:trPr>
        <w:tc>
          <w:tcPr>
            <w:tcW w:w="2888" w:type="dxa"/>
          </w:tcPr>
          <w:p>
            <w:pPr>
              <w:pStyle w:val="Compact"/>
            </w:pPr>
            <w:r>
              <w:rPr>
                <w:rFonts w:ascii="Arial" w:hAnsi="Arial"/>
                <w:color w:val="16191F"/>
                <w:sz w:val="20"/>
              </w:rPr>
              <w:t xml:space="preserve">AWS KMS</w:t>
            </w:r>
          </w:p>
        </w:tc>
        <w:tc>
          <w:tcPr>
            <w:tcW w:w="6137" w:type="dxa"/>
          </w:tcPr>
          <w:p>
            <w:pPr>
              <w:pStyle w:val="Compact"/>
            </w:pPr>
            <w:r>
              <w:rPr>
                <w:rFonts w:ascii="Arial" w:hAnsi="Arial"/>
                <w:color w:val="16191F"/>
                <w:sz w:val="20"/>
              </w:rPr>
              <w:t xml:space="preserve">AWS Key Management Service</w:t>
            </w:r>
          </w:p>
        </w:tc>
      </w:tr>
      <w:tr>
        <w:trPr>
          <w:cantSplit/>
        </w:trPr>
        <w:tc>
          <w:tcPr>
            <w:tcW w:w="2888" w:type="dxa"/>
          </w:tcPr>
          <w:p>
            <w:pPr>
              <w:pStyle w:val="Compact"/>
            </w:pPr>
            <w:r>
              <w:rPr>
                <w:rFonts w:ascii="Arial" w:hAnsi="Arial"/>
                <w:color w:val="16191F"/>
                <w:sz w:val="20"/>
              </w:rPr>
              <w:t xml:space="preserve">TTL</w:t>
            </w:r>
          </w:p>
        </w:tc>
        <w:tc>
          <w:tcPr>
            <w:tcW w:w="6137" w:type="dxa"/>
          </w:tcPr>
          <w:p>
            <w:pPr>
              <w:pStyle w:val="Compact"/>
            </w:pPr>
            <w:r>
              <w:rPr>
                <w:rFonts w:ascii="Arial" w:hAnsi="Arial"/>
                <w:color w:val="16191F"/>
                <w:sz w:val="20"/>
              </w:rPr>
              <w:t xml:space="preserve">Time to live: the expiry time stored on a DynamoDB item</w:t>
            </w:r>
          </w:p>
        </w:tc>
      </w:tr>
    </w:tbl>
    <w:bookmarkEnd w:id="12"/>
    <w:bookmarkEnd w:id="13"/>
    <w:bookmarkStart w:id="17" w:name="_136a724f0ad6bedecc70d52a088da11b9355002"/>
    <w:p>
      <w:pPr>
        <w:pStyle w:val="Heading1"/>
        <w:keepNext w:val="1"/>
        <w:pBdr>
          <w:bottom w:val="single" w:sz="12" w:space="4" w:color="FF9900"/>
        </w:pBdr>
        <w:spacing w:before="400" w:after="120"/>
      </w:pPr>
      <w:r>
        <w:rPr>
          <w:rFonts w:ascii="Arial" w:hAnsi="Arial"/>
          <w:b/>
          <w:color w:val="232F3E"/>
          <w:sz w:val="28"/>
        </w:rPr>
        <w:t xml:space="preserve">2. Architecture</w:t>
      </w:r>
    </w:p>
    <w:p>
      <w:pPr>
        <w:pStyle w:val="FirstParagraph"/>
        <w:spacing w:after="140" w:line="276" w:lineRule="auto"/>
      </w:pPr>
      <w:r>
        <w:rPr>
          <w:rFonts w:ascii="Arial" w:hAnsi="Arial"/>
          <w:color w:val="16191F"/>
          <w:sz w:val="21"/>
        </w:rPr>
        <w:t xml:space="preserve">Figure 1 shows the whole solution: the retrieval path on the left and the ingestion path on the right.</w:t>
      </w:r>
    </w:p>
    <w:p>
      <w:pPr>
        <w:pStyle w:val="BodyText"/>
        <w:keepNext w:val="1"/>
        <w:spacing w:after="140" w:line="276" w:lineRule="auto"/>
        <w:jc w:val="center"/>
      </w:pPr>
      <w:r>
        <w:rPr>
          <w:rFonts w:ascii="Arial" w:hAnsi="Arial"/>
          <w:color w:val="16191F"/>
          <w:sz w:val="21"/>
        </w:rPr>
        <w:drawing>
          <wp:inline>
            <wp:extent cx="5334000" cy="3543021"/>
            <wp:effectExtent b="0" l="0" r="0" t="0"/>
            <wp:docPr descr="Figure 1. Retrieval path on the left, ingestion path on the right" title="" id="15" name="Picture"/>
            <a:graphic>
              <a:graphicData uri="http://schemas.openxmlformats.org/drawingml/2006/picture">
                <pic:pic>
                  <pic:nvPicPr>
                    <pic:cNvPr descr="fig-01.png" id="16" name="Picture"/>
                    <pic:cNvPicPr>
                      <a:picLocks noChangeArrowheads="1" noChangeAspect="1"/>
                    </pic:cNvPicPr>
                  </pic:nvPicPr>
                  <pic:blipFill>
                    <a:blip r:embed="rId14"/>
                    <a:stretch>
                      <a:fillRect/>
                    </a:stretch>
                  </pic:blipFill>
                  <pic:spPr bwMode="auto">
                    <a:xfrm>
                      <a:off x="0" y="0"/>
                      <a:ext cx="5334000" cy="3543021"/>
                    </a:xfrm>
                    <a:prstGeom prst="rect">
                      <a:avLst/>
                    </a:prstGeom>
                    <a:noFill/>
                    <a:ln w="9525">
                      <a:noFill/>
                      <a:headEnd/>
                      <a:tailEnd/>
                    </a:ln>
                  </pic:spPr>
                </pic:pic>
              </a:graphicData>
            </a:graphic>
          </wp:inline>
        </w:drawing>
      </w:r>
    </w:p>
    <w:p>
      <w:pPr>
        <w:spacing w:before="80" w:after="240"/>
        <w:jc w:val="center"/>
      </w:pPr>
      <w:r>
        <w:rPr>
          <w:rFonts w:ascii="Arial" w:hAnsi="Arial"/>
          <w:b/>
          <w:color w:val="16191F"/>
          <w:sz w:val="18"/>
        </w:rPr>
        <w:t xml:space="preserve">Figure 1. </w:t>
      </w:r>
      <w:r>
        <w:rPr>
          <w:rFonts w:ascii="Arial" w:hAnsi="Arial"/>
          <w:b w:val="0"/>
          <w:color w:val="414D5C"/>
          <w:sz w:val="18"/>
        </w:rPr>
        <w:t>Retrieval path on the left, ingestion path on the right</w:t>
      </w:r>
    </w:p>
    <w:p>
      <w:pPr>
        <w:pStyle w:val="BodyText"/>
        <w:spacing w:after="140" w:line="276" w:lineRule="auto"/>
      </w:pPr>
      <w:r>
        <w:rPr>
          <w:rFonts w:ascii="Arial" w:hAnsi="Arial"/>
          <w:color w:val="16191F"/>
          <w:sz w:val="21"/>
        </w:rPr>
        <w:t xml:space="preserve">The main components:</w:t>
      </w:r>
    </w:p>
    <w:p>
      <w:pPr>
        <w:pStyle w:val="Compact"/>
        <w:numPr>
          <w:ilvl w:val="0"/>
          <w:numId w:val="1001"/>
        </w:numPr>
        <w:spacing w:after="140" w:line="276" w:lineRule="auto"/>
      </w:pPr>
      <w:r>
        <w:rPr>
          <w:rFonts w:ascii="Arial" w:hAnsi="Arial"/>
          <w:b/>
          <w:bCs/>
          <w:color w:val="16191F"/>
          <w:sz w:val="21"/>
        </w:rPr>
        <w:t xml:space="preserve">Entry point</w:t>
      </w:r>
      <w:r>
        <w:rPr>
          <w:rFonts w:ascii="Arial" w:hAnsi="Arial"/>
          <w:color w:val="16191F"/>
          <w:sz w:val="21"/>
        </w:rPr>
        <w:t xml:space="preserve"> </w:t>
      </w:r>
      <w:r>
        <w:rPr>
          <w:rFonts w:ascii="Arial" w:hAnsi="Arial"/>
          <w:color w:val="16191F"/>
          <w:sz w:val="21"/>
        </w:rPr>
        <w:t xml:space="preserve">(Amazon CloudFront, Amazon Cognito, Amazon API Gateway): users reach the assistant over HTTPS, sign in, and call the API.</w:t>
      </w:r>
    </w:p>
    <w:p>
      <w:pPr>
        <w:pStyle w:val="Compact"/>
        <w:numPr>
          <w:ilvl w:val="0"/>
          <w:numId w:val="1001"/>
        </w:numPr>
        <w:spacing w:after="140" w:line="276" w:lineRule="auto"/>
      </w:pPr>
      <w:r>
        <w:rPr>
          <w:rFonts w:ascii="Arial" w:hAnsi="Arial"/>
          <w:b/>
          <w:bCs/>
          <w:color w:val="16191F"/>
          <w:sz w:val="21"/>
        </w:rPr>
        <w:t xml:space="preserve">Orchestrator</w:t>
      </w:r>
      <w:r>
        <w:rPr>
          <w:rFonts w:ascii="Arial" w:hAnsi="Arial"/>
          <w:color w:val="16191F"/>
          <w:sz w:val="21"/>
        </w:rPr>
        <w:t xml:space="preserve"> </w:t>
      </w:r>
      <w:r>
        <w:rPr>
          <w:rFonts w:ascii="Arial" w:hAnsi="Arial"/>
          <w:color w:val="16191F"/>
          <w:sz w:val="21"/>
        </w:rPr>
        <w:t xml:space="preserve">(AWS Lambda): retrieves passages and asks the model for an answer.</w:t>
      </w:r>
    </w:p>
    <w:p>
      <w:pPr>
        <w:pStyle w:val="Compact"/>
        <w:numPr>
          <w:ilvl w:val="0"/>
          <w:numId w:val="1001"/>
        </w:numPr>
        <w:spacing w:after="140" w:line="276" w:lineRule="auto"/>
      </w:pPr>
      <w:r>
        <w:rPr>
          <w:rFonts w:ascii="Arial" w:hAnsi="Arial"/>
          <w:b/>
          <w:bCs/>
          <w:color w:val="16191F"/>
          <w:sz w:val="21"/>
        </w:rPr>
        <w:t xml:space="preserve">Knowledge base</w:t>
      </w:r>
      <w:r>
        <w:rPr>
          <w:rFonts w:ascii="Arial" w:hAnsi="Arial"/>
          <w:color w:val="16191F"/>
          <w:sz w:val="21"/>
        </w:rPr>
        <w:t xml:space="preserve"> </w:t>
      </w:r>
      <w:r>
        <w:rPr>
          <w:rFonts w:ascii="Arial" w:hAnsi="Arial"/>
          <w:color w:val="16191F"/>
          <w:sz w:val="21"/>
        </w:rPr>
        <w:t xml:space="preserve">(Amazon Bedrock, Amazon OpenSearch Service): the foundation model and the vector index it answers from.</w:t>
      </w:r>
    </w:p>
    <w:p>
      <w:pPr>
        <w:pStyle w:val="Compact"/>
        <w:numPr>
          <w:ilvl w:val="0"/>
          <w:numId w:val="1001"/>
        </w:numPr>
        <w:spacing w:after="140" w:line="276" w:lineRule="auto"/>
      </w:pPr>
      <w:r>
        <w:rPr>
          <w:rFonts w:ascii="Arial" w:hAnsi="Arial"/>
          <w:b/>
          <w:bCs/>
          <w:color w:val="16191F"/>
          <w:sz w:val="21"/>
        </w:rPr>
        <w:t xml:space="preserve">Conversation store</w:t>
      </w:r>
      <w:r>
        <w:rPr>
          <w:rFonts w:ascii="Arial" w:hAnsi="Arial"/>
          <w:color w:val="16191F"/>
          <w:sz w:val="21"/>
        </w:rPr>
        <w:t xml:space="preserve"> </w:t>
      </w:r>
      <w:r>
        <w:rPr>
          <w:rFonts w:ascii="Arial" w:hAnsi="Arial"/>
          <w:color w:val="16191F"/>
          <w:sz w:val="21"/>
        </w:rPr>
        <w:t xml:space="preserve">(Amazon DynamoDB): the chat history for each conversation.</w:t>
      </w:r>
    </w:p>
    <w:p>
      <w:pPr>
        <w:pStyle w:val="Compact"/>
        <w:numPr>
          <w:ilvl w:val="0"/>
          <w:numId w:val="1001"/>
        </w:numPr>
        <w:spacing w:after="140" w:line="276" w:lineRule="auto"/>
      </w:pPr>
      <w:r>
        <w:rPr>
          <w:rFonts w:ascii="Arial" w:hAnsi="Arial"/>
          <w:b/>
          <w:bCs/>
          <w:color w:val="16191F"/>
          <w:sz w:val="21"/>
        </w:rPr>
        <w:t xml:space="preserve">Ingestion</w:t>
      </w:r>
      <w:r>
        <w:rPr>
          <w:rFonts w:ascii="Arial" w:hAnsi="Arial"/>
          <w:color w:val="16191F"/>
          <w:sz w:val="21"/>
        </w:rPr>
        <w:t xml:space="preserve"> </w:t>
      </w:r>
      <w:r>
        <w:rPr>
          <w:rFonts w:ascii="Arial" w:hAnsi="Arial"/>
          <w:color w:val="16191F"/>
          <w:sz w:val="21"/>
        </w:rPr>
        <w:t xml:space="preserve">(Amazon S3, AWS Step Functions, Amazon Textract, AWS Lambda): turns each document into indexed passages.</w:t>
      </w:r>
    </w:p>
    <w:bookmarkEnd w:id="17"/>
    <w:bookmarkStart w:id="23" w:name="_7358a4b57efbd9db5391dc065ed14fc5cdd1d80"/>
    <w:p>
      <w:pPr>
        <w:pStyle w:val="Heading1"/>
        <w:keepNext w:val="1"/>
        <w:pBdr>
          <w:bottom w:val="single" w:sz="12" w:space="4" w:color="FF9900"/>
        </w:pBdr>
        <w:spacing w:before="400" w:after="120"/>
      </w:pPr>
      <w:r>
        <w:rPr>
          <w:rFonts w:ascii="Arial" w:hAnsi="Arial"/>
          <w:b/>
          <w:color w:val="232F3E"/>
          <w:sz w:val="28"/>
        </w:rPr>
        <w:t xml:space="preserve">3. How the design works</w:t>
      </w:r>
    </w:p>
    <w:bookmarkStart w:id="18" w:name="_f761be55620a9c0268039300c0861831a1620e4"/>
    <w:p>
      <w:pPr>
        <w:pStyle w:val="Heading2"/>
        <w:keepNext w:val="1"/>
        <w:spacing w:before="280" w:after="120"/>
      </w:pPr>
      <w:r>
        <w:rPr>
          <w:rFonts w:ascii="Arial" w:hAnsi="Arial"/>
          <w:b/>
          <w:color w:val="232F3E"/>
          <w:sz w:val="26"/>
        </w:rPr>
        <w:t xml:space="preserve">3.1 Retrieval path</w:t>
      </w:r>
    </w:p>
    <w:p>
      <w:pPr>
        <w:pStyle w:val="FirstParagraph"/>
        <w:spacing w:after="140" w:line="276" w:lineRule="auto"/>
      </w:pPr>
      <w:r>
        <w:rPr>
          <w:rFonts w:ascii="Arial" w:hAnsi="Arial"/>
          <w:color w:val="16191F"/>
          <w:sz w:val="21"/>
        </w:rPr>
        <w:t xml:space="preserve">A signed-in user sends a question through Amazon API Gateway, which checks the Amazon Cognito token. An AWS Lambda function retrieves the closest passages from the vector index in Amazon OpenSearch Service. It then asks a foundation model in Amazon Bedrock to answer from those passages only, keeping the conversation in Amazon DynamoDB.</w:t>
      </w:r>
    </w:p>
    <w:bookmarkEnd w:id="18"/>
    <w:bookmarkStart w:id="19" w:name="_f79557b77de46e350b9821ec74d59cf6abc889f"/>
    <w:p>
      <w:pPr>
        <w:pStyle w:val="Heading2"/>
        <w:keepNext w:val="1"/>
        <w:spacing w:before="280" w:after="120"/>
      </w:pPr>
      <w:r>
        <w:rPr>
          <w:rFonts w:ascii="Arial" w:hAnsi="Arial"/>
          <w:b/>
          <w:color w:val="232F3E"/>
          <w:sz w:val="26"/>
        </w:rPr>
        <w:t xml:space="preserve">3.2 Ingestion path</w:t>
      </w:r>
    </w:p>
    <w:p>
      <w:pPr>
        <w:pStyle w:val="FirstParagraph"/>
        <w:spacing w:after="140" w:line="276" w:lineRule="auto"/>
      </w:pPr>
      <w:r>
        <w:rPr>
          <w:rFonts w:ascii="Arial" w:hAnsi="Arial"/>
          <w:color w:val="16191F"/>
          <w:sz w:val="21"/>
        </w:rPr>
        <w:t xml:space="preserve">An AWS Step Functions workflow takes each document placed in Amazon S3 and extracts its text with Amazon Textract. It then chunks and embeds the text and writes it to the index. Retiring a document runs the same workflow, which deletes the document's chunks from the index.</w:t>
      </w:r>
    </w:p>
    <w:bookmarkEnd w:id="19"/>
    <w:bookmarkStart w:id="20" w:name="_421cdef3e193fb3ec0da4c52f3fc8b81ed2ac62"/>
    <w:p>
      <w:pPr>
        <w:pStyle w:val="Heading2"/>
        <w:keepNext w:val="1"/>
        <w:spacing w:before="280" w:after="120"/>
      </w:pPr>
      <w:r>
        <w:rPr>
          <w:rFonts w:ascii="Arial" w:hAnsi="Arial"/>
          <w:b/>
          <w:color w:val="232F3E"/>
          <w:sz w:val="26"/>
        </w:rPr>
        <w:t xml:space="preserve">3.3 Identity and data protection</w:t>
      </w:r>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2888"/>
        <w:gridCol w:w="6137"/>
      </w:tblGrid>
      <w:tr>
        <w:trPr>
          <w:cantSplit/>
          <w:tblHeader w:val="on"/>
        </w:trPr>
        <w:tc>
          <w:tcPr>
            <w:tcW w:w="2888" w:type="dxa"/>
            <w:shd w:val="clear" w:fill="232F3E"/>
          </w:tcPr>
          <w:p>
            <w:pPr>
              <w:pStyle w:val="Compact"/>
            </w:pPr>
            <w:r>
              <w:rPr>
                <w:rFonts w:ascii="Arial" w:hAnsi="Arial"/>
                <w:b/>
                <w:color w:val="FFFFFF"/>
                <w:sz w:val="20"/>
              </w:rPr>
              <w:t xml:space="preserve">Area</w:t>
            </w:r>
          </w:p>
        </w:tc>
        <w:tc>
          <w:tcPr>
            <w:tcW w:w="6137" w:type="dxa"/>
            <w:shd w:val="clear" w:fill="232F3E"/>
          </w:tcPr>
          <w:p>
            <w:pPr>
              <w:pStyle w:val="Compact"/>
            </w:pPr>
            <w:r>
              <w:rPr>
                <w:rFonts w:ascii="Arial" w:hAnsi="Arial"/>
                <w:b/>
                <w:color w:val="FFFFFF"/>
                <w:sz w:val="20"/>
              </w:rPr>
              <w:t xml:space="preserve">Design</w:t>
            </w:r>
          </w:p>
        </w:tc>
      </w:tr>
      <w:tr>
        <w:trPr>
          <w:cantSplit/>
        </w:trPr>
        <w:tc>
          <w:tcPr>
            <w:tcW w:w="2888" w:type="dxa"/>
          </w:tcPr>
          <w:p>
            <w:pPr>
              <w:pStyle w:val="Compact"/>
            </w:pPr>
            <w:r>
              <w:rPr>
                <w:rFonts w:ascii="Arial" w:hAnsi="Arial"/>
                <w:color w:val="16191F"/>
                <w:sz w:val="20"/>
              </w:rPr>
              <w:t xml:space="preserve">Identity</w:t>
            </w:r>
          </w:p>
        </w:tc>
        <w:tc>
          <w:tcPr>
            <w:tcW w:w="6137" w:type="dxa"/>
          </w:tcPr>
          <w:p>
            <w:pPr>
              <w:pStyle w:val="Compact"/>
            </w:pPr>
            <w:r>
              <w:rPr>
                <w:rFonts w:ascii="Arial" w:hAnsi="Arial"/>
                <w:color w:val="16191F"/>
                <w:sz w:val="20"/>
              </w:rPr>
              <w:t xml:space="preserve">Users sign in to an Amazon Cognito user pool; API Gateway accepts only requests carrying a valid token (NFR1)</w:t>
            </w:r>
          </w:p>
        </w:tc>
      </w:tr>
      <w:tr>
        <w:trPr>
          <w:cantSplit/>
        </w:trPr>
        <w:tc>
          <w:tcPr>
            <w:tcW w:w="2888" w:type="dxa"/>
          </w:tcPr>
          <w:p>
            <w:pPr>
              <w:pStyle w:val="Compact"/>
            </w:pPr>
            <w:r>
              <w:rPr>
                <w:rFonts w:ascii="Arial" w:hAnsi="Arial"/>
                <w:color w:val="16191F"/>
                <w:sz w:val="20"/>
              </w:rPr>
              <w:t xml:space="preserve">Encryption</w:t>
            </w:r>
          </w:p>
        </w:tc>
        <w:tc>
          <w:tcPr>
            <w:tcW w:w="6137" w:type="dxa"/>
          </w:tcPr>
          <w:p>
            <w:pPr>
              <w:pStyle w:val="Compact"/>
            </w:pPr>
            <w:r>
              <w:rPr>
                <w:rFonts w:ascii="Arial" w:hAnsi="Arial"/>
                <w:color w:val="16191F"/>
                <w:sz w:val="20"/>
              </w:rPr>
              <w:t xml:space="preserve">Documents in Amazon S3 are encrypted at rest; the platform team decides whether to use its own AWS KMS key</w:t>
            </w:r>
          </w:p>
        </w:tc>
      </w:tr>
      <w:tr>
        <w:trPr>
          <w:cantSplit/>
        </w:trPr>
        <w:tc>
          <w:tcPr>
            <w:tcW w:w="2888" w:type="dxa"/>
          </w:tcPr>
          <w:p>
            <w:pPr>
              <w:pStyle w:val="Compact"/>
            </w:pPr>
            <w:r>
              <w:rPr>
                <w:rFonts w:ascii="Arial" w:hAnsi="Arial"/>
                <w:color w:val="16191F"/>
                <w:sz w:val="20"/>
              </w:rPr>
              <w:t xml:space="preserve">Model data</w:t>
            </w:r>
          </w:p>
        </w:tc>
        <w:tc>
          <w:tcPr>
            <w:tcW w:w="6137" w:type="dxa"/>
          </w:tcPr>
          <w:p>
            <w:pPr>
              <w:pStyle w:val="Compact"/>
            </w:pPr>
            <w:r>
              <w:rPr>
                <w:rFonts w:ascii="Arial" w:hAnsi="Arial"/>
                <w:color w:val="16191F"/>
                <w:sz w:val="20"/>
              </w:rPr>
              <w:t xml:space="preserve">Model providers have no access to the prompts and completions the assistant sends</w:t>
            </w:r>
          </w:p>
        </w:tc>
      </w:tr>
      <w:tr>
        <w:trPr>
          <w:cantSplit/>
        </w:trPr>
        <w:tc>
          <w:tcPr>
            <w:tcW w:w="2888" w:type="dxa"/>
          </w:tcPr>
          <w:p>
            <w:pPr>
              <w:pStyle w:val="Compact"/>
            </w:pPr>
            <w:r>
              <w:rPr>
                <w:rFonts w:ascii="Arial" w:hAnsi="Arial"/>
                <w:color w:val="16191F"/>
                <w:sz w:val="20"/>
              </w:rPr>
              <w:t xml:space="preserve">Content safety</w:t>
            </w:r>
          </w:p>
        </w:tc>
        <w:tc>
          <w:tcPr>
            <w:tcW w:w="6137" w:type="dxa"/>
          </w:tcPr>
          <w:p>
            <w:pPr>
              <w:pStyle w:val="Compact"/>
            </w:pPr>
            <w:r>
              <w:rPr>
                <w:rFonts w:ascii="Arial" w:hAnsi="Arial"/>
                <w:color w:val="16191F"/>
                <w:sz w:val="20"/>
              </w:rPr>
              <w:t xml:space="preserve">An Amazon Bedrock guardrail filters harmful input and model responses</w:t>
            </w:r>
          </w:p>
        </w:tc>
      </w:tr>
      <w:tr>
        <w:trPr>
          <w:cantSplit/>
        </w:trPr>
        <w:tc>
          <w:tcPr>
            <w:tcW w:w="2888" w:type="dxa"/>
          </w:tcPr>
          <w:p>
            <w:pPr>
              <w:pStyle w:val="Compact"/>
            </w:pPr>
            <w:r>
              <w:rPr>
                <w:rFonts w:ascii="Arial" w:hAnsi="Arial"/>
                <w:color w:val="16191F"/>
                <w:sz w:val="20"/>
              </w:rPr>
              <w:t xml:space="preserve">Retention</w:t>
            </w:r>
          </w:p>
        </w:tc>
        <w:tc>
          <w:tcPr>
            <w:tcW w:w="6137" w:type="dxa"/>
          </w:tcPr>
          <w:p>
            <w:pPr>
              <w:pStyle w:val="Compact"/>
            </w:pPr>
            <w:r>
              <w:rPr>
                <w:rFonts w:ascii="Arial" w:hAnsi="Arial"/>
                <w:color w:val="16191F"/>
                <w:sz w:val="20"/>
              </w:rPr>
              <w:t xml:space="preserve">Conversation items carry a TTL; DynamoDB deletes them in the background after expiry, so retention is at least the TTL, not exactly it</w:t>
            </w:r>
          </w:p>
        </w:tc>
      </w:tr>
    </w:tbl>
    <w:bookmarkEnd w:id="20"/>
    <w:bookmarkStart w:id="22" w:name="_73f4f86f2ba3f0885958ebacf4855057ace0f63"/>
    <w:p>
      <w:pPr>
        <w:pStyle w:val="Heading2"/>
        <w:keepNext w:val="1"/>
        <w:spacing w:before="280" w:after="120"/>
      </w:pPr>
      <w:r>
        <w:rPr>
          <w:rFonts w:ascii="Arial" w:hAnsi="Arial"/>
          <w:b/>
          <w:color w:val="232F3E"/>
          <w:sz w:val="26"/>
        </w:rPr>
        <w:t xml:space="preserve">3.4 Failure handling</w:t>
      </w:r>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3008"/>
        <w:gridCol w:w="3008"/>
        <w:gridCol w:w="3008"/>
      </w:tblGrid>
      <w:tr>
        <w:trPr>
          <w:cantSplit/>
          <w:tblHeader w:val="on"/>
        </w:trPr>
        <w:tc>
          <w:tcPr>
            <w:tcW w:w="3008" w:type="dxa"/>
            <w:shd w:val="clear" w:fill="232F3E"/>
          </w:tcPr>
          <w:p>
            <w:pPr>
              <w:pStyle w:val="Compact"/>
            </w:pPr>
            <w:r>
              <w:rPr>
                <w:rFonts w:ascii="Arial" w:hAnsi="Arial"/>
                <w:b/>
                <w:color w:val="FFFFFF"/>
                <w:sz w:val="20"/>
              </w:rPr>
              <w:t xml:space="preserve">Failure</w:t>
            </w:r>
          </w:p>
        </w:tc>
        <w:tc>
          <w:tcPr>
            <w:tcW w:w="3008" w:type="dxa"/>
            <w:shd w:val="clear" w:fill="232F3E"/>
          </w:tcPr>
          <w:p>
            <w:pPr>
              <w:pStyle w:val="Compact"/>
            </w:pPr>
            <w:r>
              <w:rPr>
                <w:rFonts w:ascii="Arial" w:hAnsi="Arial"/>
                <w:b/>
                <w:color w:val="FFFFFF"/>
                <w:sz w:val="20"/>
              </w:rPr>
              <w:t xml:space="preserve">Detection</w:t>
            </w:r>
          </w:p>
        </w:tc>
        <w:tc>
          <w:tcPr>
            <w:tcW w:w="3008" w:type="dxa"/>
            <w:shd w:val="clear" w:fill="232F3E"/>
          </w:tcPr>
          <w:p>
            <w:pPr>
              <w:pStyle w:val="Compact"/>
            </w:pPr>
            <w:r>
              <w:rPr>
                <w:rFonts w:ascii="Arial" w:hAnsi="Arial"/>
                <w:b/>
                <w:color w:val="FFFFFF"/>
                <w:sz w:val="20"/>
              </w:rPr>
              <w:t xml:space="preserve">Response</w:t>
            </w:r>
          </w:p>
        </w:tc>
      </w:tr>
      <w:tr>
        <w:trPr>
          <w:cantSplit/>
        </w:trPr>
        <w:tc>
          <w:tcPr>
            <w:tcW w:w="3008" w:type="dxa"/>
          </w:tcPr>
          <w:p>
            <w:pPr>
              <w:pStyle w:val="Compact"/>
            </w:pPr>
            <w:r>
              <w:rPr>
                <w:rFonts w:ascii="Arial" w:hAnsi="Arial"/>
                <w:color w:val="16191F"/>
                <w:sz w:val="20"/>
              </w:rPr>
              <w:t xml:space="preserve">A long answer runs past the</w:t>
            </w:r>
            <w:r>
              <w:rPr>
                <w:rFonts w:ascii="Arial" w:hAnsi="Arial"/>
                <w:color w:val="16191F"/>
                <w:sz w:val="20"/>
              </w:rPr>
              <w:t xml:space="preserve"> </w:t>
            </w:r>
            <w:hyperlink r:id="rId21">
              <w:r>
                <w:rPr>
                  <w:rStyle w:val="Hyperlink"/>
                </w:rPr>
                <w:t xml:space="preserve">API integration timeout</w:t>
              </w:r>
            </w:hyperlink>
          </w:p>
        </w:tc>
        <w:tc>
          <w:tcPr>
            <w:tcW w:w="3008" w:type="dxa"/>
          </w:tcPr>
          <w:p>
            <w:pPr>
              <w:pStyle w:val="Compact"/>
            </w:pPr>
            <w:r>
              <w:rPr>
                <w:rFonts w:ascii="Arial" w:hAnsi="Arial"/>
                <w:color w:val="16191F"/>
                <w:sz w:val="20"/>
              </w:rPr>
              <w:t xml:space="preserve">API Gateway returns a timeout error to the user</w:t>
            </w:r>
          </w:p>
        </w:tc>
        <w:tc>
          <w:tcPr>
            <w:tcW w:w="3008" w:type="dxa"/>
          </w:tcPr>
          <w:p>
            <w:pPr>
              <w:pStyle w:val="Compact"/>
            </w:pPr>
            <w:r>
              <w:rPr>
                <w:rFonts w:ascii="Arial" w:hAnsi="Arial"/>
                <w:color w:val="16191F"/>
                <w:sz w:val="20"/>
              </w:rPr>
              <w:t xml:space="preserve">Retrieved passages and response length are capped (NFR2)</w:t>
            </w:r>
          </w:p>
        </w:tc>
      </w:tr>
      <w:tr>
        <w:trPr>
          <w:cantSplit/>
        </w:trPr>
        <w:tc>
          <w:tcPr>
            <w:tcW w:w="3008" w:type="dxa"/>
          </w:tcPr>
          <w:p>
            <w:pPr>
              <w:pStyle w:val="Compact"/>
            </w:pPr>
            <w:r>
              <w:rPr>
                <w:rFonts w:ascii="Arial" w:hAnsi="Arial"/>
                <w:color w:val="16191F"/>
                <w:sz w:val="20"/>
              </w:rPr>
              <w:t xml:space="preserve">An ingestion step fails</w:t>
            </w:r>
          </w:p>
        </w:tc>
        <w:tc>
          <w:tcPr>
            <w:tcW w:w="3008" w:type="dxa"/>
          </w:tcPr>
          <w:p>
            <w:pPr>
              <w:pStyle w:val="Compact"/>
            </w:pPr>
            <w:r>
              <w:rPr>
                <w:rFonts w:ascii="Arial" w:hAnsi="Arial"/>
                <w:color w:val="16191F"/>
                <w:sz w:val="20"/>
              </w:rPr>
              <w:t xml:space="preserve">The Step Functions execution reports the error</w:t>
            </w:r>
          </w:p>
        </w:tc>
        <w:tc>
          <w:tcPr>
            <w:tcW w:w="3008" w:type="dxa"/>
          </w:tcPr>
          <w:p>
            <w:pPr>
              <w:pStyle w:val="Compact"/>
            </w:pPr>
            <w:r>
              <w:rPr>
                <w:rFonts w:ascii="Arial" w:hAnsi="Arial"/>
                <w:color w:val="16191F"/>
                <w:sz w:val="20"/>
              </w:rPr>
              <w:t xml:space="preserve">The workflow retries the step, then catches the failure so the document is not half indexed</w:t>
            </w:r>
          </w:p>
        </w:tc>
      </w:tr>
    </w:tbl>
    <w:bookmarkEnd w:id="22"/>
    <w:bookmarkEnd w:id="23"/>
    <w:bookmarkStart w:id="24" w:name="_d988756df54e11a8e09fedd20b5e0b4141604d9"/>
    <w:p>
      <w:pPr>
        <w:pStyle w:val="Heading1"/>
        <w:keepNext w:val="1"/>
        <w:pBdr>
          <w:bottom w:val="single" w:sz="12" w:space="4" w:color="FF9900"/>
        </w:pBdr>
        <w:spacing w:before="400" w:after="120"/>
      </w:pPr>
      <w:r>
        <w:rPr>
          <w:rFonts w:ascii="Arial" w:hAnsi="Arial"/>
          <w:b/>
          <w:color w:val="232F3E"/>
          <w:sz w:val="28"/>
        </w:rPr>
        <w:t xml:space="preserve">4. Roles and responsibilities</w:t>
      </w:r>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3008"/>
        <w:gridCol w:w="3008"/>
        <w:gridCol w:w="3008"/>
      </w:tblGrid>
      <w:tr>
        <w:trPr>
          <w:cantSplit/>
          <w:tblHeader w:val="on"/>
        </w:trPr>
        <w:tc>
          <w:tcPr>
            <w:tcW w:w="3008" w:type="dxa"/>
            <w:shd w:val="clear" w:fill="232F3E"/>
          </w:tcPr>
          <w:p>
            <w:pPr>
              <w:pStyle w:val="Compact"/>
            </w:pPr>
            <w:r>
              <w:rPr>
                <w:rFonts w:ascii="Arial" w:hAnsi="Arial"/>
                <w:b/>
                <w:color w:val="FFFFFF"/>
                <w:sz w:val="20"/>
              </w:rPr>
              <w:t xml:space="preserve">Team</w:t>
            </w:r>
          </w:p>
        </w:tc>
        <w:tc>
          <w:tcPr>
            <w:tcW w:w="3008" w:type="dxa"/>
            <w:shd w:val="clear" w:fill="232F3E"/>
          </w:tcPr>
          <w:p>
            <w:pPr>
              <w:pStyle w:val="Compact"/>
            </w:pPr>
            <w:r>
              <w:rPr>
                <w:rFonts w:ascii="Arial" w:hAnsi="Arial"/>
                <w:b/>
                <w:color w:val="FFFFFF"/>
                <w:sz w:val="20"/>
              </w:rPr>
              <w:t xml:space="preserve">Owns and operates</w:t>
            </w:r>
          </w:p>
        </w:tc>
        <w:tc>
          <w:tcPr>
            <w:tcW w:w="3008" w:type="dxa"/>
            <w:shd w:val="clear" w:fill="232F3E"/>
          </w:tcPr>
          <w:p>
            <w:pPr>
              <w:pStyle w:val="Compact"/>
            </w:pPr>
            <w:r>
              <w:rPr>
                <w:rFonts w:ascii="Arial" w:hAnsi="Arial"/>
                <w:b/>
                <w:color w:val="FFFFFF"/>
                <w:sz w:val="20"/>
              </w:rPr>
              <w:t xml:space="preserve">Does not own</w:t>
            </w:r>
          </w:p>
        </w:tc>
      </w:tr>
      <w:tr>
        <w:trPr>
          <w:cantSplit/>
        </w:trPr>
        <w:tc>
          <w:tcPr>
            <w:tcW w:w="3008" w:type="dxa"/>
          </w:tcPr>
          <w:p>
            <w:pPr>
              <w:pStyle w:val="Compact"/>
            </w:pPr>
            <w:r>
              <w:rPr>
                <w:rFonts w:ascii="Arial" w:hAnsi="Arial"/>
                <w:color w:val="16191F"/>
                <w:sz w:val="20"/>
              </w:rPr>
              <w:t xml:space="preserve">Platform team</w:t>
            </w:r>
          </w:p>
        </w:tc>
        <w:tc>
          <w:tcPr>
            <w:tcW w:w="3008" w:type="dxa"/>
          </w:tcPr>
          <w:p>
            <w:pPr>
              <w:pStyle w:val="Compact"/>
            </w:pPr>
            <w:r>
              <w:rPr>
                <w:rFonts w:ascii="Arial" w:hAnsi="Arial"/>
                <w:color w:val="16191F"/>
                <w:sz w:val="20"/>
              </w:rPr>
              <w:t xml:space="preserve">The API, model access and guardrails, the vector index and the ingestion workflow</w:t>
            </w:r>
          </w:p>
        </w:tc>
        <w:tc>
          <w:tcPr>
            <w:tcW w:w="3008" w:type="dxa"/>
          </w:tcPr>
          <w:p>
            <w:pPr>
              <w:pStyle w:val="Compact"/>
            </w:pPr>
            <w:r>
              <w:rPr>
                <w:rFonts w:ascii="Arial" w:hAnsi="Arial"/>
                <w:color w:val="16191F"/>
                <w:sz w:val="20"/>
              </w:rPr>
              <w:t xml:space="preserve">The source documents, or what is published to the index</w:t>
            </w:r>
          </w:p>
        </w:tc>
      </w:tr>
      <w:tr>
        <w:trPr>
          <w:cantSplit/>
        </w:trPr>
        <w:tc>
          <w:tcPr>
            <w:tcW w:w="3008" w:type="dxa"/>
          </w:tcPr>
          <w:p>
            <w:pPr>
              <w:pStyle w:val="Compact"/>
            </w:pPr>
            <w:r>
              <w:rPr>
                <w:rFonts w:ascii="Arial" w:hAnsi="Arial"/>
                <w:color w:val="16191F"/>
                <w:sz w:val="20"/>
              </w:rPr>
              <w:t xml:space="preserve">Content owners</w:t>
            </w:r>
          </w:p>
        </w:tc>
        <w:tc>
          <w:tcPr>
            <w:tcW w:w="3008" w:type="dxa"/>
          </w:tcPr>
          <w:p>
            <w:pPr>
              <w:pStyle w:val="Compact"/>
            </w:pPr>
            <w:r>
              <w:rPr>
                <w:rFonts w:ascii="Arial" w:hAnsi="Arial"/>
                <w:color w:val="16191F"/>
                <w:sz w:val="20"/>
              </w:rPr>
              <w:t xml:space="preserve">The source documents, and what is published to the index</w:t>
            </w:r>
          </w:p>
        </w:tc>
        <w:tc>
          <w:tcPr>
            <w:tcW w:w="3008" w:type="dxa"/>
          </w:tcPr>
          <w:p>
            <w:pPr>
              <w:pStyle w:val="Compact"/>
            </w:pPr>
            <w:r>
              <w:rPr>
                <w:rFonts w:ascii="Arial" w:hAnsi="Arial"/>
                <w:color w:val="16191F"/>
                <w:sz w:val="20"/>
              </w:rPr>
              <w:t xml:space="preserve">The API, the models or the guardrails</w:t>
            </w:r>
          </w:p>
        </w:tc>
      </w:tr>
    </w:tbl>
    <w:bookmarkEnd w:id="24"/>
    <w:bookmarkStart w:id="25" w:name="_ac6d1e5234ba28b48f60d660bd6bf6a4892dd60"/>
    <w:p>
      <w:pPr>
        <w:pStyle w:val="Heading1"/>
        <w:keepNext w:val="1"/>
        <w:pBdr>
          <w:bottom w:val="single" w:sz="12" w:space="4" w:color="FF9900"/>
        </w:pBdr>
        <w:spacing w:before="400" w:after="120"/>
      </w:pPr>
      <w:r>
        <w:rPr>
          <w:rFonts w:ascii="Arial" w:hAnsi="Arial"/>
          <w:b/>
          <w:color w:val="232F3E"/>
          <w:sz w:val="28"/>
        </w:rPr>
        <w:t xml:space="preserve">5. Key architecture decisions</w:t>
      </w:r>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2256"/>
        <w:gridCol w:w="2256"/>
        <w:gridCol w:w="2256"/>
        <w:gridCol w:w="2256"/>
      </w:tblGrid>
      <w:tr>
        <w:trPr>
          <w:cantSplit/>
          <w:tblHeader w:val="on"/>
        </w:trPr>
        <w:tc>
          <w:tcPr>
            <w:tcW w:w="2256" w:type="dxa"/>
            <w:shd w:val="clear" w:fill="232F3E"/>
          </w:tcPr>
          <w:p>
            <w:pPr>
              <w:pStyle w:val="Compact"/>
            </w:pPr>
            <w:r>
              <w:rPr>
                <w:rFonts w:ascii="Arial" w:hAnsi="Arial"/>
                <w:b/>
                <w:color w:val="FFFFFF"/>
                <w:sz w:val="20"/>
              </w:rPr>
              <w:t xml:space="preserve">ID</w:t>
            </w:r>
          </w:p>
        </w:tc>
        <w:tc>
          <w:tcPr>
            <w:tcW w:w="2256" w:type="dxa"/>
            <w:shd w:val="clear" w:fill="232F3E"/>
          </w:tcPr>
          <w:p>
            <w:pPr>
              <w:pStyle w:val="Compact"/>
            </w:pPr>
            <w:r>
              <w:rPr>
                <w:rFonts w:ascii="Arial" w:hAnsi="Arial"/>
                <w:b/>
                <w:color w:val="FFFFFF"/>
                <w:sz w:val="20"/>
              </w:rPr>
              <w:t xml:space="preserve">Decision</w:t>
            </w:r>
          </w:p>
        </w:tc>
        <w:tc>
          <w:tcPr>
            <w:tcW w:w="2256" w:type="dxa"/>
            <w:shd w:val="clear" w:fill="232F3E"/>
          </w:tcPr>
          <w:p>
            <w:pPr>
              <w:pStyle w:val="Compact"/>
            </w:pPr>
            <w:r>
              <w:rPr>
                <w:rFonts w:ascii="Arial" w:hAnsi="Arial"/>
                <w:b/>
                <w:color w:val="FFFFFF"/>
                <w:sz w:val="20"/>
              </w:rPr>
              <w:t xml:space="preserve">Rationale</w:t>
            </w:r>
          </w:p>
        </w:tc>
        <w:tc>
          <w:tcPr>
            <w:tcW w:w="2256" w:type="dxa"/>
            <w:shd w:val="clear" w:fill="232F3E"/>
          </w:tcPr>
          <w:p>
            <w:pPr>
              <w:pStyle w:val="Compact"/>
            </w:pPr>
            <w:r>
              <w:rPr>
                <w:rFonts w:ascii="Arial" w:hAnsi="Arial"/>
                <w:b/>
                <w:color w:val="FFFFFF"/>
                <w:sz w:val="20"/>
              </w:rPr>
              <w:t xml:space="preserve">Reversible?</w:t>
            </w:r>
          </w:p>
        </w:tc>
      </w:tr>
      <w:tr>
        <w:trPr>
          <w:cantSplit/>
        </w:trPr>
        <w:tc>
          <w:tcPr>
            <w:tcW w:w="2256" w:type="dxa"/>
          </w:tcPr>
          <w:p>
            <w:pPr>
              <w:pStyle w:val="Compact"/>
            </w:pPr>
            <w:r>
              <w:rPr>
                <w:rFonts w:ascii="Arial" w:hAnsi="Arial"/>
                <w:color w:val="16191F"/>
                <w:sz w:val="20"/>
              </w:rPr>
              <w:t xml:space="preserve">D1</w:t>
            </w:r>
          </w:p>
        </w:tc>
        <w:tc>
          <w:tcPr>
            <w:tcW w:w="2256" w:type="dxa"/>
          </w:tcPr>
          <w:p>
            <w:pPr>
              <w:pStyle w:val="Compact"/>
            </w:pPr>
            <w:r>
              <w:rPr>
                <w:rFonts w:ascii="Arial" w:hAnsi="Arial"/>
                <w:color w:val="16191F"/>
                <w:sz w:val="20"/>
              </w:rPr>
              <w:t xml:space="preserve">Retrieval before generation</w:t>
            </w:r>
          </w:p>
        </w:tc>
        <w:tc>
          <w:tcPr>
            <w:tcW w:w="2256" w:type="dxa"/>
          </w:tcPr>
          <w:p>
            <w:pPr>
              <w:pStyle w:val="Compact"/>
            </w:pPr>
            <w:r>
              <w:rPr>
                <w:rFonts w:ascii="Arial" w:hAnsi="Arial"/>
                <w:color w:val="16191F"/>
                <w:sz w:val="20"/>
              </w:rPr>
              <w:t xml:space="preserve">Answers cite approved content instead of the model's general knowledge (R1)</w:t>
            </w:r>
          </w:p>
        </w:tc>
        <w:tc>
          <w:tcPr>
            <w:tcW w:w="2256" w:type="dxa"/>
          </w:tcPr>
          <w:p>
            <w:pPr>
              <w:pStyle w:val="Compact"/>
            </w:pPr>
            <w:r>
              <w:rPr>
                <w:rFonts w:ascii="Arial" w:hAnsi="Arial"/>
                <w:color w:val="16191F"/>
                <w:sz w:val="20"/>
              </w:rPr>
              <w:t xml:space="preserve">No: the index and the ingestion path exist only to serve it</w:t>
            </w:r>
          </w:p>
        </w:tc>
      </w:tr>
      <w:tr>
        <w:trPr>
          <w:cantSplit/>
        </w:trPr>
        <w:tc>
          <w:tcPr>
            <w:tcW w:w="2256" w:type="dxa"/>
          </w:tcPr>
          <w:p>
            <w:pPr>
              <w:pStyle w:val="Compact"/>
            </w:pPr>
            <w:r>
              <w:rPr>
                <w:rFonts w:ascii="Arial" w:hAnsi="Arial"/>
                <w:color w:val="16191F"/>
                <w:sz w:val="20"/>
              </w:rPr>
              <w:t xml:space="preserve">D2</w:t>
            </w:r>
          </w:p>
        </w:tc>
        <w:tc>
          <w:tcPr>
            <w:tcW w:w="2256" w:type="dxa"/>
          </w:tcPr>
          <w:p>
            <w:pPr>
              <w:pStyle w:val="Compact"/>
            </w:pPr>
            <w:r>
              <w:rPr>
                <w:rFonts w:ascii="Arial" w:hAnsi="Arial"/>
                <w:color w:val="16191F"/>
                <w:sz w:val="20"/>
              </w:rPr>
              <w:t xml:space="preserve">Ingestion separate from serving</w:t>
            </w:r>
          </w:p>
        </w:tc>
        <w:tc>
          <w:tcPr>
            <w:tcW w:w="2256" w:type="dxa"/>
          </w:tcPr>
          <w:p>
            <w:pPr>
              <w:pStyle w:val="Compact"/>
            </w:pPr>
            <w:r>
              <w:rPr>
                <w:rFonts w:ascii="Arial" w:hAnsi="Arial"/>
                <w:color w:val="16191F"/>
                <w:sz w:val="20"/>
              </w:rPr>
              <w:t xml:space="preserve">A content change never needs a redeploy of the API (R2)</w:t>
            </w:r>
          </w:p>
        </w:tc>
        <w:tc>
          <w:tcPr>
            <w:tcW w:w="2256" w:type="dxa"/>
          </w:tcPr>
          <w:p>
            <w:pPr>
              <w:pStyle w:val="Compact"/>
            </w:pPr>
            <w:r>
              <w:rPr>
                <w:rFonts w:ascii="Arial" w:hAnsi="Arial"/>
                <w:color w:val="16191F"/>
                <w:sz w:val="20"/>
              </w:rPr>
              <w:t xml:space="preserve">Yes: the two paths share only the index</w:t>
            </w:r>
          </w:p>
        </w:tc>
      </w:tr>
    </w:tbl>
    <w:bookmarkEnd w:id="25"/>
    <w:bookmarkStart w:id="26" w:name="_a9b33275dcd1ba2715acb3fd595d2a1f9e5d19d"/>
    <w:p>
      <w:pPr>
        <w:pStyle w:val="Heading1"/>
        <w:keepNext w:val="1"/>
        <w:pBdr>
          <w:bottom w:val="single" w:sz="12" w:space="4" w:color="FF9900"/>
        </w:pBdr>
        <w:spacing w:before="400" w:after="120"/>
      </w:pPr>
      <w:r>
        <w:rPr>
          <w:rFonts w:ascii="Arial" w:hAnsi="Arial"/>
          <w:b/>
          <w:color w:val="232F3E"/>
          <w:sz w:val="28"/>
        </w:rPr>
        <w:t xml:space="preserve">6. High-level implementation steps</w:t>
      </w:r>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2256"/>
        <w:gridCol w:w="2256"/>
        <w:gridCol w:w="2256"/>
        <w:gridCol w:w="2256"/>
      </w:tblGrid>
      <w:tr>
        <w:trPr>
          <w:cantSplit/>
          <w:tblHeader w:val="on"/>
        </w:trPr>
        <w:tc>
          <w:tcPr>
            <w:tcW w:w="2256" w:type="dxa"/>
            <w:shd w:val="clear" w:fill="232F3E"/>
          </w:tcPr>
          <w:p>
            <w:pPr>
              <w:pStyle w:val="Compact"/>
            </w:pPr>
            <w:r>
              <w:rPr>
                <w:rFonts w:ascii="Arial" w:hAnsi="Arial"/>
                <w:b/>
                <w:color w:val="FFFFFF"/>
                <w:sz w:val="20"/>
              </w:rPr>
              <w:t xml:space="preserve">#</w:t>
            </w:r>
          </w:p>
        </w:tc>
        <w:tc>
          <w:tcPr>
            <w:tcW w:w="2256" w:type="dxa"/>
            <w:shd w:val="clear" w:fill="232F3E"/>
          </w:tcPr>
          <w:p>
            <w:pPr>
              <w:pStyle w:val="Compact"/>
            </w:pPr>
            <w:r>
              <w:rPr>
                <w:rFonts w:ascii="Arial" w:hAnsi="Arial"/>
                <w:b/>
                <w:color w:val="FFFFFF"/>
                <w:sz w:val="20"/>
              </w:rPr>
              <w:t xml:space="preserve">Step</w:t>
            </w:r>
          </w:p>
        </w:tc>
        <w:tc>
          <w:tcPr>
            <w:tcW w:w="2256" w:type="dxa"/>
            <w:shd w:val="clear" w:fill="232F3E"/>
          </w:tcPr>
          <w:p>
            <w:pPr>
              <w:pStyle w:val="Compact"/>
            </w:pPr>
            <w:r>
              <w:rPr>
                <w:rFonts w:ascii="Arial" w:hAnsi="Arial"/>
                <w:b/>
                <w:color w:val="FFFFFF"/>
                <w:sz w:val="20"/>
              </w:rPr>
              <w:t xml:space="preserve">Owner</w:t>
            </w:r>
          </w:p>
        </w:tc>
        <w:tc>
          <w:tcPr>
            <w:tcW w:w="2256" w:type="dxa"/>
            <w:shd w:val="clear" w:fill="232F3E"/>
          </w:tcPr>
          <w:p>
            <w:pPr>
              <w:pStyle w:val="Compact"/>
            </w:pPr>
            <w:r>
              <w:rPr>
                <w:rFonts w:ascii="Arial" w:hAnsi="Arial"/>
                <w:b/>
                <w:color w:val="FFFFFF"/>
                <w:sz w:val="20"/>
              </w:rPr>
              <w:t xml:space="preserve">Where</w:t>
            </w:r>
          </w:p>
        </w:tc>
      </w:tr>
      <w:tr>
        <w:trPr>
          <w:cantSplit/>
        </w:trPr>
        <w:tc>
          <w:tcPr>
            <w:tcW w:w="2256" w:type="dxa"/>
          </w:tcPr>
          <w:p>
            <w:pPr>
              <w:pStyle w:val="Compact"/>
            </w:pPr>
            <w:r>
              <w:rPr>
                <w:rFonts w:ascii="Arial" w:hAnsi="Arial"/>
                <w:color w:val="16191F"/>
                <w:sz w:val="20"/>
              </w:rPr>
              <w:t xml:space="preserve">1</w:t>
            </w:r>
          </w:p>
        </w:tc>
        <w:tc>
          <w:tcPr>
            <w:tcW w:w="2256" w:type="dxa"/>
          </w:tcPr>
          <w:p>
            <w:pPr>
              <w:pStyle w:val="Compact"/>
            </w:pPr>
            <w:r>
              <w:rPr>
                <w:rFonts w:ascii="Arial" w:hAnsi="Arial"/>
                <w:color w:val="16191F"/>
                <w:sz w:val="20"/>
              </w:rPr>
              <w:t xml:space="preserve">Create the Amazon Cognito user pool and the API with its Cognito authorizer</w:t>
            </w:r>
          </w:p>
        </w:tc>
        <w:tc>
          <w:tcPr>
            <w:tcW w:w="2256" w:type="dxa"/>
          </w:tcPr>
          <w:p>
            <w:pPr>
              <w:pStyle w:val="Compact"/>
            </w:pPr>
            <w:r>
              <w:rPr>
                <w:rFonts w:ascii="Arial" w:hAnsi="Arial"/>
                <w:color w:val="16191F"/>
                <w:sz w:val="20"/>
              </w:rPr>
              <w:t xml:space="preserve">Platform team</w:t>
            </w:r>
          </w:p>
        </w:tc>
        <w:tc>
          <w:tcPr>
            <w:tcW w:w="2256" w:type="dxa"/>
          </w:tcPr>
          <w:p>
            <w:pPr>
              <w:pStyle w:val="Compact"/>
            </w:pPr>
            <w:r>
              <w:rPr>
                <w:rFonts w:ascii="Arial" w:hAnsi="Arial"/>
                <w:color w:val="16191F"/>
                <w:sz w:val="20"/>
              </w:rPr>
              <w:t xml:space="preserve">Workload account</w:t>
            </w:r>
          </w:p>
        </w:tc>
      </w:tr>
      <w:tr>
        <w:trPr>
          <w:cantSplit/>
        </w:trPr>
        <w:tc>
          <w:tcPr>
            <w:tcW w:w="2256" w:type="dxa"/>
          </w:tcPr>
          <w:p>
            <w:pPr>
              <w:pStyle w:val="Compact"/>
            </w:pPr>
            <w:r>
              <w:rPr>
                <w:rFonts w:ascii="Arial" w:hAnsi="Arial"/>
                <w:color w:val="16191F"/>
                <w:sz w:val="20"/>
              </w:rPr>
              <w:t xml:space="preserve">2</w:t>
            </w:r>
          </w:p>
        </w:tc>
        <w:tc>
          <w:tcPr>
            <w:tcW w:w="2256" w:type="dxa"/>
          </w:tcPr>
          <w:p>
            <w:pPr>
              <w:pStyle w:val="Compact"/>
            </w:pPr>
            <w:r>
              <w:rPr>
                <w:rFonts w:ascii="Arial" w:hAnsi="Arial"/>
                <w:color w:val="16191F"/>
                <w:sz w:val="20"/>
              </w:rPr>
              <w:t xml:space="preserve">Create the vector index in Amazon OpenSearch Service</w:t>
            </w:r>
          </w:p>
        </w:tc>
        <w:tc>
          <w:tcPr>
            <w:tcW w:w="2256" w:type="dxa"/>
          </w:tcPr>
          <w:p>
            <w:pPr>
              <w:pStyle w:val="Compact"/>
            </w:pPr>
            <w:r>
              <w:rPr>
                <w:rFonts w:ascii="Arial" w:hAnsi="Arial"/>
                <w:color w:val="16191F"/>
                <w:sz w:val="20"/>
              </w:rPr>
              <w:t xml:space="preserve">Platform team</w:t>
            </w:r>
          </w:p>
        </w:tc>
        <w:tc>
          <w:tcPr>
            <w:tcW w:w="2256" w:type="dxa"/>
          </w:tcPr>
          <w:p>
            <w:pPr>
              <w:pStyle w:val="Compact"/>
            </w:pPr>
            <w:r>
              <w:rPr>
                <w:rFonts w:ascii="Arial" w:hAnsi="Arial"/>
                <w:color w:val="16191F"/>
                <w:sz w:val="20"/>
              </w:rPr>
              <w:t xml:space="preserve">Workload account</w:t>
            </w:r>
          </w:p>
        </w:tc>
      </w:tr>
      <w:tr>
        <w:trPr>
          <w:cantSplit/>
        </w:trPr>
        <w:tc>
          <w:tcPr>
            <w:tcW w:w="2256" w:type="dxa"/>
          </w:tcPr>
          <w:p>
            <w:pPr>
              <w:pStyle w:val="Compact"/>
            </w:pPr>
            <w:r>
              <w:rPr>
                <w:rFonts w:ascii="Arial" w:hAnsi="Arial"/>
                <w:color w:val="16191F"/>
                <w:sz w:val="20"/>
              </w:rPr>
              <w:t xml:space="preserve">3</w:t>
            </w:r>
          </w:p>
        </w:tc>
        <w:tc>
          <w:tcPr>
            <w:tcW w:w="2256" w:type="dxa"/>
          </w:tcPr>
          <w:p>
            <w:pPr>
              <w:pStyle w:val="Compact"/>
            </w:pPr>
            <w:r>
              <w:rPr>
                <w:rFonts w:ascii="Arial" w:hAnsi="Arial"/>
                <w:color w:val="16191F"/>
                <w:sz w:val="20"/>
              </w:rPr>
              <w:t xml:space="preserve">Build the ingestion workflow from Amazon S3 to the index</w:t>
            </w:r>
          </w:p>
        </w:tc>
        <w:tc>
          <w:tcPr>
            <w:tcW w:w="2256" w:type="dxa"/>
          </w:tcPr>
          <w:p>
            <w:pPr>
              <w:pStyle w:val="Compact"/>
            </w:pPr>
            <w:r>
              <w:rPr>
                <w:rFonts w:ascii="Arial" w:hAnsi="Arial"/>
                <w:color w:val="16191F"/>
                <w:sz w:val="20"/>
              </w:rPr>
              <w:t xml:space="preserve">Platform team</w:t>
            </w:r>
          </w:p>
        </w:tc>
        <w:tc>
          <w:tcPr>
            <w:tcW w:w="2256" w:type="dxa"/>
          </w:tcPr>
          <w:p>
            <w:pPr>
              <w:pStyle w:val="Compact"/>
            </w:pPr>
            <w:r>
              <w:rPr>
                <w:rFonts w:ascii="Arial" w:hAnsi="Arial"/>
                <w:color w:val="16191F"/>
                <w:sz w:val="20"/>
              </w:rPr>
              <w:t xml:space="preserve">Workload account</w:t>
            </w:r>
          </w:p>
        </w:tc>
      </w:tr>
      <w:tr>
        <w:trPr>
          <w:cantSplit/>
        </w:trPr>
        <w:tc>
          <w:tcPr>
            <w:tcW w:w="2256" w:type="dxa"/>
          </w:tcPr>
          <w:p>
            <w:pPr>
              <w:pStyle w:val="Compact"/>
            </w:pPr>
            <w:r>
              <w:rPr>
                <w:rFonts w:ascii="Arial" w:hAnsi="Arial"/>
                <w:color w:val="16191F"/>
                <w:sz w:val="20"/>
              </w:rPr>
              <w:t xml:space="preserve">4</w:t>
            </w:r>
          </w:p>
        </w:tc>
        <w:tc>
          <w:tcPr>
            <w:tcW w:w="2256" w:type="dxa"/>
          </w:tcPr>
          <w:p>
            <w:pPr>
              <w:pStyle w:val="Compact"/>
            </w:pPr>
            <w:r>
              <w:rPr>
                <w:rFonts w:ascii="Arial" w:hAnsi="Arial"/>
                <w:color w:val="16191F"/>
                <w:sz w:val="20"/>
              </w:rPr>
              <w:t xml:space="preserve">Deploy the orchestrator, the conversation table and the Amazon Bedrock guardrail</w:t>
            </w:r>
          </w:p>
        </w:tc>
        <w:tc>
          <w:tcPr>
            <w:tcW w:w="2256" w:type="dxa"/>
          </w:tcPr>
          <w:p>
            <w:pPr>
              <w:pStyle w:val="Compact"/>
            </w:pPr>
            <w:r>
              <w:rPr>
                <w:rFonts w:ascii="Arial" w:hAnsi="Arial"/>
                <w:color w:val="16191F"/>
                <w:sz w:val="20"/>
              </w:rPr>
              <w:t xml:space="preserve">Platform team</w:t>
            </w:r>
          </w:p>
        </w:tc>
        <w:tc>
          <w:tcPr>
            <w:tcW w:w="2256" w:type="dxa"/>
          </w:tcPr>
          <w:p>
            <w:pPr>
              <w:pStyle w:val="Compact"/>
            </w:pPr>
            <w:r>
              <w:rPr>
                <w:rFonts w:ascii="Arial" w:hAnsi="Arial"/>
                <w:color w:val="16191F"/>
                <w:sz w:val="20"/>
              </w:rPr>
              <w:t xml:space="preserve">Workload account</w:t>
            </w:r>
          </w:p>
        </w:tc>
      </w:tr>
      <w:tr>
        <w:trPr>
          <w:cantSplit/>
        </w:trPr>
        <w:tc>
          <w:tcPr>
            <w:tcW w:w="2256" w:type="dxa"/>
          </w:tcPr>
          <w:p>
            <w:pPr>
              <w:pStyle w:val="Compact"/>
            </w:pPr>
            <w:r>
              <w:rPr>
                <w:rFonts w:ascii="Arial" w:hAnsi="Arial"/>
                <w:color w:val="16191F"/>
                <w:sz w:val="20"/>
              </w:rPr>
              <w:t xml:space="preserve">5</w:t>
            </w:r>
          </w:p>
        </w:tc>
        <w:tc>
          <w:tcPr>
            <w:tcW w:w="2256" w:type="dxa"/>
          </w:tcPr>
          <w:p>
            <w:pPr>
              <w:pStyle w:val="Compact"/>
            </w:pPr>
            <w:r>
              <w:rPr>
                <w:rFonts w:ascii="Arial" w:hAnsi="Arial"/>
                <w:color w:val="16191F"/>
                <w:sz w:val="20"/>
              </w:rPr>
              <w:t xml:space="preserve">Load the first approved documents and check each answer cites them</w:t>
            </w:r>
          </w:p>
        </w:tc>
        <w:tc>
          <w:tcPr>
            <w:tcW w:w="2256" w:type="dxa"/>
          </w:tcPr>
          <w:p>
            <w:pPr>
              <w:pStyle w:val="Compact"/>
            </w:pPr>
            <w:r>
              <w:rPr>
                <w:rFonts w:ascii="Arial" w:hAnsi="Arial"/>
                <w:color w:val="16191F"/>
                <w:sz w:val="20"/>
              </w:rPr>
              <w:t xml:space="preserve">Content owners</w:t>
            </w:r>
          </w:p>
        </w:tc>
        <w:tc>
          <w:tcPr>
            <w:tcW w:w="2256" w:type="dxa"/>
          </w:tcPr>
          <w:p>
            <w:pPr>
              <w:pStyle w:val="Compact"/>
            </w:pPr>
            <w:r>
              <w:rPr>
                <w:rFonts w:ascii="Arial" w:hAnsi="Arial"/>
                <w:color w:val="16191F"/>
                <w:sz w:val="20"/>
              </w:rPr>
              <w:t xml:space="preserve">Ingestion bucket</w:t>
            </w:r>
          </w:p>
        </w:tc>
      </w:tr>
    </w:tbl>
    <w:bookmarkEnd w:id="26"/>
    <w:bookmarkStart w:id="36" w:name="_9179f7da641b3db3cf41543d7495ac48aa9ab10"/>
    <w:p>
      <w:pPr>
        <w:pStyle w:val="Heading1"/>
        <w:keepNext w:val="1"/>
        <w:pBdr>
          <w:bottom w:val="single" w:sz="12" w:space="4" w:color="FF9900"/>
        </w:pBdr>
        <w:spacing w:before="400" w:after="120"/>
      </w:pPr>
      <w:r>
        <w:rPr>
          <w:rFonts w:ascii="Arial" w:hAnsi="Arial"/>
          <w:b/>
          <w:color w:val="232F3E"/>
          <w:sz w:val="28"/>
        </w:rPr>
        <w:t xml:space="preserve">7. AWS references</w:t>
      </w:r>
    </w:p>
    <w:p>
      <w:pPr>
        <w:pStyle w:val="Compact"/>
        <w:numPr>
          <w:ilvl w:val="0"/>
          <w:numId w:val="1002"/>
        </w:numPr>
        <w:spacing w:after="140" w:line="276" w:lineRule="auto"/>
      </w:pPr>
      <w:hyperlink r:id="rId27">
        <w:r>
          <w:rPr>
            <w:rStyle w:val="Hyperlink"/>
          </w:rPr>
          <w:t xml:space="preserve">Control access to REST APIs using Amazon Cognito user pools as an authorizer</w:t>
        </w:r>
      </w:hyperlink>
      <w:r>
        <w:rPr>
          <w:rFonts w:ascii="Arial" w:hAnsi="Arial"/>
          <w:color w:val="16191F"/>
          <w:sz w:val="21"/>
        </w:rPr>
        <w:t xml:space="preserve"> </w:t>
      </w:r>
      <w:r>
        <w:rPr>
          <w:rFonts w:ascii="Arial" w:hAnsi="Arial"/>
          <w:color w:val="16191F"/>
          <w:sz w:val="21"/>
        </w:rPr>
        <w:t xml:space="preserve">- API Gateway accepts only tokens from the user pool</w:t>
      </w:r>
    </w:p>
    <w:p>
      <w:pPr>
        <w:pStyle w:val="Compact"/>
        <w:numPr>
          <w:ilvl w:val="0"/>
          <w:numId w:val="1002"/>
        </w:numPr>
        <w:spacing w:after="140" w:line="276" w:lineRule="auto"/>
      </w:pPr>
      <w:hyperlink r:id="rId21">
        <w:r>
          <w:rPr>
            <w:rStyle w:val="Hyperlink"/>
          </w:rPr>
          <w:t xml:space="preserve">Quotas for configuring and running a REST API in API Gateway</w:t>
        </w:r>
      </w:hyperlink>
      <w:r>
        <w:rPr>
          <w:rFonts w:ascii="Arial" w:hAnsi="Arial"/>
          <w:color w:val="16191F"/>
          <w:sz w:val="21"/>
        </w:rPr>
        <w:t xml:space="preserve"> </w:t>
      </w:r>
      <w:r>
        <w:rPr>
          <w:rFonts w:ascii="Arial" w:hAnsi="Arial"/>
          <w:color w:val="16191F"/>
          <w:sz w:val="21"/>
        </w:rPr>
        <w:t xml:space="preserve">- the 29 second integration timeout, adjustable for Regional and private APIs</w:t>
      </w:r>
    </w:p>
    <w:p>
      <w:pPr>
        <w:pStyle w:val="Compact"/>
        <w:numPr>
          <w:ilvl w:val="0"/>
          <w:numId w:val="1002"/>
        </w:numPr>
        <w:spacing w:after="140" w:line="276" w:lineRule="auto"/>
      </w:pPr>
      <w:hyperlink r:id="rId28">
        <w:r>
          <w:rPr>
            <w:rStyle w:val="Hyperlink"/>
          </w:rPr>
          <w:t xml:space="preserve">Inference using Converse API</w:t>
        </w:r>
      </w:hyperlink>
      <w:r>
        <w:rPr>
          <w:rFonts w:ascii="Arial" w:hAnsi="Arial"/>
          <w:color w:val="16191F"/>
          <w:sz w:val="21"/>
        </w:rPr>
        <w:t xml:space="preserve"> </w:t>
      </w:r>
      <w:r>
        <w:rPr>
          <w:rFonts w:ascii="Arial" w:hAnsi="Arial"/>
          <w:color w:val="16191F"/>
          <w:sz w:val="21"/>
        </w:rPr>
        <w:t xml:space="preserve">- multi-turn requests to a foundation model</w:t>
      </w:r>
    </w:p>
    <w:p>
      <w:pPr>
        <w:pStyle w:val="Compact"/>
        <w:numPr>
          <w:ilvl w:val="0"/>
          <w:numId w:val="1002"/>
        </w:numPr>
        <w:spacing w:after="140" w:line="276" w:lineRule="auto"/>
      </w:pPr>
      <w:hyperlink r:id="rId29">
        <w:r>
          <w:rPr>
            <w:rStyle w:val="Hyperlink"/>
          </w:rPr>
          <w:t xml:space="preserve">Amazon Bedrock: data protection</w:t>
        </w:r>
      </w:hyperlink>
      <w:r>
        <w:rPr>
          <w:rFonts w:ascii="Arial" w:hAnsi="Arial"/>
          <w:color w:val="16191F"/>
          <w:sz w:val="21"/>
        </w:rPr>
        <w:t xml:space="preserve"> </w:t>
      </w:r>
      <w:r>
        <w:rPr>
          <w:rFonts w:ascii="Arial" w:hAnsi="Arial"/>
          <w:color w:val="16191F"/>
          <w:sz w:val="21"/>
        </w:rPr>
        <w:t xml:space="preserve">- model providers have no access to customer prompts and completions</w:t>
      </w:r>
    </w:p>
    <w:p>
      <w:pPr>
        <w:pStyle w:val="Compact"/>
        <w:numPr>
          <w:ilvl w:val="0"/>
          <w:numId w:val="1002"/>
        </w:numPr>
        <w:spacing w:after="140" w:line="276" w:lineRule="auto"/>
      </w:pPr>
      <w:hyperlink r:id="rId30">
        <w:r>
          <w:rPr>
            <w:rStyle w:val="Hyperlink"/>
          </w:rPr>
          <w:t xml:space="preserve">Detect and filter harmful content by using Amazon Bedrock Guardrails</w:t>
        </w:r>
      </w:hyperlink>
      <w:r>
        <w:rPr>
          <w:rFonts w:ascii="Arial" w:hAnsi="Arial"/>
          <w:color w:val="16191F"/>
          <w:sz w:val="21"/>
        </w:rPr>
        <w:t xml:space="preserve"> </w:t>
      </w:r>
      <w:r>
        <w:rPr>
          <w:rFonts w:ascii="Arial" w:hAnsi="Arial"/>
          <w:color w:val="16191F"/>
          <w:sz w:val="21"/>
        </w:rPr>
        <w:t xml:space="preserve">- filtering of harmful user input and model responses</w:t>
      </w:r>
    </w:p>
    <w:p>
      <w:pPr>
        <w:pStyle w:val="Compact"/>
        <w:numPr>
          <w:ilvl w:val="0"/>
          <w:numId w:val="1002"/>
        </w:numPr>
        <w:spacing w:after="140" w:line="276" w:lineRule="auto"/>
      </w:pPr>
      <w:hyperlink r:id="rId31">
        <w:r>
          <w:rPr>
            <w:rStyle w:val="Hyperlink"/>
          </w:rPr>
          <w:t xml:space="preserve">k-Nearest Neighbor (k-NN) search in Amazon OpenSearch Service</w:t>
        </w:r>
      </w:hyperlink>
      <w:r>
        <w:rPr>
          <w:rFonts w:ascii="Arial" w:hAnsi="Arial"/>
          <w:color w:val="16191F"/>
          <w:sz w:val="21"/>
        </w:rPr>
        <w:t xml:space="preserve"> </w:t>
      </w:r>
      <w:r>
        <w:rPr>
          <w:rFonts w:ascii="Arial" w:hAnsi="Arial"/>
          <w:color w:val="16191F"/>
          <w:sz w:val="21"/>
        </w:rPr>
        <w:t xml:space="preserve">- nearest-neighbour search over</w:t>
      </w:r>
      <w:r>
        <w:rPr>
          <w:rFonts w:ascii="Arial" w:hAnsi="Arial"/>
          <w:color w:val="16191F"/>
          <w:sz w:val="21"/>
        </w:rPr>
        <w:t xml:space="preserve"> </w:t>
      </w:r>
      <w:r>
        <w:rPr>
          <w:rStyle w:val="VerbatimChar"/>
          <w:rFonts w:ascii="Consolas" w:hAnsi="Consolas"/>
          <w:color w:val="16191F"/>
          <w:sz w:val="19"/>
        </w:rPr>
        <w:t xml:space="preserve">knn_vector</w:t>
      </w:r>
      <w:r>
        <w:rPr>
          <w:rFonts w:ascii="Arial" w:hAnsi="Arial"/>
          <w:color w:val="16191F"/>
          <w:sz w:val="21"/>
        </w:rPr>
        <w:t xml:space="preserve"> </w:t>
      </w:r>
      <w:r>
        <w:rPr>
          <w:rFonts w:ascii="Arial" w:hAnsi="Arial"/>
          <w:color w:val="16191F"/>
          <w:sz w:val="21"/>
        </w:rPr>
        <w:t xml:space="preserve">fields</w:t>
      </w:r>
    </w:p>
    <w:p>
      <w:pPr>
        <w:pStyle w:val="Compact"/>
        <w:numPr>
          <w:ilvl w:val="0"/>
          <w:numId w:val="1002"/>
        </w:numPr>
        <w:spacing w:after="140" w:line="276" w:lineRule="auto"/>
      </w:pPr>
      <w:hyperlink r:id="rId32">
        <w:r>
          <w:rPr>
            <w:rStyle w:val="Hyperlink"/>
          </w:rPr>
          <w:t xml:space="preserve">Calling Amazon Textract Asynchronous Operations</w:t>
        </w:r>
      </w:hyperlink>
      <w:r>
        <w:rPr>
          <w:rFonts w:ascii="Arial" w:hAnsi="Arial"/>
          <w:color w:val="16191F"/>
          <w:sz w:val="21"/>
        </w:rPr>
        <w:t xml:space="preserve"> </w:t>
      </w:r>
      <w:r>
        <w:rPr>
          <w:rFonts w:ascii="Arial" w:hAnsi="Arial"/>
          <w:color w:val="16191F"/>
          <w:sz w:val="21"/>
        </w:rPr>
        <w:t xml:space="preserve">- the asynchronous API for multipage PDF and Tagged Image File Format (TIFF) documents</w:t>
      </w:r>
    </w:p>
    <w:p>
      <w:pPr>
        <w:pStyle w:val="Compact"/>
        <w:numPr>
          <w:ilvl w:val="0"/>
          <w:numId w:val="1002"/>
        </w:numPr>
        <w:spacing w:after="140" w:line="276" w:lineRule="auto"/>
      </w:pPr>
      <w:hyperlink r:id="rId33">
        <w:r>
          <w:rPr>
            <w:rStyle w:val="Hyperlink"/>
          </w:rPr>
          <w:t xml:space="preserve">Handling errors in Step Functions workflows</w:t>
        </w:r>
      </w:hyperlink>
      <w:r>
        <w:rPr>
          <w:rFonts w:ascii="Arial" w:hAnsi="Arial"/>
          <w:color w:val="16191F"/>
          <w:sz w:val="21"/>
        </w:rPr>
        <w:t xml:space="preserve"> </w:t>
      </w:r>
      <w:r>
        <w:rPr>
          <w:rFonts w:ascii="Arial" w:hAnsi="Arial"/>
          <w:color w:val="16191F"/>
          <w:sz w:val="21"/>
        </w:rPr>
        <w:t xml:space="preserve">- retry and catch on a failed ingestion step</w:t>
      </w:r>
    </w:p>
    <w:p>
      <w:pPr>
        <w:pStyle w:val="Compact"/>
        <w:numPr>
          <w:ilvl w:val="0"/>
          <w:numId w:val="1002"/>
        </w:numPr>
        <w:spacing w:after="140" w:line="276" w:lineRule="auto"/>
      </w:pPr>
      <w:hyperlink r:id="rId34">
        <w:r>
          <w:rPr>
            <w:rStyle w:val="Hyperlink"/>
          </w:rPr>
          <w:t xml:space="preserve">Using server-side encryption with Amazon S3 managed keys (SSE-S3)</w:t>
        </w:r>
      </w:hyperlink>
      <w:r>
        <w:rPr>
          <w:rFonts w:ascii="Arial" w:hAnsi="Arial"/>
          <w:color w:val="16191F"/>
          <w:sz w:val="21"/>
        </w:rPr>
        <w:t xml:space="preserve"> </w:t>
      </w:r>
      <w:r>
        <w:rPr>
          <w:rFonts w:ascii="Arial" w:hAnsi="Arial"/>
          <w:color w:val="16191F"/>
          <w:sz w:val="21"/>
        </w:rPr>
        <w:t xml:space="preserve">- every new object upload is encrypted with SSE-S3 by default</w:t>
      </w:r>
    </w:p>
    <w:p>
      <w:pPr>
        <w:pStyle w:val="Compact"/>
        <w:numPr>
          <w:ilvl w:val="0"/>
          <w:numId w:val="1002"/>
        </w:numPr>
        <w:spacing w:after="140" w:line="276" w:lineRule="auto"/>
      </w:pPr>
      <w:hyperlink r:id="rId35">
        <w:r>
          <w:rPr>
            <w:rStyle w:val="Hyperlink"/>
          </w:rPr>
          <w:t xml:space="preserve">Using time to live (TTL) in DynamoDB</w:t>
        </w:r>
      </w:hyperlink>
      <w:r>
        <w:rPr>
          <w:rFonts w:ascii="Arial" w:hAnsi="Arial"/>
          <w:color w:val="16191F"/>
          <w:sz w:val="21"/>
        </w:rPr>
        <w:t xml:space="preserve"> </w:t>
      </w:r>
      <w:r>
        <w:rPr>
          <w:rFonts w:ascii="Arial" w:hAnsi="Arial"/>
          <w:color w:val="16191F"/>
          <w:sz w:val="21"/>
        </w:rPr>
        <w:t xml:space="preserve">- expired items are deleted in the background after expiry, not at the expiry time</w:t>
      </w:r>
    </w:p>
    <w:bookmarkEnd w:id="36"/>
    <w:bookmarkStart w:id="40" w:name="_3a2e0f3b3083643e9477845ed2bc4f2b8430292"/>
    <w:p>
      <w:pPr>
        <w:pStyle w:val="Heading1"/>
        <w:keepNext w:val="1"/>
        <w:pBdr>
          <w:bottom w:val="single" w:sz="12" w:space="4" w:color="FF9900"/>
        </w:pBdr>
        <w:spacing w:before="400" w:after="120"/>
      </w:pPr>
      <w:r>
        <w:rPr>
          <w:rFonts w:ascii="Arial" w:hAnsi="Arial"/>
          <w:b/>
          <w:color w:val="232F3E"/>
          <w:sz w:val="28"/>
        </w:rPr>
        <w:t xml:space="preserve">8. Appendix</w:t>
      </w:r>
    </w:p>
    <w:bookmarkStart w:id="37" w:name="_bad2608ab0951932179f1c1014c2354008d6d1a"/>
    <w:p>
      <w:pPr>
        <w:pStyle w:val="Heading2"/>
        <w:keepNext w:val="1"/>
        <w:spacing w:before="280" w:after="120"/>
      </w:pPr>
      <w:r>
        <w:rPr>
          <w:rFonts w:ascii="Arial" w:hAnsi="Arial"/>
          <w:b/>
          <w:color w:val="232F3E"/>
          <w:sz w:val="26"/>
        </w:rPr>
        <w:t xml:space="preserve">A. Do's and don'ts</w:t>
      </w:r>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2888"/>
        <w:gridCol w:w="6137"/>
      </w:tblGrid>
      <w:tr>
        <w:trPr>
          <w:cantSplit/>
          <w:tblHeader w:val="on"/>
        </w:trPr>
        <w:tc>
          <w:tcPr>
            <w:tcW w:w="2888" w:type="dxa"/>
            <w:shd w:val="clear" w:fill="232F3E"/>
          </w:tcPr>
          <w:p>
            <w:pPr>
              <w:pStyle w:val="Compact"/>
            </w:pPr>
            <w:r>
              <w:rPr>
                <w:rFonts w:ascii="Arial" w:hAnsi="Arial"/>
                <w:b/>
                <w:color w:val="FFFFFF"/>
                <w:sz w:val="20"/>
              </w:rPr>
              <w:t xml:space="preserve">Do</w:t>
            </w:r>
          </w:p>
        </w:tc>
        <w:tc>
          <w:tcPr>
            <w:tcW w:w="6137" w:type="dxa"/>
            <w:shd w:val="clear" w:fill="232F3E"/>
          </w:tcPr>
          <w:p>
            <w:pPr>
              <w:pStyle w:val="Compact"/>
            </w:pPr>
            <w:r>
              <w:rPr>
                <w:rFonts w:ascii="Arial" w:hAnsi="Arial"/>
                <w:b/>
                <w:color w:val="FFFFFF"/>
                <w:sz w:val="20"/>
              </w:rPr>
              <w:t xml:space="preserve">Don't</w:t>
            </w:r>
          </w:p>
        </w:tc>
      </w:tr>
      <w:tr>
        <w:trPr>
          <w:cantSplit/>
        </w:trPr>
        <w:tc>
          <w:tcPr>
            <w:tcW w:w="2888" w:type="dxa"/>
          </w:tcPr>
          <w:p>
            <w:pPr>
              <w:pStyle w:val="Compact"/>
            </w:pPr>
            <w:r>
              <w:rPr>
                <w:rFonts w:ascii="Arial" w:hAnsi="Arial"/>
                <w:color w:val="16191F"/>
                <w:sz w:val="20"/>
              </w:rPr>
              <w:t xml:space="preserve">Retire a document through the ingestion workflow, so its chunks leave the index</w:t>
            </w:r>
          </w:p>
        </w:tc>
        <w:tc>
          <w:tcPr>
            <w:tcW w:w="6137" w:type="dxa"/>
          </w:tcPr>
          <w:p>
            <w:pPr>
              <w:pStyle w:val="Compact"/>
            </w:pPr>
            <w:r>
              <w:rPr>
                <w:rFonts w:ascii="Arial" w:hAnsi="Arial"/>
                <w:color w:val="16191F"/>
                <w:sz w:val="20"/>
              </w:rPr>
              <w:t xml:space="preserve">Delete only the source object and leave its chunks retrievable</w:t>
            </w:r>
          </w:p>
        </w:tc>
      </w:tr>
      <w:tr>
        <w:trPr>
          <w:cantSplit/>
        </w:trPr>
        <w:tc>
          <w:tcPr>
            <w:tcW w:w="2888" w:type="dxa"/>
          </w:tcPr>
          <w:p>
            <w:pPr>
              <w:pStyle w:val="Compact"/>
            </w:pPr>
            <w:r>
              <w:rPr>
                <w:rFonts w:ascii="Arial" w:hAnsi="Arial"/>
                <w:color w:val="16191F"/>
                <w:sz w:val="20"/>
              </w:rPr>
              <w:t xml:space="preserve">Cap retrieved passages and response length</w:t>
            </w:r>
          </w:p>
        </w:tc>
        <w:tc>
          <w:tcPr>
            <w:tcW w:w="6137" w:type="dxa"/>
          </w:tcPr>
          <w:p>
            <w:pPr>
              <w:pStyle w:val="Compact"/>
            </w:pPr>
            <w:r>
              <w:rPr>
                <w:rFonts w:ascii="Arial" w:hAnsi="Arial"/>
                <w:color w:val="16191F"/>
                <w:sz w:val="20"/>
              </w:rPr>
              <w:t xml:space="preserve">Let one answer grow until it runs past the integration timeout</w:t>
            </w:r>
          </w:p>
        </w:tc>
      </w:tr>
      <w:tr>
        <w:trPr>
          <w:cantSplit/>
        </w:trPr>
        <w:tc>
          <w:tcPr>
            <w:tcW w:w="2888" w:type="dxa"/>
          </w:tcPr>
          <w:p>
            <w:pPr>
              <w:pStyle w:val="Compact"/>
            </w:pPr>
            <w:r>
              <w:rPr>
                <w:rFonts w:ascii="Arial" w:hAnsi="Arial"/>
                <w:color w:val="16191F"/>
                <w:sz w:val="20"/>
              </w:rPr>
              <w:t xml:space="preserve">Treat the TTL as the earliest deletion time</w:t>
            </w:r>
          </w:p>
        </w:tc>
        <w:tc>
          <w:tcPr>
            <w:tcW w:w="6137" w:type="dxa"/>
          </w:tcPr>
          <w:p>
            <w:pPr>
              <w:pStyle w:val="Compact"/>
            </w:pPr>
            <w:r>
              <w:rPr>
                <w:rFonts w:ascii="Arial" w:hAnsi="Arial"/>
                <w:color w:val="16191F"/>
                <w:sz w:val="20"/>
              </w:rPr>
              <w:t xml:space="preserve">Rely on the TTL as the exact moment a conversation is deleted</w:t>
            </w:r>
          </w:p>
        </w:tc>
      </w:tr>
    </w:tbl>
    <w:bookmarkEnd w:id="37"/>
    <w:bookmarkStart w:id="38" w:name="_b81933b171ede28d7b2e23f5bfd3d812117c048"/>
    <w:p>
      <w:pPr>
        <w:pStyle w:val="Heading2"/>
        <w:keepNext w:val="1"/>
        <w:spacing w:before="280" w:after="120"/>
      </w:pPr>
      <w:r>
        <w:rPr>
          <w:rFonts w:ascii="Arial" w:hAnsi="Arial"/>
          <w:b/>
          <w:color w:val="232F3E"/>
          <w:sz w:val="26"/>
        </w:rPr>
        <w:t xml:space="preserve">B. Risks and deviations</w:t>
      </w:r>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2256"/>
        <w:gridCol w:w="2256"/>
        <w:gridCol w:w="2256"/>
        <w:gridCol w:w="2256"/>
      </w:tblGrid>
      <w:tr>
        <w:trPr>
          <w:cantSplit/>
          <w:tblHeader w:val="on"/>
        </w:trPr>
        <w:tc>
          <w:tcPr>
            <w:tcW w:w="2256" w:type="dxa"/>
            <w:shd w:val="clear" w:fill="232F3E"/>
          </w:tcPr>
          <w:p>
            <w:pPr>
              <w:pStyle w:val="Compact"/>
            </w:pPr>
            <w:r>
              <w:rPr>
                <w:rFonts w:ascii="Arial" w:hAnsi="Arial"/>
                <w:b/>
                <w:color w:val="FFFFFF"/>
                <w:sz w:val="20"/>
              </w:rPr>
              <w:t xml:space="preserve">Risk</w:t>
            </w:r>
          </w:p>
        </w:tc>
        <w:tc>
          <w:tcPr>
            <w:tcW w:w="2256" w:type="dxa"/>
            <w:shd w:val="clear" w:fill="232F3E"/>
          </w:tcPr>
          <w:p>
            <w:pPr>
              <w:pStyle w:val="Compact"/>
            </w:pPr>
            <w:r>
              <w:rPr>
                <w:rFonts w:ascii="Arial" w:hAnsi="Arial"/>
                <w:b/>
                <w:color w:val="FFFFFF"/>
                <w:sz w:val="20"/>
              </w:rPr>
              <w:t xml:space="preserve">Cause</w:t>
            </w:r>
          </w:p>
        </w:tc>
        <w:tc>
          <w:tcPr>
            <w:tcW w:w="2256" w:type="dxa"/>
            <w:shd w:val="clear" w:fill="232F3E"/>
          </w:tcPr>
          <w:p>
            <w:pPr>
              <w:pStyle w:val="Compact"/>
            </w:pPr>
            <w:r>
              <w:rPr>
                <w:rFonts w:ascii="Arial" w:hAnsi="Arial"/>
                <w:b/>
                <w:color w:val="FFFFFF"/>
                <w:sz w:val="20"/>
              </w:rPr>
              <w:t xml:space="preserve">Impact</w:t>
            </w:r>
          </w:p>
        </w:tc>
        <w:tc>
          <w:tcPr>
            <w:tcW w:w="2256" w:type="dxa"/>
            <w:shd w:val="clear" w:fill="232F3E"/>
          </w:tcPr>
          <w:p>
            <w:pPr>
              <w:pStyle w:val="Compact"/>
            </w:pPr>
            <w:r>
              <w:rPr>
                <w:rFonts w:ascii="Arial" w:hAnsi="Arial"/>
                <w:b/>
                <w:color w:val="FFFFFF"/>
                <w:sz w:val="20"/>
              </w:rPr>
              <w:t xml:space="preserve">Remediation</w:t>
            </w:r>
          </w:p>
        </w:tc>
      </w:tr>
      <w:tr>
        <w:trPr>
          <w:cantSplit/>
        </w:trPr>
        <w:tc>
          <w:tcPr>
            <w:tcW w:w="2256" w:type="dxa"/>
          </w:tcPr>
          <w:p>
            <w:pPr>
              <w:pStyle w:val="Compact"/>
            </w:pPr>
            <w:r>
              <w:rPr>
                <w:rFonts w:ascii="Arial" w:hAnsi="Arial"/>
                <w:color w:val="16191F"/>
                <w:sz w:val="20"/>
              </w:rPr>
              <w:t xml:space="preserve">A long answer exceeds the API integration timeout</w:t>
            </w:r>
          </w:p>
        </w:tc>
        <w:tc>
          <w:tcPr>
            <w:tcW w:w="2256" w:type="dxa"/>
          </w:tcPr>
          <w:p>
            <w:pPr>
              <w:pStyle w:val="Compact"/>
            </w:pPr>
            <w:r>
              <w:rPr>
                <w:rFonts w:ascii="Arial" w:hAnsi="Arial"/>
                <w:color w:val="16191F"/>
                <w:sz w:val="20"/>
              </w:rPr>
              <w:t xml:space="preserve">Many retrieved passages or a long response</w:t>
            </w:r>
          </w:p>
        </w:tc>
        <w:tc>
          <w:tcPr>
            <w:tcW w:w="2256" w:type="dxa"/>
          </w:tcPr>
          <w:p>
            <w:pPr>
              <w:pStyle w:val="Compact"/>
            </w:pPr>
            <w:r>
              <w:rPr>
                <w:rFonts w:ascii="Arial" w:hAnsi="Arial"/>
                <w:color w:val="16191F"/>
                <w:sz w:val="20"/>
              </w:rPr>
              <w:t xml:space="preserve">High: the user gets an error instead of an answer</w:t>
            </w:r>
          </w:p>
        </w:tc>
        <w:tc>
          <w:tcPr>
            <w:tcW w:w="2256" w:type="dxa"/>
          </w:tcPr>
          <w:p>
            <w:pPr>
              <w:pStyle w:val="Compact"/>
            </w:pPr>
            <w:r>
              <w:rPr>
                <w:rFonts w:ascii="Arial" w:hAnsi="Arial"/>
                <w:color w:val="16191F"/>
                <w:sz w:val="20"/>
              </w:rPr>
              <w:t xml:space="preserve">Cap retrieved passages and response length; raise the quota for a Regional API if needed (platform team)</w:t>
            </w:r>
          </w:p>
        </w:tc>
      </w:tr>
      <w:tr>
        <w:trPr>
          <w:cantSplit/>
        </w:trPr>
        <w:tc>
          <w:tcPr>
            <w:tcW w:w="2256" w:type="dxa"/>
          </w:tcPr>
          <w:p>
            <w:pPr>
              <w:pStyle w:val="Compact"/>
            </w:pPr>
            <w:r>
              <w:rPr>
                <w:rFonts w:ascii="Arial" w:hAnsi="Arial"/>
                <w:color w:val="16191F"/>
                <w:sz w:val="20"/>
              </w:rPr>
              <w:t xml:space="preserve">A retired document stays retrievable</w:t>
            </w:r>
          </w:p>
        </w:tc>
        <w:tc>
          <w:tcPr>
            <w:tcW w:w="2256" w:type="dxa"/>
          </w:tcPr>
          <w:p>
            <w:pPr>
              <w:pStyle w:val="Compact"/>
            </w:pPr>
            <w:r>
              <w:rPr>
                <w:rFonts w:ascii="Arial" w:hAnsi="Arial"/>
                <w:color w:val="16191F"/>
                <w:sz w:val="20"/>
              </w:rPr>
              <w:t xml:space="preserve">The source is removed but its chunks are not</w:t>
            </w:r>
          </w:p>
        </w:tc>
        <w:tc>
          <w:tcPr>
            <w:tcW w:w="2256" w:type="dxa"/>
          </w:tcPr>
          <w:p>
            <w:pPr>
              <w:pStyle w:val="Compact"/>
            </w:pPr>
            <w:r>
              <w:rPr>
                <w:rFonts w:ascii="Arial" w:hAnsi="Arial"/>
                <w:color w:val="16191F"/>
                <w:sz w:val="20"/>
              </w:rPr>
              <w:t xml:space="preserve">Medium: answers cite withdrawn content</w:t>
            </w:r>
          </w:p>
        </w:tc>
        <w:tc>
          <w:tcPr>
            <w:tcW w:w="2256" w:type="dxa"/>
          </w:tcPr>
          <w:p>
            <w:pPr>
              <w:pStyle w:val="Compact"/>
            </w:pPr>
            <w:r>
              <w:rPr>
                <w:rFonts w:ascii="Arial" w:hAnsi="Arial"/>
                <w:color w:val="16191F"/>
                <w:sz w:val="20"/>
              </w:rPr>
              <w:t xml:space="preserve">Ingestion deletes its chunks from the index as part of retirement (platform team)</w:t>
            </w:r>
          </w:p>
        </w:tc>
      </w:tr>
    </w:tbl>
    <w:bookmarkEnd w:id="38"/>
    <w:bookmarkStart w:id="39" w:name="_1404a286afa5bd0bea6730d506360741ff3cb0e"/>
    <w:p>
      <w:pPr>
        <w:pStyle w:val="Heading2"/>
        <w:keepNext w:val="1"/>
        <w:spacing w:before="280" w:after="120"/>
      </w:pPr>
      <w:r>
        <w:rPr>
          <w:rFonts w:ascii="Arial" w:hAnsi="Arial"/>
          <w:b/>
          <w:color w:val="232F3E"/>
          <w:sz w:val="26"/>
        </w:rPr>
        <w:t xml:space="preserve">C. Assumptions to confirm</w:t>
      </w:r>
    </w:p>
    <w:tbl>
      <w:tblPr>
        <w:tblStyle w:val="Table"/>
        <w:tblW w:type="dxa" w:w="9026"/>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CellMar>
          <w:top w:w="70" w:type="dxa"/>
          <w:bottom w:w="70" w:type="dxa"/>
          <w:left w:w="110" w:type="dxa"/>
          <w:right w:w="110" w:type="dxa"/>
        </w:tblCellMar>
        <w:tblLook w:firstRow="1" w:lastRow="0" w:firstColumn="0" w:lastColumn="0" w:noHBand="0" w:noVBand="0" w:val="0020"/>
      </w:tblPr>
      <w:tblGrid>
        <w:gridCol w:w="3008"/>
        <w:gridCol w:w="3008"/>
        <w:gridCol w:w="3008"/>
      </w:tblGrid>
      <w:tr>
        <w:trPr>
          <w:cantSplit/>
          <w:tblHeader w:val="on"/>
        </w:trPr>
        <w:tc>
          <w:tcPr>
            <w:tcW w:w="3008" w:type="dxa"/>
            <w:shd w:val="clear" w:fill="232F3E"/>
          </w:tcPr>
          <w:p>
            <w:pPr>
              <w:pStyle w:val="Compact"/>
            </w:pPr>
            <w:r>
              <w:rPr>
                <w:rFonts w:ascii="Arial" w:hAnsi="Arial"/>
                <w:b/>
                <w:color w:val="FFFFFF"/>
                <w:sz w:val="20"/>
              </w:rPr>
              <w:t xml:space="preserve">Assumption</w:t>
            </w:r>
          </w:p>
        </w:tc>
        <w:tc>
          <w:tcPr>
            <w:tcW w:w="3008" w:type="dxa"/>
            <w:shd w:val="clear" w:fill="232F3E"/>
          </w:tcPr>
          <w:p>
            <w:pPr>
              <w:pStyle w:val="Compact"/>
            </w:pPr>
            <w:r>
              <w:rPr>
                <w:rFonts w:ascii="Arial" w:hAnsi="Arial"/>
                <w:b/>
                <w:color w:val="FFFFFF"/>
                <w:sz w:val="20"/>
              </w:rPr>
              <w:t xml:space="preserve">Confirm with</w:t>
            </w:r>
          </w:p>
        </w:tc>
        <w:tc>
          <w:tcPr>
            <w:tcW w:w="3008" w:type="dxa"/>
            <w:shd w:val="clear" w:fill="232F3E"/>
          </w:tcPr>
          <w:p>
            <w:pPr>
              <w:pStyle w:val="Compact"/>
            </w:pPr>
            <w:r>
              <w:rPr>
                <w:rFonts w:ascii="Arial" w:hAnsi="Arial"/>
                <w:b/>
                <w:color w:val="FFFFFF"/>
                <w:sz w:val="20"/>
              </w:rPr>
              <w:t xml:space="preserve">Impact if false</w:t>
            </w:r>
          </w:p>
        </w:tc>
      </w:tr>
      <w:tr>
        <w:trPr>
          <w:cantSplit/>
        </w:trPr>
        <w:tc>
          <w:tcPr>
            <w:tcW w:w="3008" w:type="dxa"/>
          </w:tcPr>
          <w:p>
            <w:pPr>
              <w:pStyle w:val="Compact"/>
            </w:pPr>
            <w:r>
              <w:rPr>
                <w:rFonts w:ascii="Arial" w:hAnsi="Arial"/>
                <w:color w:val="16191F"/>
                <w:sz w:val="20"/>
              </w:rPr>
              <w:t xml:space="preserve">No document in scope is classified too sensitive to index</w:t>
            </w:r>
          </w:p>
        </w:tc>
        <w:tc>
          <w:tcPr>
            <w:tcW w:w="3008" w:type="dxa"/>
          </w:tcPr>
          <w:p>
            <w:pPr>
              <w:pStyle w:val="Compact"/>
            </w:pPr>
            <w:r>
              <w:rPr>
                <w:rFonts w:ascii="Arial" w:hAnsi="Arial"/>
                <w:color w:val="16191F"/>
                <w:sz w:val="20"/>
              </w:rPr>
              <w:t xml:space="preserve">Content owners</w:t>
            </w:r>
          </w:p>
        </w:tc>
        <w:tc>
          <w:tcPr>
            <w:tcW w:w="3008" w:type="dxa"/>
          </w:tcPr>
          <w:p>
            <w:pPr>
              <w:pStyle w:val="Compact"/>
            </w:pPr>
            <w:r>
              <w:rPr>
                <w:rFonts w:ascii="Arial" w:hAnsi="Arial"/>
                <w:color w:val="16191F"/>
                <w:sz w:val="20"/>
              </w:rPr>
              <w:t xml:space="preserve">Those documents are excluded, or get an index of their own (3.2)</w:t>
            </w:r>
          </w:p>
        </w:tc>
      </w:tr>
      <w:tr>
        <w:trPr>
          <w:cantSplit/>
        </w:trPr>
        <w:tc>
          <w:tcPr>
            <w:tcW w:w="3008" w:type="dxa"/>
          </w:tcPr>
          <w:p>
            <w:pPr>
              <w:pStyle w:val="Compact"/>
            </w:pPr>
            <w:r>
              <w:rPr>
                <w:rFonts w:ascii="Arial" w:hAnsi="Arial"/>
                <w:color w:val="16191F"/>
                <w:sz w:val="20"/>
              </w:rPr>
              <w:t xml:space="preserve">Every signed-in user may read every indexed document</w:t>
            </w:r>
          </w:p>
        </w:tc>
        <w:tc>
          <w:tcPr>
            <w:tcW w:w="3008" w:type="dxa"/>
          </w:tcPr>
          <w:p>
            <w:pPr>
              <w:pStyle w:val="Compact"/>
            </w:pPr>
            <w:r>
              <w:rPr>
                <w:rFonts w:ascii="Arial" w:hAnsi="Arial"/>
                <w:color w:val="16191F"/>
                <w:sz w:val="20"/>
              </w:rPr>
              <w:t xml:space="preserve">Content owners and security architecture</w:t>
            </w:r>
          </w:p>
        </w:tc>
        <w:tc>
          <w:tcPr>
            <w:tcW w:w="3008" w:type="dxa"/>
          </w:tcPr>
          <w:p>
            <w:pPr>
              <w:pStyle w:val="Compact"/>
            </w:pPr>
            <w:r>
              <w:rPr>
                <w:rFonts w:ascii="Arial" w:hAnsi="Arial"/>
                <w:color w:val="16191F"/>
                <w:sz w:val="20"/>
              </w:rPr>
              <w:t xml:space="preserve">Retrieval needs per-user filtering (3.1)</w:t>
            </w:r>
          </w:p>
        </w:tc>
      </w:tr>
    </w:tbl>
    <w:bookmarkEnd w:id="39"/>
    <w:bookmarkEnd w:id="40"/>
    <w:sectPr>
      <w:headerReference w:type="default" r:id="rId9"/>
      <w:headerReference w:type="first" r:id="rId10"/>
      <w:footerReference w:type="first" r:id="rId11"/>
      <w:footerReference w:type="default" r:id="rId12"/>
      <w:footnotePr>
        <w:numRestart w:val="eachSect"/>
      </w:footnotePr>
      <w:pgSz w:w="11906" w:h="16838"/>
      <w:pgMar w:left="1440" w:right="1440" w:top="1296" w:bottom="129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F6B7A"/>
        <w:sz w:val="17"/>
      </w:rPr>
      <w:t xml:space="preserve">Retrieval-augmented assistant on Amazon Bedrock high-level design (v1.1)  |  Public example  |  Page </w:t>
    </w:r>
    <w:r>
      <w:fldChar w:fldCharType="begin"/>
    </w:r>
    <w:r>
      <w:instrText xml:space="preserve"> PAGE </w:instrText>
    </w:r>
    <w:r>
      <w:fldChar w:fldCharType="separate"/>
    </w:r>
    <w:r>
      <w:rPr>
        <w:rFonts w:ascii="Arial" w:hAnsi="Arial"/>
        <w:color w:val="5F6B7A"/>
        <w:sz w:val="17"/>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5DBDB"/>
      </w:pBdr>
      <w:jc w:val="right"/>
    </w:pPr>
    <w:r/>
    <w:r>
      <w:rPr>
        <w:rFonts w:ascii="Arial" w:hAnsi="Arial"/>
        <w:color w:val="5F6B7A"/>
        <w:sz w:val="17"/>
      </w:rPr>
      <w:t>AnyCompany  |  AWS Professional Services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b w:val="0"/>
      <w:i w:val="0"/>
      <w:color w:val="16191F"/>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hAnsi="Arial"/>
      <w:b/>
      <w:i w:val="0"/>
      <w:color w:val="232F3E"/>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hAnsi="Arial"/>
      <w:b/>
      <w:i w:val="0"/>
      <w:color w:val="232F3E"/>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hAnsi="Arial"/>
      <w:b/>
      <w:i w:val="0"/>
      <w:color w:val="232F3E"/>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hAnsi="Arial"/>
      <w:b/>
      <w:i w:val="0"/>
      <w:iCs/>
      <w:color w:val="232F3E"/>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4" Type="http://schemas.openxmlformats.org/officeDocument/2006/relationships/hyperlink" Target="https://docs.aws.amazon.com/AmazonS3/latest/userguide/UsingServerSideEncryption.html" TargetMode="External"/><Relationship Id="rId35" Type="http://schemas.openxmlformats.org/officeDocument/2006/relationships/hyperlink" Target="https://docs.aws.amazon.com/amazondynamodb/latest/developerguide/TTL.html" TargetMode="External"/><Relationship Id="rId21" Type="http://schemas.openxmlformats.org/officeDocument/2006/relationships/hyperlink" Target="https://docs.aws.amazon.com/apigateway/latest/developerguide/api-gateway-execution-service-limits-table.html" TargetMode="External"/><Relationship Id="rId27" Type="http://schemas.openxmlformats.org/officeDocument/2006/relationships/hyperlink" Target="https://docs.aws.amazon.com/apigateway/latest/developerguide/apigateway-integrate-with-cognito.html" TargetMode="External"/><Relationship Id="rId28" Type="http://schemas.openxmlformats.org/officeDocument/2006/relationships/hyperlink" Target="https://docs.aws.amazon.com/bedrock/latest/userguide/conversation-inference.html" TargetMode="External"/><Relationship Id="rId29" Type="http://schemas.openxmlformats.org/officeDocument/2006/relationships/hyperlink" Target="https://docs.aws.amazon.com/bedrock/latest/userguide/data-protection.html" TargetMode="External"/><Relationship Id="rId30" Type="http://schemas.openxmlformats.org/officeDocument/2006/relationships/hyperlink" Target="https://docs.aws.amazon.com/bedrock/latest/userguide/guardrails.html" TargetMode="External"/><Relationship Id="rId31" Type="http://schemas.openxmlformats.org/officeDocument/2006/relationships/hyperlink" Target="https://docs.aws.amazon.com/opensearch-service/latest/developerguide/knn.html" TargetMode="External"/><Relationship Id="rId33" Type="http://schemas.openxmlformats.org/officeDocument/2006/relationships/hyperlink" Target="https://docs.aws.amazon.com/step-functions/latest/dg/concepts-error-handling.html" TargetMode="External"/><Relationship Id="rId32" Type="http://schemas.openxmlformats.org/officeDocument/2006/relationships/hyperlink" Target="https://docs.aws.amazon.com/textract/latest/dg/api-async.html"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34" Type="http://schemas.openxmlformats.org/officeDocument/2006/relationships/hyperlink" Target="https://docs.aws.amazon.com/AmazonS3/latest/userguide/UsingServerSideEncryption.html" TargetMode="External"/><Relationship Id="rId35" Type="http://schemas.openxmlformats.org/officeDocument/2006/relationships/hyperlink" Target="https://docs.aws.amazon.com/amazondynamodb/latest/developerguide/TTL.html" TargetMode="External"/><Relationship Id="rId21" Type="http://schemas.openxmlformats.org/officeDocument/2006/relationships/hyperlink" Target="https://docs.aws.amazon.com/apigateway/latest/developerguide/api-gateway-execution-service-limits-table.html" TargetMode="External"/><Relationship Id="rId27" Type="http://schemas.openxmlformats.org/officeDocument/2006/relationships/hyperlink" Target="https://docs.aws.amazon.com/apigateway/latest/developerguide/apigateway-integrate-with-cognito.html" TargetMode="External"/><Relationship Id="rId28" Type="http://schemas.openxmlformats.org/officeDocument/2006/relationships/hyperlink" Target="https://docs.aws.amazon.com/bedrock/latest/userguide/conversation-inference.html" TargetMode="External"/><Relationship Id="rId29" Type="http://schemas.openxmlformats.org/officeDocument/2006/relationships/hyperlink" Target="https://docs.aws.amazon.com/bedrock/latest/userguide/data-protection.html" TargetMode="External"/><Relationship Id="rId30" Type="http://schemas.openxmlformats.org/officeDocument/2006/relationships/hyperlink" Target="https://docs.aws.amazon.com/bedrock/latest/userguide/guardrails.html" TargetMode="External"/><Relationship Id="rId31" Type="http://schemas.openxmlformats.org/officeDocument/2006/relationships/hyperlink" Target="https://docs.aws.amazon.com/opensearch-service/latest/developerguide/knn.html" TargetMode="External"/><Relationship Id="rId33" Type="http://schemas.openxmlformats.org/officeDocument/2006/relationships/hyperlink" Target="https://docs.aws.amazon.com/step-functions/latest/dg/concepts-error-handling.html" TargetMode="External"/><Relationship Id="rId32" Type="http://schemas.openxmlformats.org/officeDocument/2006/relationships/hyperlink" Target="https://docs.aws.amazon.com/textract/latest/dg/api-asyn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Retrieval-augmented assistant on Amazon Bedrock high-level design</dc:title>
  <dc:creator>Platform team</dc:creator>
  <cp:keywords/>
  <dcterms:created xsi:type="dcterms:W3CDTF">2026-10-14T12:42:52Z</dcterms:created>
  <dcterms:modified xsi:type="dcterms:W3CDTF">2026-10-14T12:42:52Z</dcterms:modified>
  <dc:subject>Example / Public example</dc:subject>
</cp:coreProperties>
</file>

<file path=docProps/custom.xml><?xml version="1.0" encoding="utf-8"?>
<Properties xmlns="http://schemas.openxmlformats.org/officeDocument/2006/custom-properties" xmlns:vt="http://schemas.openxmlformats.org/officeDocument/2006/docPropsVTypes"/>
</file>