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MockData1 Validation Test Results</w:t>
      </w:r>
    </w:p>
    <w:p>
      <w:r>
        <w:t>Date: April 2, 2026</w:t>
      </w:r>
    </w:p>
    <w:p>
      <w:r>
        <w:t>Validator: DVaaS (jsonschema-rs + Allotrope ASM schemas, 113 schemas loaded)</w:t>
      </w:r>
    </w:p>
    <w:p>
      <w:pPr>
        <w:pStyle w:val="Heading1"/>
      </w:pPr>
      <w:r>
        <w:t>Executive Summary</w:t>
      </w:r>
    </w:p>
    <w:p>
      <w:r>
        <w:t>We ran both files through our validation pipeline. MockData1_2.json correctly failed with 3 schema errors. MockData1_1.json passed schema validation, which revealed an important finding: the official Allotrope JSON schemas are more permissive than expected. They define field types and structure but enforce very few required fields. Issues like missing analyst, value rounding, and empty strings are not caught by schema validation alone. This confirms that multiple validation layers are needed, aligning with your 4-level validation approach.</w:t>
      </w:r>
    </w:p>
    <w:p>
      <w:pPr>
        <w:pStyle w:val="Heading1"/>
      </w:pPr>
      <w:r>
        <w:t>MockData1_2.json (Row 2) - INVALID</w:t>
      </w:r>
    </w:p>
    <w:p>
      <w:r>
        <w:rPr>
          <w:b/>
        </w:rPr>
        <w:t>3 schema errors detected.</w:t>
      </w:r>
      <w:r>
        <w:t xml:space="preserve"> Our Level 1 validation correctly flagged these:</w:t>
      </w:r>
    </w:p>
    <w:tbl>
      <w:tblPr>
        <w:tblStyle w:val="TableGrid"/>
        <w:tblW w:type="auto" w:w="0"/>
        <w:tblLook w:firstColumn="1" w:firstRow="1" w:lastColumn="0" w:lastRow="0" w:noHBand="0" w:noVBand="1" w:val="04A0"/>
      </w:tblPr>
      <w:tblGrid>
        <w:gridCol w:w="2880"/>
        <w:gridCol w:w="2880"/>
        <w:gridCol w:w="2880"/>
      </w:tblGrid>
      <w:tr>
        <w:tc>
          <w:tcPr>
            <w:tcW w:type="dxa" w:w="2880"/>
            <w:shd w:fill="232F3E" w:val="clear"/>
          </w:tcPr>
          <w:p>
            <w:r>
              <w:rPr>
                <w:b/>
                <w:color w:val="FFFFFF"/>
                <w:sz w:val="18"/>
              </w:rPr>
              <w:t>Error</w:t>
            </w:r>
          </w:p>
        </w:tc>
        <w:tc>
          <w:tcPr>
            <w:tcW w:type="dxa" w:w="2880"/>
            <w:shd w:fill="232F3E" w:val="clear"/>
          </w:tcPr>
          <w:p>
            <w:r>
              <w:rPr>
                <w:b/>
                <w:color w:val="FFFFFF"/>
                <w:sz w:val="18"/>
              </w:rPr>
              <w:t>Measurement</w:t>
            </w:r>
          </w:p>
        </w:tc>
        <w:tc>
          <w:tcPr>
            <w:tcW w:type="dxa" w:w="2880"/>
            <w:shd w:fill="232F3E" w:val="clear"/>
          </w:tcPr>
          <w:p>
            <w:r>
              <w:rPr>
                <w:b/>
                <w:color w:val="FFFFFF"/>
                <w:sz w:val="18"/>
              </w:rPr>
              <w:t>Root Cause</w:t>
            </w:r>
          </w:p>
        </w:tc>
      </w:tr>
      <w:tr>
        <w:tc>
          <w:tcPr>
            <w:tcW w:type="dxa" w:w="2880"/>
          </w:tcPr>
          <w:p>
            <w:r>
              <w:rPr>
                <w:sz w:val="18"/>
              </w:rPr>
              <w:t>1</w:t>
            </w:r>
          </w:p>
        </w:tc>
        <w:tc>
          <w:tcPr>
            <w:tcW w:type="dxa" w:w="2880"/>
          </w:tcPr>
          <w:p>
            <w:r>
              <w:rPr>
                <w:sz w:val="18"/>
              </w:rPr>
              <w:t>Blood gas (measurement[0])</w:t>
            </w:r>
          </w:p>
        </w:tc>
        <w:tc>
          <w:tcPr>
            <w:tcW w:type="dxa" w:w="2880"/>
          </w:tcPr>
          <w:p>
            <w:r>
              <w:rPr>
                <w:sz w:val="18"/>
              </w:rPr>
              <w:t>pCO2 unit is "nmHg" instead of "mmHg"</w:t>
            </w:r>
          </w:p>
        </w:tc>
      </w:tr>
      <w:tr>
        <w:tc>
          <w:tcPr>
            <w:tcW w:type="dxa" w:w="2880"/>
          </w:tcPr>
          <w:p>
            <w:r>
              <w:rPr>
                <w:sz w:val="18"/>
              </w:rPr>
              <w:t>2</w:t>
            </w:r>
          </w:p>
        </w:tc>
        <w:tc>
          <w:tcPr>
            <w:tcW w:type="dxa" w:w="2880"/>
          </w:tcPr>
          <w:p>
            <w:r>
              <w:rPr>
                <w:sz w:val="18"/>
              </w:rPr>
              <w:t>Metabolite (measurement[3])</w:t>
            </w:r>
          </w:p>
        </w:tc>
        <w:tc>
          <w:tcPr>
            <w:tcW w:type="dxa" w:w="2880"/>
          </w:tcPr>
          <w:p>
            <w:r>
              <w:rPr>
                <w:sz w:val="18"/>
              </w:rPr>
              <w:t>glucose unit "mg/L" not valid; schema expects "g/L"</w:t>
            </w:r>
          </w:p>
        </w:tc>
      </w:tr>
      <w:tr>
        <w:tc>
          <w:tcPr>
            <w:tcW w:type="dxa" w:w="2880"/>
          </w:tcPr>
          <w:p>
            <w:r>
              <w:rPr>
                <w:sz w:val="18"/>
              </w:rPr>
              <w:t>3</w:t>
            </w:r>
          </w:p>
        </w:tc>
        <w:tc>
          <w:tcPr>
            <w:tcW w:type="dxa" w:w="2880"/>
          </w:tcPr>
          <w:p>
            <w:r>
              <w:rPr>
                <w:sz w:val="18"/>
              </w:rPr>
              <w:t>Cell counter (measurement[4])</w:t>
            </w:r>
          </w:p>
        </w:tc>
        <w:tc>
          <w:tcPr>
            <w:tcW w:type="dxa" w:w="2880"/>
          </w:tcPr>
          <w:p>
            <w:r>
              <w:rPr>
                <w:sz w:val="18"/>
              </w:rPr>
              <w:t>cell density dilution factor missing "unit" field</w:t>
            </w:r>
          </w:p>
        </w:tc>
      </w:tr>
    </w:tbl>
    <w:p/>
    <w:p>
      <w:pPr>
        <w:pStyle w:val="Heading1"/>
      </w:pPr>
      <w:r>
        <w:t>MockData1_1.json (Row 1) - VALID (Schema Passed)</w:t>
      </w:r>
    </w:p>
    <w:p>
      <w:r>
        <w:rPr>
          <w:b/>
        </w:rPr>
        <w:t>0 schema errors.</w:t>
      </w:r>
      <w:r>
        <w:t xml:space="preserve"> The file passes official Allotrope JSON schema validation.</w:t>
      </w:r>
    </w:p>
    <w:p>
      <w:pPr>
        <w:pStyle w:val="Heading2"/>
      </w:pPr>
      <w:r>
        <w:t>Why It Passed</w:t>
      </w:r>
    </w:p>
    <w:p>
      <w:r>
        <w:t>The official Allotrope JSON schema (REC/2025/12) is permissive by design. The "analyst" field is optional (not in a required array). Value precision is not enforced. Empty strings are valid. Extra characters in strings pass type validation. The schema validates structure and types, not data quality or business rules.</w:t>
      </w:r>
    </w:p>
    <w:p>
      <w:pPr>
        <w:pStyle w:val="Heading2"/>
      </w:pPr>
      <w:r>
        <w:t>Level 2 Issues Found by Manual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32F3E" w:val="clear"/>
          </w:tcPr>
          <w:p>
            <w:r>
              <w:rPr>
                <w:b/>
                <w:color w:val="FFFFFF"/>
                <w:sz w:val="18"/>
              </w:rPr>
              <w:t>#</w:t>
            </w:r>
          </w:p>
        </w:tc>
        <w:tc>
          <w:tcPr>
            <w:tcW w:type="dxa" w:w="1728"/>
            <w:shd w:fill="232F3E" w:val="clear"/>
          </w:tcPr>
          <w:p>
            <w:r>
              <w:rPr>
                <w:b/>
                <w:color w:val="FFFFFF"/>
                <w:sz w:val="18"/>
              </w:rPr>
              <w:t>Source Field</w:t>
            </w:r>
          </w:p>
        </w:tc>
        <w:tc>
          <w:tcPr>
            <w:tcW w:type="dxa" w:w="1728"/>
            <w:shd w:fill="232F3E" w:val="clear"/>
          </w:tcPr>
          <w:p>
            <w:r>
              <w:rPr>
                <w:b/>
                <w:color w:val="FFFFFF"/>
                <w:sz w:val="18"/>
              </w:rPr>
              <w:t>Source Value</w:t>
            </w:r>
          </w:p>
        </w:tc>
        <w:tc>
          <w:tcPr>
            <w:tcW w:type="dxa" w:w="1728"/>
            <w:shd w:fill="232F3E" w:val="clear"/>
          </w:tcPr>
          <w:p>
            <w:r>
              <w:rPr>
                <w:b/>
                <w:color w:val="FFFFFF"/>
                <w:sz w:val="18"/>
              </w:rPr>
              <w:t>ASM Value</w:t>
            </w:r>
          </w:p>
        </w:tc>
        <w:tc>
          <w:tcPr>
            <w:tcW w:type="dxa" w:w="1728"/>
            <w:shd w:fill="232F3E" w:val="clear"/>
          </w:tcPr>
          <w:p>
            <w:r>
              <w:rPr>
                <w:b/>
                <w:color w:val="FFFFFF"/>
                <w:sz w:val="18"/>
              </w:rPr>
              <w:t>Issue</w:t>
            </w:r>
          </w:p>
        </w:tc>
      </w:tr>
      <w:tr>
        <w:tc>
          <w:tcPr>
            <w:tcW w:type="dxa" w:w="1728"/>
          </w:tcPr>
          <w:p>
            <w:r>
              <w:rPr>
                <w:sz w:val="18"/>
              </w:rPr>
              <w:t>1</w:t>
            </w:r>
          </w:p>
        </w:tc>
        <w:tc>
          <w:tcPr>
            <w:tcW w:type="dxa" w:w="1728"/>
          </w:tcPr>
          <w:p>
            <w:r>
              <w:rPr>
                <w:sz w:val="18"/>
              </w:rPr>
              <w:t>PO2</w:t>
            </w:r>
          </w:p>
        </w:tc>
        <w:tc>
          <w:tcPr>
            <w:tcW w:type="dxa" w:w="1728"/>
          </w:tcPr>
          <w:p>
            <w:r>
              <w:rPr>
                <w:sz w:val="18"/>
              </w:rPr>
              <w:t>164.7</w:t>
            </w:r>
          </w:p>
        </w:tc>
        <w:tc>
          <w:tcPr>
            <w:tcW w:type="dxa" w:w="1728"/>
          </w:tcPr>
          <w:p>
            <w:r>
              <w:rPr>
                <w:sz w:val="18"/>
              </w:rPr>
              <w:t>165</w:t>
            </w:r>
          </w:p>
        </w:tc>
        <w:tc>
          <w:tcPr>
            <w:tcW w:type="dxa" w:w="1728"/>
          </w:tcPr>
          <w:p>
            <w:r>
              <w:rPr>
                <w:sz w:val="18"/>
              </w:rPr>
              <w:t>Value rounded</w:t>
            </w:r>
          </w:p>
        </w:tc>
      </w:tr>
      <w:tr>
        <w:tc>
          <w:tcPr>
            <w:tcW w:type="dxa" w:w="1728"/>
          </w:tcPr>
          <w:p>
            <w:r>
              <w:rPr>
                <w:sz w:val="18"/>
              </w:rPr>
              <w:t>2</w:t>
            </w:r>
          </w:p>
        </w:tc>
        <w:tc>
          <w:tcPr>
            <w:tcW w:type="dxa" w:w="1728"/>
          </w:tcPr>
          <w:p>
            <w:r>
              <w:rPr>
                <w:sz w:val="18"/>
              </w:rPr>
              <w:t>O2 Saturation</w:t>
            </w:r>
          </w:p>
        </w:tc>
        <w:tc>
          <w:tcPr>
            <w:tcW w:type="dxa" w:w="1728"/>
          </w:tcPr>
          <w:p>
            <w:r>
              <w:rPr>
                <w:sz w:val="18"/>
              </w:rPr>
              <w:t>100</w:t>
            </w:r>
          </w:p>
        </w:tc>
        <w:tc>
          <w:tcPr>
            <w:tcW w:type="dxa" w:w="1728"/>
          </w:tcPr>
          <w:p>
            <w:r>
              <w:rPr>
                <w:sz w:val="18"/>
              </w:rPr>
              <w:t>90</w:t>
            </w:r>
          </w:p>
        </w:tc>
        <w:tc>
          <w:tcPr>
            <w:tcW w:type="dxa" w:w="1728"/>
          </w:tcPr>
          <w:p>
            <w:r>
              <w:rPr>
                <w:sz w:val="18"/>
              </w:rPr>
              <w:t>Value changed</w:t>
            </w:r>
          </w:p>
        </w:tc>
      </w:tr>
      <w:tr>
        <w:tc>
          <w:tcPr>
            <w:tcW w:type="dxa" w:w="1728"/>
          </w:tcPr>
          <w:p>
            <w:r>
              <w:rPr>
                <w:sz w:val="18"/>
              </w:rPr>
              <w:t>3</w:t>
            </w:r>
          </w:p>
        </w:tc>
        <w:tc>
          <w:tcPr>
            <w:tcW w:type="dxa" w:w="1728"/>
          </w:tcPr>
          <w:p>
            <w:r>
              <w:rPr>
                <w:sz w:val="18"/>
              </w:rPr>
              <w:t>Chem Cartridge Lot</w:t>
            </w:r>
          </w:p>
        </w:tc>
        <w:tc>
          <w:tcPr>
            <w:tcW w:type="dxa" w:w="1728"/>
          </w:tcPr>
          <w:p>
            <w:r>
              <w:rPr>
                <w:sz w:val="18"/>
              </w:rPr>
              <w:t>25099058</w:t>
            </w:r>
          </w:p>
        </w:tc>
        <w:tc>
          <w:tcPr>
            <w:tcW w:type="dxa" w:w="1728"/>
          </w:tcPr>
          <w:p>
            <w:r>
              <w:rPr>
                <w:sz w:val="18"/>
              </w:rPr>
              <w:t>25099058--</w:t>
            </w:r>
          </w:p>
        </w:tc>
        <w:tc>
          <w:tcPr>
            <w:tcW w:type="dxa" w:w="1728"/>
          </w:tcPr>
          <w:p>
            <w:r>
              <w:rPr>
                <w:sz w:val="18"/>
              </w:rPr>
              <w:t>Extra characters appended</w:t>
            </w:r>
          </w:p>
        </w:tc>
      </w:tr>
      <w:tr>
        <w:tc>
          <w:tcPr>
            <w:tcW w:type="dxa" w:w="1728"/>
          </w:tcPr>
          <w:p>
            <w:r>
              <w:rPr>
                <w:sz w:val="18"/>
              </w:rPr>
              <w:t>4</w:t>
            </w:r>
          </w:p>
        </w:tc>
        <w:tc>
          <w:tcPr>
            <w:tcW w:type="dxa" w:w="1728"/>
          </w:tcPr>
          <w:p>
            <w:r>
              <w:rPr>
                <w:sz w:val="18"/>
              </w:rPr>
              <w:t>Chem Card Lot</w:t>
            </w:r>
          </w:p>
        </w:tc>
        <w:tc>
          <w:tcPr>
            <w:tcW w:type="dxa" w:w="1728"/>
          </w:tcPr>
          <w:p>
            <w:r>
              <w:rPr>
                <w:sz w:val="18"/>
              </w:rPr>
              <w:t>25094029</w:t>
            </w:r>
          </w:p>
        </w:tc>
        <w:tc>
          <w:tcPr>
            <w:tcW w:type="dxa" w:w="1728"/>
          </w:tcPr>
          <w:p>
            <w:r>
              <w:rPr>
                <w:sz w:val="18"/>
              </w:rPr>
              <w:t>(empty)</w:t>
            </w:r>
          </w:p>
        </w:tc>
        <w:tc>
          <w:tcPr>
            <w:tcW w:type="dxa" w:w="1728"/>
          </w:tcPr>
          <w:p>
            <w:r>
              <w:rPr>
                <w:sz w:val="18"/>
              </w:rPr>
              <w:t>Value dropped entirely</w:t>
            </w:r>
          </w:p>
        </w:tc>
      </w:tr>
    </w:tbl>
    <w:p/>
    <w:p>
      <w:pPr>
        <w:pStyle w:val="Heading1"/>
      </w:pPr>
      <w:r>
        <w:t>Gap Analysis: Schema vs Customer Expectations</w:t>
      </w:r>
    </w:p>
    <w:p>
      <w:r>
        <w:t>Your Level 1 validation includes both JSON schema validation AND ASM tag validation via your custom Python package. Our current DVaaS performs the JSON schema part. The additional rules your package enforces are not yet in our service.</w:t>
      </w:r>
    </w:p>
    <w:p>
      <w:pPr>
        <w:pStyle w:val="Heading2"/>
      </w:pPr>
      <w:r>
        <w:t>What the Schema Enforces</w:t>
      </w:r>
    </w:p>
    <w:p>
      <w:pPr>
        <w:pStyle w:val="ListBullet"/>
      </w:pPr>
      <w:r>
        <w:t>Document structure and hierarchy</w:t>
      </w:r>
    </w:p>
    <w:p>
      <w:pPr>
        <w:pStyle w:val="ListBullet"/>
      </w:pPr>
      <w:r>
        <w:t>Required fields: measurement identifier, measurement time</w:t>
      </w:r>
    </w:p>
    <w:p>
      <w:pPr>
        <w:pStyle w:val="ListBullet"/>
      </w:pPr>
      <w:r>
        <w:t>Field types (string, number, object, array)</w:t>
      </w:r>
    </w:p>
    <w:p>
      <w:pPr>
        <w:pStyle w:val="ListBullet"/>
      </w:pPr>
      <w:r>
        <w:t>Detector schema conformance</w:t>
      </w:r>
    </w:p>
    <w:p>
      <w:pPr>
        <w:pStyle w:val="ListBullet"/>
      </w:pPr>
      <w:r>
        <w:t>$asm.manifest presence</w:t>
      </w:r>
    </w:p>
    <w:p>
      <w:pPr>
        <w:pStyle w:val="Heading2"/>
      </w:pPr>
      <w:r>
        <w:t>What the Schema Does NOT Enforce</w:t>
      </w:r>
    </w:p>
    <w:p>
      <w:pPr>
        <w:pStyle w:val="ListBullet"/>
      </w:pPr>
      <w:r>
        <w:t>analyst as a required field (optional in schema)</w:t>
      </w:r>
    </w:p>
    <w:p>
      <w:pPr>
        <w:pStyle w:val="ListBullet"/>
      </w:pPr>
      <w:r>
        <w:t>Value precision or accuracy</w:t>
      </w:r>
    </w:p>
    <w:p>
      <w:pPr>
        <w:pStyle w:val="ListBullet"/>
      </w:pPr>
      <w:r>
        <w:t>Non-empty string constraints</w:t>
      </w:r>
    </w:p>
    <w:p>
      <w:pPr>
        <w:pStyle w:val="ListBullet"/>
      </w:pPr>
      <w:r>
        <w:t>Specific unit values beyond detector schemas</w:t>
      </w:r>
    </w:p>
    <w:p>
      <w:pPr>
        <w:pStyle w:val="ListBullet"/>
      </w:pPr>
      <w:r>
        <w:t>Business rules</w:t>
      </w:r>
    </w:p>
    <w:p>
      <w:pPr>
        <w:pStyle w:val="Heading2"/>
      </w:pPr>
      <w:r>
        <w:t>Our Plan to Close the Gap</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32F3E" w:val="clear"/>
          </w:tcPr>
          <w:p>
            <w:r>
              <w:rPr>
                <w:b/>
                <w:color w:val="FFFFFF"/>
                <w:sz w:val="18"/>
              </w:rPr>
              <w:t>Rule</w:t>
            </w:r>
          </w:p>
        </w:tc>
        <w:tc>
          <w:tcPr>
            <w:tcW w:type="dxa" w:w="2160"/>
            <w:shd w:fill="232F3E" w:val="clear"/>
          </w:tcPr>
          <w:p>
            <w:r>
              <w:rPr>
                <w:b/>
                <w:color w:val="FFFFFF"/>
                <w:sz w:val="18"/>
              </w:rPr>
              <w:t>Source</w:t>
            </w:r>
          </w:p>
        </w:tc>
        <w:tc>
          <w:tcPr>
            <w:tcW w:type="dxa" w:w="2160"/>
            <w:shd w:fill="232F3E" w:val="clear"/>
          </w:tcPr>
          <w:p>
            <w:r>
              <w:rPr>
                <w:b/>
                <w:color w:val="FFFFFF"/>
                <w:sz w:val="18"/>
              </w:rPr>
              <w:t>Priority</w:t>
            </w:r>
          </w:p>
        </w:tc>
        <w:tc>
          <w:tcPr>
            <w:tcW w:type="dxa" w:w="2160"/>
            <w:shd w:fill="232F3E" w:val="clear"/>
          </w:tcPr>
          <w:p>
            <w:r>
              <w:rPr>
                <w:b/>
                <w:color w:val="FFFFFF"/>
                <w:sz w:val="18"/>
              </w:rPr>
              <w:t>Status</w:t>
            </w:r>
          </w:p>
        </w:tc>
      </w:tr>
      <w:tr>
        <w:tc>
          <w:tcPr>
            <w:tcW w:type="dxa" w:w="2160"/>
          </w:tcPr>
          <w:p>
            <w:r>
              <w:rPr>
                <w:sz w:val="18"/>
              </w:rPr>
              <w:t>$asm.type attribute enforcement</w:t>
            </w:r>
          </w:p>
        </w:tc>
        <w:tc>
          <w:tcPr>
            <w:tcW w:type="dxa" w:w="2160"/>
          </w:tcPr>
          <w:p>
            <w:r>
              <w:rPr>
                <w:sz w:val="18"/>
              </w:rPr>
              <w:t>Validation workflow / sdc-asm-to-rdf</w:t>
            </w:r>
          </w:p>
        </w:tc>
        <w:tc>
          <w:tcPr>
            <w:tcW w:type="dxa" w:w="2160"/>
          </w:tcPr>
          <w:p>
            <w:r>
              <w:rPr>
                <w:sz w:val="18"/>
              </w:rPr>
              <w:t>High</w:t>
            </w:r>
          </w:p>
        </w:tc>
        <w:tc>
          <w:tcPr>
            <w:tcW w:type="dxa" w:w="2160"/>
          </w:tcPr>
          <w:p>
            <w:r>
              <w:rPr>
                <w:sz w:val="18"/>
              </w:rPr>
              <w:t>Planned</w:t>
            </w:r>
          </w:p>
        </w:tc>
      </w:tr>
      <w:tr>
        <w:tc>
          <w:tcPr>
            <w:tcW w:type="dxa" w:w="2160"/>
          </w:tcPr>
          <w:p>
            <w:r>
              <w:rPr>
                <w:sz w:val="18"/>
              </w:rPr>
              <w:t>$asm.pattern enforcement (value datum = value + unit)</w:t>
            </w:r>
          </w:p>
        </w:tc>
        <w:tc>
          <w:tcPr>
            <w:tcW w:type="dxa" w:w="2160"/>
          </w:tcPr>
          <w:p>
            <w:r>
              <w:rPr>
                <w:sz w:val="18"/>
              </w:rPr>
              <w:t>Validation workflow / sdc-asm-to-rdf</w:t>
            </w:r>
          </w:p>
        </w:tc>
        <w:tc>
          <w:tcPr>
            <w:tcW w:type="dxa" w:w="2160"/>
          </w:tcPr>
          <w:p>
            <w:r>
              <w:rPr>
                <w:sz w:val="18"/>
              </w:rPr>
              <w:t>High</w:t>
            </w:r>
          </w:p>
        </w:tc>
        <w:tc>
          <w:tcPr>
            <w:tcW w:type="dxa" w:w="2160"/>
          </w:tcPr>
          <w:p>
            <w:r>
              <w:rPr>
                <w:sz w:val="18"/>
              </w:rPr>
              <w:t>Planned</w:t>
            </w:r>
          </w:p>
        </w:tc>
      </w:tr>
      <w:tr>
        <w:tc>
          <w:tcPr>
            <w:tcW w:type="dxa" w:w="2160"/>
          </w:tcPr>
          <w:p>
            <w:r>
              <w:rPr>
                <w:sz w:val="18"/>
              </w:rPr>
              <w:t>Required analyst field</w:t>
            </w:r>
          </w:p>
        </w:tc>
        <w:tc>
          <w:tcPr>
            <w:tcW w:type="dxa" w:w="2160"/>
          </w:tcPr>
          <w:p>
            <w:r>
              <w:rPr>
                <w:sz w:val="18"/>
              </w:rPr>
              <w:t>Building Principles</w:t>
            </w:r>
          </w:p>
        </w:tc>
        <w:tc>
          <w:tcPr>
            <w:tcW w:type="dxa" w:w="2160"/>
          </w:tcPr>
          <w:p>
            <w:r>
              <w:rPr>
                <w:sz w:val="18"/>
              </w:rPr>
              <w:t>High</w:t>
            </w:r>
          </w:p>
        </w:tc>
        <w:tc>
          <w:tcPr>
            <w:tcW w:type="dxa" w:w="2160"/>
          </w:tcPr>
          <w:p>
            <w:r>
              <w:rPr>
                <w:sz w:val="18"/>
              </w:rPr>
              <w:t>Planned</w:t>
            </w:r>
          </w:p>
        </w:tc>
      </w:tr>
      <w:tr>
        <w:tc>
          <w:tcPr>
            <w:tcW w:type="dxa" w:w="2160"/>
          </w:tcPr>
          <w:p>
            <w:r>
              <w:rPr>
                <w:sz w:val="18"/>
              </w:rPr>
              <w:t>Non-empty string validation</w:t>
            </w:r>
          </w:p>
        </w:tc>
        <w:tc>
          <w:tcPr>
            <w:tcW w:type="dxa" w:w="2160"/>
          </w:tcPr>
          <w:p>
            <w:r>
              <w:rPr>
                <w:sz w:val="18"/>
              </w:rPr>
              <w:t>MockData1 test findings</w:t>
            </w:r>
          </w:p>
        </w:tc>
        <w:tc>
          <w:tcPr>
            <w:tcW w:type="dxa" w:w="2160"/>
          </w:tcPr>
          <w:p>
            <w:r>
              <w:rPr>
                <w:sz w:val="18"/>
              </w:rPr>
              <w:t>High</w:t>
            </w:r>
          </w:p>
        </w:tc>
        <w:tc>
          <w:tcPr>
            <w:tcW w:type="dxa" w:w="2160"/>
          </w:tcPr>
          <w:p>
            <w:r>
              <w:rPr>
                <w:sz w:val="18"/>
              </w:rPr>
              <w:t>Planned</w:t>
            </w:r>
          </w:p>
        </w:tc>
      </w:tr>
      <w:tr>
        <w:tc>
          <w:tcPr>
            <w:tcW w:type="dxa" w:w="2160"/>
          </w:tcPr>
          <w:p>
            <w:r>
              <w:rPr>
                <w:sz w:val="18"/>
              </w:rPr>
              <w:t>Calculated data traceability nesting</w:t>
            </w:r>
          </w:p>
        </w:tc>
        <w:tc>
          <w:tcPr>
            <w:tcW w:type="dxa" w:w="2160"/>
          </w:tcPr>
          <w:p>
            <w:r>
              <w:rPr>
                <w:sz w:val="18"/>
              </w:rPr>
              <w:t>Traceability example</w:t>
            </w:r>
          </w:p>
        </w:tc>
        <w:tc>
          <w:tcPr>
            <w:tcW w:type="dxa" w:w="2160"/>
          </w:tcPr>
          <w:p>
            <w:r>
              <w:rPr>
                <w:sz w:val="18"/>
              </w:rPr>
              <w:t>High</w:t>
            </w:r>
          </w:p>
        </w:tc>
        <w:tc>
          <w:tcPr>
            <w:tcW w:type="dxa" w:w="2160"/>
          </w:tcPr>
          <w:p>
            <w:r>
              <w:rPr>
                <w:sz w:val="18"/>
              </w:rPr>
              <w:t>In progress</w:t>
            </w:r>
          </w:p>
        </w:tc>
      </w:tr>
      <w:tr>
        <w:tc>
          <w:tcPr>
            <w:tcW w:type="dxa" w:w="2160"/>
          </w:tcPr>
          <w:p>
            <w:r>
              <w:rPr>
                <w:sz w:val="18"/>
              </w:rPr>
              <w:t>Every source term mapped (no silent drops)</w:t>
            </w:r>
          </w:p>
        </w:tc>
        <w:tc>
          <w:tcPr>
            <w:tcW w:type="dxa" w:w="2160"/>
          </w:tcPr>
          <w:p>
            <w:r>
              <w:rPr>
                <w:sz w:val="18"/>
              </w:rPr>
              <w:t>Mapping rules</w:t>
            </w:r>
          </w:p>
        </w:tc>
        <w:tc>
          <w:tcPr>
            <w:tcW w:type="dxa" w:w="2160"/>
          </w:tcPr>
          <w:p>
            <w:r>
              <w:rPr>
                <w:sz w:val="18"/>
              </w:rPr>
              <w:t>High</w:t>
            </w:r>
          </w:p>
        </w:tc>
        <w:tc>
          <w:tcPr>
            <w:tcW w:type="dxa" w:w="2160"/>
          </w:tcPr>
          <w:p>
            <w:r>
              <w:rPr>
                <w:sz w:val="18"/>
              </w:rPr>
              <w:t>Implemented (field_mapping)</w:t>
            </w:r>
          </w:p>
        </w:tc>
      </w:tr>
      <w:tr>
        <w:tc>
          <w:tcPr>
            <w:tcW w:type="dxa" w:w="2160"/>
          </w:tcPr>
          <w:p>
            <w:r>
              <w:rPr>
                <w:sz w:val="18"/>
              </w:rPr>
              <w:t>Unit validation against ontology</w:t>
            </w:r>
          </w:p>
        </w:tc>
        <w:tc>
          <w:tcPr>
            <w:tcW w:type="dxa" w:w="2160"/>
          </w:tcPr>
          <w:p>
            <w:r>
              <w:rPr>
                <w:sz w:val="18"/>
              </w:rPr>
              <w:t>Building Principles</w:t>
            </w:r>
          </w:p>
        </w:tc>
        <w:tc>
          <w:tcPr>
            <w:tcW w:type="dxa" w:w="2160"/>
          </w:tcPr>
          <w:p>
            <w:r>
              <w:rPr>
                <w:sz w:val="18"/>
              </w:rPr>
              <w:t>Medium</w:t>
            </w:r>
          </w:p>
        </w:tc>
        <w:tc>
          <w:tcPr>
            <w:tcW w:type="dxa" w:w="2160"/>
          </w:tcPr>
          <w:p>
            <w:r>
              <w:rPr>
                <w:sz w:val="18"/>
              </w:rPr>
              <w:t>Planned</w:t>
            </w:r>
          </w:p>
        </w:tc>
      </w:tr>
      <w:tr>
        <w:tc>
          <w:tcPr>
            <w:tcW w:type="dxa" w:w="2160"/>
          </w:tcPr>
          <w:p>
            <w:r>
              <w:rPr>
                <w:sz w:val="18"/>
              </w:rPr>
              <w:t>HarmonizingBaseTerms integration</w:t>
            </w:r>
          </w:p>
        </w:tc>
        <w:tc>
          <w:tcPr>
            <w:tcW w:type="dxa" w:w="2160"/>
          </w:tcPr>
          <w:p>
            <w:r>
              <w:rPr>
                <w:sz w:val="18"/>
              </w:rPr>
              <w:t>Reference Excel</w:t>
            </w:r>
          </w:p>
        </w:tc>
        <w:tc>
          <w:tcPr>
            <w:tcW w:type="dxa" w:w="2160"/>
          </w:tcPr>
          <w:p>
            <w:r>
              <w:rPr>
                <w:sz w:val="18"/>
              </w:rPr>
              <w:t>Medium</w:t>
            </w:r>
          </w:p>
        </w:tc>
        <w:tc>
          <w:tcPr>
            <w:tcW w:type="dxa" w:w="2160"/>
          </w:tcPr>
          <w:p>
            <w:r>
              <w:rPr>
                <w:sz w:val="18"/>
              </w:rPr>
              <w:t>Planned</w:t>
            </w:r>
          </w:p>
        </w:tc>
      </w:tr>
      <w:tr>
        <w:tc>
          <w:tcPr>
            <w:tcW w:type="dxa" w:w="2160"/>
          </w:tcPr>
          <w:p>
            <w:r>
              <w:rPr>
                <w:sz w:val="18"/>
              </w:rPr>
              <w:t>Configurable L3 vs L4 rules</w:t>
            </w:r>
          </w:p>
        </w:tc>
        <w:tc>
          <w:tcPr>
            <w:tcW w:type="dxa" w:w="2160"/>
          </w:tcPr>
          <w:p>
            <w:r>
              <w:rPr>
                <w:sz w:val="18"/>
              </w:rPr>
              <w:t>Mapping email</w:t>
            </w:r>
          </w:p>
        </w:tc>
        <w:tc>
          <w:tcPr>
            <w:tcW w:type="dxa" w:w="2160"/>
          </w:tcPr>
          <w:p>
            <w:r>
              <w:rPr>
                <w:sz w:val="18"/>
              </w:rPr>
              <w:t>Medium</w:t>
            </w:r>
          </w:p>
        </w:tc>
        <w:tc>
          <w:tcPr>
            <w:tcW w:type="dxa" w:w="2160"/>
          </w:tcPr>
          <w:p>
            <w:r>
              <w:rPr>
                <w:sz w:val="18"/>
              </w:rPr>
              <w:t>Planned</w:t>
            </w:r>
          </w:p>
        </w:tc>
      </w:tr>
      <w:tr>
        <w:tc>
          <w:tcPr>
            <w:tcW w:type="dxa" w:w="2160"/>
          </w:tcPr>
          <w:p>
            <w:r>
              <w:rPr>
                <w:sz w:val="18"/>
              </w:rPr>
              <w:t>Validation level labels on findings</w:t>
            </w:r>
          </w:p>
        </w:tc>
        <w:tc>
          <w:tcPr>
            <w:tcW w:type="dxa" w:w="2160"/>
          </w:tcPr>
          <w:p>
            <w:r>
              <w:rPr>
                <w:sz w:val="18"/>
              </w:rPr>
              <w:t>Validation workflow</w:t>
            </w:r>
          </w:p>
        </w:tc>
        <w:tc>
          <w:tcPr>
            <w:tcW w:type="dxa" w:w="2160"/>
          </w:tcPr>
          <w:p>
            <w:r>
              <w:rPr>
                <w:sz w:val="18"/>
              </w:rPr>
              <w:t>Medium</w:t>
            </w:r>
          </w:p>
        </w:tc>
        <w:tc>
          <w:tcPr>
            <w:tcW w:type="dxa" w:w="2160"/>
          </w:tcPr>
          <w:p>
            <w:r>
              <w:rPr>
                <w:sz w:val="18"/>
              </w:rPr>
              <w:t>Planned</w:t>
            </w:r>
          </w:p>
        </w:tc>
      </w:tr>
    </w:tbl>
    <w:p/>
    <w:p>
      <w:pPr>
        <w:pStyle w:val="Heading1"/>
      </w:pPr>
      <w:r>
        <w:t>Validation Coverage Summary</w:t>
      </w:r>
    </w:p>
    <w:tbl>
      <w:tblPr>
        <w:tblStyle w:val="TableGrid"/>
        <w:tblW w:type="auto" w:w="0"/>
        <w:tblLook w:firstColumn="1" w:firstRow="1" w:lastColumn="0" w:lastRow="0" w:noHBand="0" w:noVBand="1" w:val="04A0"/>
      </w:tblPr>
      <w:tblGrid>
        <w:gridCol w:w="2880"/>
        <w:gridCol w:w="2880"/>
        <w:gridCol w:w="2880"/>
      </w:tblGrid>
      <w:tr>
        <w:tc>
          <w:tcPr>
            <w:tcW w:type="dxa" w:w="2880"/>
            <w:shd w:fill="232F3E" w:val="clear"/>
          </w:tcPr>
          <w:p>
            <w:r>
              <w:rPr>
                <w:b/>
                <w:color w:val="FFFFFF"/>
                <w:sz w:val="18"/>
              </w:rPr>
              <w:t>Issue Type</w:t>
            </w:r>
          </w:p>
        </w:tc>
        <w:tc>
          <w:tcPr>
            <w:tcW w:type="dxa" w:w="2880"/>
            <w:shd w:fill="232F3E" w:val="clear"/>
          </w:tcPr>
          <w:p>
            <w:r>
              <w:rPr>
                <w:b/>
                <w:color w:val="FFFFFF"/>
                <w:sz w:val="18"/>
              </w:rPr>
              <w:t>Schema (Level 1)</w:t>
            </w:r>
          </w:p>
        </w:tc>
        <w:tc>
          <w:tcPr>
            <w:tcW w:type="dxa" w:w="2880"/>
            <w:shd w:fill="232F3E" w:val="clear"/>
          </w:tcPr>
          <w:p>
            <w:r>
              <w:rPr>
                <w:b/>
                <w:color w:val="FFFFFF"/>
                <w:sz w:val="18"/>
              </w:rPr>
              <w:t>Data Integrity (Level 2)</w:t>
            </w:r>
          </w:p>
        </w:tc>
      </w:tr>
      <w:tr>
        <w:tc>
          <w:tcPr>
            <w:tcW w:type="dxa" w:w="2880"/>
          </w:tcPr>
          <w:p>
            <w:r>
              <w:rPr>
                <w:sz w:val="18"/>
              </w:rPr>
              <w:t>Wrong unit (nmHg)</w:t>
            </w:r>
          </w:p>
        </w:tc>
        <w:tc>
          <w:tcPr>
            <w:tcW w:type="dxa" w:w="2880"/>
          </w:tcPr>
          <w:p>
            <w:r>
              <w:rPr>
                <w:sz w:val="18"/>
              </w:rPr>
              <w:t>Caught</w:t>
            </w:r>
          </w:p>
        </w:tc>
        <w:tc>
          <w:tcPr>
            <w:tcW w:type="dxa" w:w="2880"/>
          </w:tcPr>
          <w:p>
            <w:r>
              <w:rPr>
                <w:sz w:val="18"/>
              </w:rPr>
              <w:t>Would catch</w:t>
            </w:r>
          </w:p>
        </w:tc>
      </w:tr>
      <w:tr>
        <w:tc>
          <w:tcPr>
            <w:tcW w:type="dxa" w:w="2880"/>
          </w:tcPr>
          <w:p>
            <w:r>
              <w:rPr>
                <w:sz w:val="18"/>
              </w:rPr>
              <w:t>Invalid unit for field (mg/L)</w:t>
            </w:r>
          </w:p>
        </w:tc>
        <w:tc>
          <w:tcPr>
            <w:tcW w:type="dxa" w:w="2880"/>
          </w:tcPr>
          <w:p>
            <w:r>
              <w:rPr>
                <w:sz w:val="18"/>
              </w:rPr>
              <w:t>Caught</w:t>
            </w:r>
          </w:p>
        </w:tc>
        <w:tc>
          <w:tcPr>
            <w:tcW w:type="dxa" w:w="2880"/>
          </w:tcPr>
          <w:p>
            <w:r>
              <w:rPr>
                <w:sz w:val="18"/>
              </w:rPr>
              <w:t>Would catch</w:t>
            </w:r>
          </w:p>
        </w:tc>
      </w:tr>
      <w:tr>
        <w:tc>
          <w:tcPr>
            <w:tcW w:type="dxa" w:w="2880"/>
          </w:tcPr>
          <w:p>
            <w:r>
              <w:rPr>
                <w:sz w:val="18"/>
              </w:rPr>
              <w:t>Missing unit field</w:t>
            </w:r>
          </w:p>
        </w:tc>
        <w:tc>
          <w:tcPr>
            <w:tcW w:type="dxa" w:w="2880"/>
          </w:tcPr>
          <w:p>
            <w:r>
              <w:rPr>
                <w:sz w:val="18"/>
              </w:rPr>
              <w:t>Caught</w:t>
            </w:r>
          </w:p>
        </w:tc>
        <w:tc>
          <w:tcPr>
            <w:tcW w:type="dxa" w:w="2880"/>
          </w:tcPr>
          <w:p>
            <w:r>
              <w:rPr>
                <w:sz w:val="18"/>
              </w:rPr>
              <w:t>Would catch</w:t>
            </w:r>
          </w:p>
        </w:tc>
      </w:tr>
      <w:tr>
        <w:tc>
          <w:tcPr>
            <w:tcW w:type="dxa" w:w="2880"/>
          </w:tcPr>
          <w:p>
            <w:r>
              <w:rPr>
                <w:sz w:val="18"/>
              </w:rPr>
              <w:t>Value rounding (164.7 to 165)</w:t>
            </w:r>
          </w:p>
        </w:tc>
        <w:tc>
          <w:tcPr>
            <w:tcW w:type="dxa" w:w="2880"/>
          </w:tcPr>
          <w:p>
            <w:r>
              <w:rPr>
                <w:sz w:val="18"/>
              </w:rPr>
              <w:t>Not caught</w:t>
            </w:r>
          </w:p>
        </w:tc>
        <w:tc>
          <w:tcPr>
            <w:tcW w:type="dxa" w:w="2880"/>
          </w:tcPr>
          <w:p>
            <w:r>
              <w:rPr>
                <w:sz w:val="18"/>
              </w:rPr>
              <w:t>Would catch</w:t>
            </w:r>
          </w:p>
        </w:tc>
      </w:tr>
      <w:tr>
        <w:tc>
          <w:tcPr>
            <w:tcW w:type="dxa" w:w="2880"/>
          </w:tcPr>
          <w:p>
            <w:r>
              <w:rPr>
                <w:sz w:val="18"/>
              </w:rPr>
              <w:t>Value changed (100 to 90)</w:t>
            </w:r>
          </w:p>
        </w:tc>
        <w:tc>
          <w:tcPr>
            <w:tcW w:type="dxa" w:w="2880"/>
          </w:tcPr>
          <w:p>
            <w:r>
              <w:rPr>
                <w:sz w:val="18"/>
              </w:rPr>
              <w:t>Not caught</w:t>
            </w:r>
          </w:p>
        </w:tc>
        <w:tc>
          <w:tcPr>
            <w:tcW w:type="dxa" w:w="2880"/>
          </w:tcPr>
          <w:p>
            <w:r>
              <w:rPr>
                <w:sz w:val="18"/>
              </w:rPr>
              <w:t>Would catch</w:t>
            </w:r>
          </w:p>
        </w:tc>
      </w:tr>
      <w:tr>
        <w:tc>
          <w:tcPr>
            <w:tcW w:type="dxa" w:w="2880"/>
          </w:tcPr>
          <w:p>
            <w:r>
              <w:rPr>
                <w:sz w:val="18"/>
              </w:rPr>
              <w:t>Extra characters appended</w:t>
            </w:r>
          </w:p>
        </w:tc>
        <w:tc>
          <w:tcPr>
            <w:tcW w:type="dxa" w:w="2880"/>
          </w:tcPr>
          <w:p>
            <w:r>
              <w:rPr>
                <w:sz w:val="18"/>
              </w:rPr>
              <w:t>Not caught</w:t>
            </w:r>
          </w:p>
        </w:tc>
        <w:tc>
          <w:tcPr>
            <w:tcW w:type="dxa" w:w="2880"/>
          </w:tcPr>
          <w:p>
            <w:r>
              <w:rPr>
                <w:sz w:val="18"/>
              </w:rPr>
              <w:t>Would catch</w:t>
            </w:r>
          </w:p>
        </w:tc>
      </w:tr>
      <w:tr>
        <w:tc>
          <w:tcPr>
            <w:tcW w:type="dxa" w:w="2880"/>
          </w:tcPr>
          <w:p>
            <w:r>
              <w:rPr>
                <w:sz w:val="18"/>
              </w:rPr>
              <w:t>Value dropped to empty</w:t>
            </w:r>
          </w:p>
        </w:tc>
        <w:tc>
          <w:tcPr>
            <w:tcW w:type="dxa" w:w="2880"/>
          </w:tcPr>
          <w:p>
            <w:r>
              <w:rPr>
                <w:sz w:val="18"/>
              </w:rPr>
              <w:t>Not caught</w:t>
            </w:r>
          </w:p>
        </w:tc>
        <w:tc>
          <w:tcPr>
            <w:tcW w:type="dxa" w:w="2880"/>
          </w:tcPr>
          <w:p>
            <w:r>
              <w:rPr>
                <w:sz w:val="18"/>
              </w:rPr>
              <w:t>Would catch</w:t>
            </w:r>
          </w:p>
        </w:tc>
      </w:tr>
      <w:tr>
        <w:tc>
          <w:tcPr>
            <w:tcW w:type="dxa" w:w="2880"/>
          </w:tcPr>
          <w:p>
            <w:r>
              <w:rPr>
                <w:sz w:val="18"/>
              </w:rPr>
              <w:t>Missing analyst field</w:t>
            </w:r>
          </w:p>
        </w:tc>
        <w:tc>
          <w:tcPr>
            <w:tcW w:type="dxa" w:w="2880"/>
          </w:tcPr>
          <w:p>
            <w:r>
              <w:rPr>
                <w:sz w:val="18"/>
              </w:rPr>
              <w:t>Not caught (optional)</w:t>
            </w:r>
          </w:p>
        </w:tc>
        <w:tc>
          <w:tcPr>
            <w:tcW w:type="dxa" w:w="2880"/>
          </w:tcPr>
          <w:p>
            <w:r>
              <w:rPr>
                <w:sz w:val="18"/>
              </w:rPr>
              <w:t>N/A - add as rule</w:t>
            </w:r>
          </w:p>
        </w:tc>
      </w:tr>
    </w:tbl>
    <w:p/>
    <w:p>
      <w:pPr>
        <w:pStyle w:val="Heading1"/>
      </w:pPr>
      <w:r>
        <w:t>Timestamp and Date Format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32F3E" w:val="clear"/>
          </w:tcPr>
          <w:p>
            <w:r>
              <w:rPr>
                <w:b/>
                <w:color w:val="FFFFFF"/>
                <w:sz w:val="18"/>
              </w:rPr>
              <w:t>Aspect</w:t>
            </w:r>
          </w:p>
        </w:tc>
        <w:tc>
          <w:tcPr>
            <w:tcW w:type="dxa" w:w="2160"/>
            <w:shd w:fill="232F3E" w:val="clear"/>
          </w:tcPr>
          <w:p>
            <w:r>
              <w:rPr>
                <w:b/>
                <w:color w:val="FFFFFF"/>
                <w:sz w:val="18"/>
              </w:rPr>
              <w:t>Row 1</w:t>
            </w:r>
          </w:p>
        </w:tc>
        <w:tc>
          <w:tcPr>
            <w:tcW w:type="dxa" w:w="2160"/>
            <w:shd w:fill="232F3E" w:val="clear"/>
          </w:tcPr>
          <w:p>
            <w:r>
              <w:rPr>
                <w:b/>
                <w:color w:val="FFFFFF"/>
                <w:sz w:val="18"/>
              </w:rPr>
              <w:t>Row 2</w:t>
            </w:r>
          </w:p>
        </w:tc>
        <w:tc>
          <w:tcPr>
            <w:tcW w:type="dxa" w:w="2160"/>
            <w:shd w:fill="232F3E" w:val="clear"/>
          </w:tcPr>
          <w:p>
            <w:r>
              <w:rPr>
                <w:b/>
                <w:color w:val="FFFFFF"/>
                <w:sz w:val="18"/>
              </w:rPr>
              <w:t>Notes</w:t>
            </w:r>
          </w:p>
        </w:tc>
      </w:tr>
      <w:tr>
        <w:tc>
          <w:tcPr>
            <w:tcW w:type="dxa" w:w="2160"/>
          </w:tcPr>
          <w:p>
            <w:r>
              <w:rPr>
                <w:sz w:val="18"/>
              </w:rPr>
              <w:t>Source timestamp</w:t>
            </w:r>
          </w:p>
        </w:tc>
        <w:tc>
          <w:tcPr>
            <w:tcW w:type="dxa" w:w="2160"/>
          </w:tcPr>
          <w:p>
            <w:r>
              <w:rPr>
                <w:sz w:val="18"/>
              </w:rPr>
              <w:t>2/7/2025 10:35</w:t>
            </w:r>
          </w:p>
        </w:tc>
        <w:tc>
          <w:tcPr>
            <w:tcW w:type="dxa" w:w="2160"/>
          </w:tcPr>
          <w:p>
            <w:r>
              <w:rPr>
                <w:sz w:val="18"/>
              </w:rPr>
              <w:t>2/7/2025 10:35:00.123</w:t>
            </w:r>
          </w:p>
        </w:tc>
        <w:tc>
          <w:tcPr>
            <w:tcW w:type="dxa" w:w="2160"/>
          </w:tcPr>
          <w:p>
            <w:r>
              <w:rPr>
                <w:sz w:val="18"/>
              </w:rPr>
              <w:t>Row 1 missing seconds; Row 2 has milliseconds</w:t>
            </w:r>
          </w:p>
        </w:tc>
      </w:tr>
      <w:tr>
        <w:tc>
          <w:tcPr>
            <w:tcW w:type="dxa" w:w="2160"/>
          </w:tcPr>
          <w:p>
            <w:r>
              <w:rPr>
                <w:sz w:val="18"/>
              </w:rPr>
              <w:t>ASM timestamp</w:t>
            </w:r>
          </w:p>
        </w:tc>
        <w:tc>
          <w:tcPr>
            <w:tcW w:type="dxa" w:w="2160"/>
          </w:tcPr>
          <w:p>
            <w:r>
              <w:rPr>
                <w:sz w:val="18"/>
              </w:rPr>
              <w:t>2025-02-07T17:35:00+00:00</w:t>
            </w:r>
          </w:p>
        </w:tc>
        <w:tc>
          <w:tcPr>
            <w:tcW w:type="dxa" w:w="2160"/>
          </w:tcPr>
          <w:p>
            <w:r>
              <w:rPr>
                <w:sz w:val="18"/>
              </w:rPr>
              <w:t>2025-02-07T17:35:00.123+00:00</w:t>
            </w:r>
          </w:p>
        </w:tc>
        <w:tc>
          <w:tcPr>
            <w:tcW w:type="dxa" w:w="2160"/>
          </w:tcPr>
          <w:p>
            <w:r>
              <w:rPr>
                <w:sz w:val="18"/>
              </w:rPr>
              <w:t>Both correctly offset +7 hours (MST to UTC)</w:t>
            </w:r>
          </w:p>
        </w:tc>
      </w:tr>
      <w:tr>
        <w:tc>
          <w:tcPr>
            <w:tcW w:type="dxa" w:w="2160"/>
          </w:tcPr>
          <w:p>
            <w:r>
              <w:rPr>
                <w:sz w:val="18"/>
              </w:rPr>
              <w:t>Seconds handling</w:t>
            </w:r>
          </w:p>
        </w:tc>
        <w:tc>
          <w:tcPr>
            <w:tcW w:type="dxa" w:w="2160"/>
          </w:tcPr>
          <w:p>
            <w:r>
              <w:rPr>
                <w:sz w:val="18"/>
              </w:rPr>
              <w:t>Assumed :00</w:t>
            </w:r>
          </w:p>
        </w:tc>
        <w:tc>
          <w:tcPr>
            <w:tcW w:type="dxa" w:w="2160"/>
          </w:tcPr>
          <w:p>
            <w:r>
              <w:rPr>
                <w:sz w:val="18"/>
              </w:rPr>
              <w:t>Preserved .123</w:t>
            </w:r>
          </w:p>
        </w:tc>
        <w:tc>
          <w:tcPr>
            <w:tcW w:type="dxa" w:w="2160"/>
          </w:tcPr>
          <w:p>
            <w:r>
              <w:rPr>
                <w:sz w:val="18"/>
              </w:rPr>
              <w:t>Converter fills missing seconds with zero</w:t>
            </w:r>
          </w:p>
        </w:tc>
      </w:tr>
      <w:tr>
        <w:tc>
          <w:tcPr>
            <w:tcW w:type="dxa" w:w="2160"/>
          </w:tcPr>
          <w:p>
            <w:r>
              <w:rPr>
                <w:sz w:val="18"/>
              </w:rPr>
              <w:t>Date interpretation</w:t>
            </w:r>
          </w:p>
        </w:tc>
        <w:tc>
          <w:tcPr>
            <w:tcW w:type="dxa" w:w="2160"/>
          </w:tcPr>
          <w:p>
            <w:r>
              <w:rPr>
                <w:sz w:val="18"/>
              </w:rPr>
              <w:t>February 7 (US)</w:t>
            </w:r>
          </w:p>
        </w:tc>
        <w:tc>
          <w:tcPr>
            <w:tcW w:type="dxa" w:w="2160"/>
          </w:tcPr>
          <w:p>
            <w:r>
              <w:rPr>
                <w:sz w:val="18"/>
              </w:rPr>
              <w:t>February 7 (US)</w:t>
            </w:r>
          </w:p>
        </w:tc>
        <w:tc>
          <w:tcPr>
            <w:tcW w:type="dxa" w:w="2160"/>
          </w:tcPr>
          <w:p>
            <w:r>
              <w:rPr>
                <w:sz w:val="18"/>
              </w:rPr>
              <w:t>Ambiguous without timezone context</w:t>
            </w:r>
          </w:p>
        </w:tc>
      </w:tr>
    </w:tbl>
    <w:p/>
    <w:p>
      <w:r>
        <w:rPr>
          <w:b/>
        </w:rPr>
        <w:t>Timezone conversion is correct</w:t>
      </w:r>
      <w:r>
        <w:t xml:space="preserve"> - 10:35 MST + 7 hours = 17:35 UTC.</w:t>
      </w:r>
    </w:p>
    <w:p>
      <w:r>
        <w:rPr>
          <w:b/>
        </w:rPr>
        <w:t>Date format ambiguity</w:t>
      </w:r>
      <w:r>
        <w:t xml:space="preserve"> - 2/7/2025 is M/D/YYYY (US) or D/M/YYYY (European). Without timezone or locale context, this is ambiguous. This is the [META] issue from your review. Our instrument config supports "timezone": "America/Denver" to resolve this.</w:t>
      </w:r>
    </w:p>
    <w:p>
      <w:r>
        <w:rPr>
          <w:b/>
        </w:rPr>
        <w:t>Millisecond precision in Row 2</w:t>
      </w:r>
      <w:r>
        <w:t xml:space="preserve"> - Source has 10:35:00.123 which is unusual for this instrument. ASM correctly preserves milliseconds.</w:t>
      </w:r>
    </w:p>
    <w:p>
      <w:r>
        <w:rPr>
          <w:b/>
        </w:rPr>
        <w:t>Missing seconds in Row 1</w:t>
      </w:r>
      <w:r>
        <w:t xml:space="preserve"> - Source has 10:35 without seconds. Converter assumes :00. Level 2 comparison should note this inference.</w:t>
      </w:r>
    </w:p>
    <w:p>
      <w:pPr>
        <w:pStyle w:val="Heading1"/>
      </w:pPr>
      <w:r>
        <w:t>Recommendations</w:t>
      </w:r>
    </w:p>
    <w:p>
      <w:r>
        <w:t>1. We are reviewing the materials you shared - Thank you for providing the validation workflow, mapping rules, traceability example, HarmonizingBaseTerms Excel, and Building Principles. We are also reviewing your $asm tag validation approach (sdc-asm-to-rdf). We will use these to add supplementary validation rules to DVaaS beyond the base JSON schema.</w:t>
      </w:r>
    </w:p>
    <w:p>
      <w:r>
        <w:t>2. Calculated data traceability - Your traceability example confirms the pattern: data source aggregate document nested inside each calculated data document. We are updating our converter to match.</w:t>
      </w:r>
    </w:p>
    <w:p>
      <w:r>
        <w:t>3. Two-layer validation rules - We agree with separating Allotrope-approved rules (Level 3) from organization-specific rules (Level 4). We will implement both as configurable rule sets in DVaaS.</w:t>
      </w:r>
    </w:p>
    <w:p>
      <w:r>
        <w:t>4. Every source term must be mapped - Our converters follow this principle (all 40 CSV columns mapped for Nova FLEX2). Our Custom Converter Requirements document mandates this for all customer-built converters.</w:t>
      </w:r>
    </w:p>
    <w:p>
      <w:r>
        <w:t>5. Test Level 2 via conversion pipeline - Upload MockData1.csv through our "Convert Instrument File" tab to see Data Integrity Verification in action.</w:t>
      </w:r>
    </w:p>
    <w:p>
      <w:r>
        <w:t>6. HarmonizingBaseTerms integration - We will review the Excel file and incorporate standardized terms as converter configuration input.</w:t>
      </w:r>
    </w:p>
    <w:p>
      <w:pPr>
        <w:pStyle w:val="Heading2"/>
      </w:pPr>
      <w:r>
        <w:t>Timezone Verification</w:t>
      </w:r>
    </w:p>
    <w:p>
      <w:r>
        <w:t>Source: 2/7/2025 10:35 (MST). ASM: 2025-02-07T17:35:00+00:00 (UTC). 7-hour offset correct. Our instrument config supports location.timezone for this purpose.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