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Response to Merck ASM Conversion Review</w:t>
      </w:r>
    </w:p>
    <w:p>
      <w:r>
        <w:t>In response to: 2026-03-17 AWS ASM Conversion Review &amp; Merck ASM Basic Design Principles v33</w:t>
      </w:r>
    </w:p>
    <w:p/>
    <w:p>
      <w:pPr>
        <w:pStyle w:val="Heading1"/>
      </w:pPr>
      <w:r>
        <w:t>Responses to Questions</w:t>
      </w:r>
    </w:p>
    <w:p>
      <w:pPr>
        <w:pStyle w:val="Heading2"/>
      </w:pPr>
      <w:r>
        <w:t>Question 1: How can the platform capture instrument-specific metadata?</w:t>
      </w:r>
    </w:p>
    <w:p>
      <w:r>
        <w:t>The instrument config file (JSON) is the right vehicle. We will extend the schema to include metadata fields that capture the information currently derived from the mount path: geography, site, UNC path, and timezone.</w:t>
      </w:r>
    </w:p>
    <w:p>
      <w:r>
        <w:t>The timezone field solves the issue where the July file (European) was interpreted with US date format. The UNC path field provides traceability back to the source file server. The instrument config is created once per instrument and reused for every file.</w:t>
      </w:r>
    </w:p>
    <w:p>
      <w:r>
        <w:t>For the future Greengrass edge client deployment, the mount path metadata would be captured automatically since the edge client knows which instrument folder it is watching.</w:t>
      </w:r>
    </w:p>
    <w:p>
      <w:pPr>
        <w:pStyle w:val="Heading2"/>
      </w:pPr>
      <w:r>
        <w:t>Question 2: Can the AI agent provide a confidence level for each mapping?</w:t>
      </w:r>
    </w:p>
    <w:p>
      <w:r>
        <w:t>Yes, but with an important distinction between conversion routes:</w:t>
      </w:r>
    </w:p>
    <w:p>
      <w:r>
        <w:rPr>
          <w:b/>
        </w:rPr>
        <w:t xml:space="preserve">Custom converters (Route A): </w:t>
      </w:r>
      <w:r>
        <w:t>Confidence is 100% by design. Every field mapping is deterministic. The Data Integrity Verification report proves this field-by-field.</w:t>
      </w:r>
    </w:p>
    <w:p>
      <w:r>
        <w:rPr>
          <w:b/>
        </w:rPr>
        <w:t xml:space="preserve">Allotropy library (Route B): </w:t>
      </w:r>
      <w:r>
        <w:t>Confidence is 100% for supported instruments. Rule-based parsers, no AI inference.</w:t>
      </w:r>
    </w:p>
    <w:p>
      <w:r>
        <w:rPr>
          <w:b/>
        </w:rPr>
        <w:t xml:space="preserve">ATaaS / AI-powered (Route C): </w:t>
      </w:r>
      <w:r>
        <w:t>This is where per-mapping confidence levels are valuable. We can enhance ATaaS to provide High/Medium/Low confidence per field mapping.</w:t>
      </w:r>
    </w:p>
    <w:p>
      <w:r>
        <w:t>We recommend custom converters or allotropy for production use where confidence is deterministic. ATaaS is best suited for initial analysis of unknown formats with human-in-the-loop review.</w:t>
      </w:r>
    </w:p>
    <w:p>
      <w:pPr>
        <w:pStyle w:val="Heading2"/>
      </w:pPr>
      <w:r>
        <w:t>Question 3: Which validation levels are we using today?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32F3E" w:val="clear"/>
          </w:tcPr>
          <w:p>
            <w:r>
              <w:rPr>
                <w:b/>
                <w:color w:val="FFFFFF"/>
                <w:sz w:val="18"/>
              </w:rPr>
              <w:t>Merck Level</w:t>
            </w:r>
          </w:p>
        </w:tc>
        <w:tc>
          <w:tcPr>
            <w:tcW w:type="dxa" w:w="2160"/>
            <w:shd w:fill="232F3E" w:val="clear"/>
          </w:tcPr>
          <w:p>
            <w:r>
              <w:rPr>
                <w:b/>
                <w:color w:val="FFFFFF"/>
                <w:sz w:val="18"/>
              </w:rPr>
              <w:t>Description</w:t>
            </w:r>
          </w:p>
        </w:tc>
        <w:tc>
          <w:tcPr>
            <w:tcW w:type="dxa" w:w="2160"/>
            <w:shd w:fill="232F3E" w:val="clear"/>
          </w:tcPr>
          <w:p>
            <w:r>
              <w:rPr>
                <w:b/>
                <w:color w:val="FFFFFF"/>
                <w:sz w:val="18"/>
              </w:rPr>
              <w:t>Our Equivalent</w:t>
            </w:r>
          </w:p>
        </w:tc>
        <w:tc>
          <w:tcPr>
            <w:tcW w:type="dxa" w:w="2160"/>
            <w:shd w:fill="232F3E" w:val="clear"/>
          </w:tcPr>
          <w:p>
            <w:r>
              <w:rPr>
                <w:b/>
                <w:color w:val="FFFFFF"/>
                <w:sz w:val="18"/>
              </w:rPr>
              <w:t>Status</w:t>
            </w:r>
          </w:p>
        </w:tc>
      </w:tr>
      <w:tr>
        <w:tc>
          <w:tcPr>
            <w:tcW w:type="dxa" w:w="2160"/>
          </w:tcPr>
          <w:p>
            <w:r>
              <w:rPr>
                <w:sz w:val="18"/>
              </w:rPr>
              <w:t>Level 1</w:t>
            </w:r>
          </w:p>
        </w:tc>
        <w:tc>
          <w:tcPr>
            <w:tcW w:type="dxa" w:w="2160"/>
          </w:tcPr>
          <w:p>
            <w:r>
              <w:rPr>
                <w:sz w:val="18"/>
              </w:rPr>
              <w:t>ASM schema validation (JSON + ASM tags)</w:t>
            </w:r>
          </w:p>
        </w:tc>
        <w:tc>
          <w:tcPr>
            <w:tcW w:type="dxa" w:w="2160"/>
          </w:tcPr>
          <w:p>
            <w:r>
              <w:rPr>
                <w:sz w:val="18"/>
              </w:rPr>
              <w:t>DVaaS with allotropy validation script</w:t>
            </w:r>
          </w:p>
        </w:tc>
        <w:tc>
          <w:tcPr>
            <w:tcW w:type="dxa" w:w="2160"/>
          </w:tcPr>
          <w:p>
            <w:r>
              <w:rPr>
                <w:sz w:val="18"/>
              </w:rPr>
              <w:t>Implemented</w:t>
            </w:r>
          </w:p>
        </w:tc>
      </w:tr>
      <w:tr>
        <w:tc>
          <w:tcPr>
            <w:tcW w:type="dxa" w:w="2160"/>
          </w:tcPr>
          <w:p>
            <w:r>
              <w:rPr>
                <w:sz w:val="18"/>
              </w:rPr>
              <w:t>Level 2</w:t>
            </w:r>
          </w:p>
        </w:tc>
        <w:tc>
          <w:tcPr>
            <w:tcW w:type="dxa" w:w="2160"/>
          </w:tcPr>
          <w:p>
            <w:r>
              <w:rPr>
                <w:sz w:val="18"/>
              </w:rPr>
              <w:t>Data quality assessment (ASM vs raw data)</w:t>
            </w:r>
          </w:p>
        </w:tc>
        <w:tc>
          <w:tcPr>
            <w:tcW w:type="dxa" w:w="2160"/>
          </w:tcPr>
          <w:p>
            <w:r>
              <w:rPr>
                <w:sz w:val="18"/>
              </w:rPr>
              <w:t>Data Integrity Verification (field_mapping)</w:t>
            </w:r>
          </w:p>
        </w:tc>
        <w:tc>
          <w:tcPr>
            <w:tcW w:type="dxa" w:w="2160"/>
          </w:tcPr>
          <w:p>
            <w:r>
              <w:rPr>
                <w:sz w:val="18"/>
              </w:rPr>
              <w:t>Work in progress — Nova FLEX2 done, rolling out</w:t>
            </w:r>
          </w:p>
        </w:tc>
      </w:tr>
      <w:tr>
        <w:tc>
          <w:tcPr>
            <w:tcW w:type="dxa" w:w="2160"/>
          </w:tcPr>
          <w:p>
            <w:r>
              <w:rPr>
                <w:sz w:val="18"/>
              </w:rPr>
              <w:t>Level 3</w:t>
            </w:r>
          </w:p>
        </w:tc>
        <w:tc>
          <w:tcPr>
            <w:tcW w:type="dxa" w:w="2160"/>
          </w:tcPr>
          <w:p>
            <w:r>
              <w:rPr>
                <w:sz w:val="18"/>
              </w:rPr>
              <w:t>Allotrope ASM building principles</w:t>
            </w:r>
          </w:p>
        </w:tc>
        <w:tc>
          <w:tcPr>
            <w:tcW w:type="dxa" w:w="2160"/>
          </w:tcPr>
          <w:p>
            <w:r>
              <w:rPr>
                <w:sz w:val="18"/>
              </w:rPr>
              <w:t>Not yet implemented</w:t>
            </w:r>
          </w:p>
        </w:tc>
        <w:tc>
          <w:tcPr>
            <w:tcW w:type="dxa" w:w="2160"/>
          </w:tcPr>
          <w:p>
            <w:r>
              <w:rPr>
                <w:sz w:val="18"/>
              </w:rPr>
              <w:t>Planned — add as DVaaS rules</w:t>
            </w:r>
          </w:p>
        </w:tc>
      </w:tr>
      <w:tr>
        <w:tc>
          <w:tcPr>
            <w:tcW w:type="dxa" w:w="2160"/>
          </w:tcPr>
          <w:p>
            <w:r>
              <w:rPr>
                <w:sz w:val="18"/>
              </w:rPr>
              <w:t>Level 4</w:t>
            </w:r>
          </w:p>
        </w:tc>
        <w:tc>
          <w:tcPr>
            <w:tcW w:type="dxa" w:w="2160"/>
          </w:tcPr>
          <w:p>
            <w:r>
              <w:rPr>
                <w:sz w:val="18"/>
              </w:rPr>
              <w:t>Merck-specific principles</w:t>
            </w:r>
          </w:p>
        </w:tc>
        <w:tc>
          <w:tcPr>
            <w:tcW w:type="dxa" w:w="2160"/>
          </w:tcPr>
          <w:p>
            <w:r>
              <w:rPr>
                <w:sz w:val="18"/>
              </w:rPr>
              <w:t>Not yet implemented</w:t>
            </w:r>
          </w:p>
        </w:tc>
        <w:tc>
          <w:tcPr>
            <w:tcW w:type="dxa" w:w="2160"/>
          </w:tcPr>
          <w:p>
            <w:r>
              <w:rPr>
                <w:sz w:val="18"/>
              </w:rPr>
              <w:t>Planned — configurable per-customer rules</w:t>
            </w:r>
          </w:p>
        </w:tc>
      </w:tr>
    </w:tbl>
    <w:p/>
    <w:p>
      <w:r>
        <w:t>Our Data Integrity Verification directly addresses your Level 2 pain point. You noted that Level 2 requires "significant instrument-specific coding." Our approach solves this: the converter emits the field_mapping during conversion, so verification is automatic. No TOSCA database, no SQL queries, no instrument-specific scripts.</w:t>
      </w:r>
    </w:p>
    <w:p>
      <w:r>
        <w:t>We will update DVaaS to tag each finding with the corresponding validation level (L1/L2/L3/L4) so the human-in-the-loop reviewer can prioritize accordingly.</w:t>
      </w:r>
    </w:p>
    <w:p>
      <w:pPr>
        <w:pStyle w:val="Heading1"/>
      </w:pPr>
      <w:r>
        <w:t>Remediation Plan</w:t>
      </w:r>
    </w:p>
    <w:p>
      <w:pPr>
        <w:pStyle w:val="Heading2"/>
      </w:pPr>
      <w:r>
        <w:t>Issue Tracker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32F3E" w:val="clear"/>
          </w:tcPr>
          <w:p>
            <w:r>
              <w:rPr>
                <w:b/>
                <w:color w:val="FFFFFF"/>
                <w:sz w:val="18"/>
              </w:rPr>
              <w:t>#</w:t>
            </w:r>
          </w:p>
        </w:tc>
        <w:tc>
          <w:tcPr>
            <w:tcW w:type="dxa" w:w="1728"/>
            <w:shd w:fill="232F3E" w:val="clear"/>
          </w:tcPr>
          <w:p>
            <w:r>
              <w:rPr>
                <w:b/>
                <w:color w:val="FFFFFF"/>
                <w:sz w:val="18"/>
              </w:rPr>
              <w:t>Category</w:t>
            </w:r>
          </w:p>
        </w:tc>
        <w:tc>
          <w:tcPr>
            <w:tcW w:type="dxa" w:w="1728"/>
            <w:shd w:fill="232F3E" w:val="clear"/>
          </w:tcPr>
          <w:p>
            <w:r>
              <w:rPr>
                <w:b/>
                <w:color w:val="FFFFFF"/>
                <w:sz w:val="18"/>
              </w:rPr>
              <w:t>Issue</w:t>
            </w:r>
          </w:p>
        </w:tc>
        <w:tc>
          <w:tcPr>
            <w:tcW w:type="dxa" w:w="1728"/>
            <w:shd w:fill="232F3E" w:val="clear"/>
          </w:tcPr>
          <w:p>
            <w:r>
              <w:rPr>
                <w:b/>
                <w:color w:val="FFFFFF"/>
                <w:sz w:val="18"/>
              </w:rPr>
              <w:t>Severity</w:t>
            </w:r>
          </w:p>
        </w:tc>
        <w:tc>
          <w:tcPr>
            <w:tcW w:type="dxa" w:w="1728"/>
            <w:shd w:fill="232F3E" w:val="clear"/>
          </w:tcPr>
          <w:p>
            <w:r>
              <w:rPr>
                <w:b/>
                <w:color w:val="FFFFFF"/>
                <w:sz w:val="18"/>
              </w:rPr>
              <w:t>Status</w:t>
            </w:r>
          </w:p>
        </w:tc>
      </w:tr>
      <w:tr>
        <w:tc>
          <w:tcPr>
            <w:tcW w:type="dxa" w:w="1728"/>
          </w:tcPr>
          <w:p>
            <w:r>
              <w:rPr>
                <w:sz w:val="18"/>
              </w:rPr>
              <w:t>1</w:t>
            </w:r>
          </w:p>
        </w:tc>
        <w:tc>
          <w:tcPr>
            <w:tcW w:type="dxa" w:w="1728"/>
          </w:tcPr>
          <w:p>
            <w:r>
              <w:rPr>
                <w:sz w:val="18"/>
              </w:rPr>
              <w:t>[META]</w:t>
            </w:r>
          </w:p>
        </w:tc>
        <w:tc>
          <w:tcPr>
            <w:tcW w:type="dxa" w:w="1728"/>
          </w:tcPr>
          <w:p>
            <w:r>
              <w:rPr>
                <w:sz w:val="18"/>
              </w:rPr>
              <w:t>Measurement time missing timezone/geography context</w:t>
            </w:r>
          </w:p>
        </w:tc>
        <w:tc>
          <w:tcPr>
            <w:tcW w:type="dxa" w:w="1728"/>
          </w:tcPr>
          <w:p>
            <w:r>
              <w:rPr>
                <w:sz w:val="18"/>
              </w:rPr>
              <w:t>Medium</w:t>
            </w:r>
          </w:p>
        </w:tc>
        <w:tc>
          <w:tcPr>
            <w:tcW w:type="dxa" w:w="1728"/>
          </w:tcPr>
          <w:p>
            <w:r>
              <w:rPr>
                <w:sz w:val="18"/>
              </w:rPr>
              <w:t>Open</w:t>
            </w:r>
          </w:p>
        </w:tc>
      </w:tr>
      <w:tr>
        <w:tc>
          <w:tcPr>
            <w:tcW w:type="dxa" w:w="1728"/>
          </w:tcPr>
          <w:p>
            <w:r>
              <w:rPr>
                <w:sz w:val="18"/>
              </w:rPr>
              <w:t>2</w:t>
            </w:r>
          </w:p>
        </w:tc>
        <w:tc>
          <w:tcPr>
            <w:tcW w:type="dxa" w:w="1728"/>
          </w:tcPr>
          <w:p>
            <w:r>
              <w:rPr>
                <w:sz w:val="18"/>
              </w:rPr>
              <w:t>[ERROR]</w:t>
            </w:r>
          </w:p>
        </w:tc>
        <w:tc>
          <w:tcPr>
            <w:tcW w:type="dxa" w:w="1728"/>
          </w:tcPr>
          <w:p>
            <w:r>
              <w:rPr>
                <w:sz w:val="18"/>
              </w:rPr>
              <w:t>Sample type uses invalid ASM term</w:t>
            </w:r>
          </w:p>
        </w:tc>
        <w:tc>
          <w:tcPr>
            <w:tcW w:type="dxa" w:w="1728"/>
          </w:tcPr>
          <w:p>
            <w:r>
              <w:rPr>
                <w:sz w:val="18"/>
              </w:rPr>
              <w:t>High</w:t>
            </w:r>
          </w:p>
        </w:tc>
        <w:tc>
          <w:tcPr>
            <w:tcW w:type="dxa" w:w="1728"/>
          </w:tcPr>
          <w:p>
            <w:r>
              <w:rPr>
                <w:sz w:val="18"/>
              </w:rPr>
              <w:t>Open</w:t>
            </w:r>
          </w:p>
        </w:tc>
      </w:tr>
      <w:tr>
        <w:tc>
          <w:tcPr>
            <w:tcW w:type="dxa" w:w="1728"/>
          </w:tcPr>
          <w:p>
            <w:r>
              <w:rPr>
                <w:sz w:val="18"/>
              </w:rPr>
              <w:t>3</w:t>
            </w:r>
          </w:p>
        </w:tc>
        <w:tc>
          <w:tcPr>
            <w:tcW w:type="dxa" w:w="1728"/>
          </w:tcPr>
          <w:p>
            <w:r>
              <w:rPr>
                <w:sz w:val="18"/>
              </w:rPr>
              <w:t>[ERROR]</w:t>
            </w:r>
          </w:p>
        </w:tc>
        <w:tc>
          <w:tcPr>
            <w:tcW w:type="dxa" w:w="1728"/>
          </w:tcPr>
          <w:p>
            <w:r>
              <w:rPr>
                <w:sz w:val="18"/>
              </w:rPr>
              <w:t>Skipped processed data: total cell count, viable cell count, cell density dilution factor</w:t>
            </w:r>
          </w:p>
        </w:tc>
        <w:tc>
          <w:tcPr>
            <w:tcW w:type="dxa" w:w="1728"/>
          </w:tcPr>
          <w:p>
            <w:r>
              <w:rPr>
                <w:sz w:val="18"/>
              </w:rPr>
              <w:t>High</w:t>
            </w:r>
          </w:p>
        </w:tc>
        <w:tc>
          <w:tcPr>
            <w:tcW w:type="dxa" w:w="1728"/>
          </w:tcPr>
          <w:p>
            <w:r>
              <w:rPr>
                <w:sz w:val="18"/>
              </w:rPr>
              <w:t>Open</w:t>
            </w:r>
          </w:p>
        </w:tc>
      </w:tr>
      <w:tr>
        <w:tc>
          <w:tcPr>
            <w:tcW w:type="dxa" w:w="1728"/>
          </w:tcPr>
          <w:p>
            <w:r>
              <w:rPr>
                <w:sz w:val="18"/>
              </w:rPr>
              <w:t>4</w:t>
            </w:r>
          </w:p>
        </w:tc>
        <w:tc>
          <w:tcPr>
            <w:tcW w:type="dxa" w:w="1728"/>
          </w:tcPr>
          <w:p>
            <w:r>
              <w:rPr>
                <w:sz w:val="18"/>
              </w:rPr>
              <w:t>[ERROR]</w:t>
            </w:r>
          </w:p>
        </w:tc>
        <w:tc>
          <w:tcPr>
            <w:tcW w:type="dxa" w:w="1728"/>
          </w:tcPr>
          <w:p>
            <w:r>
              <w:rPr>
                <w:sz w:val="18"/>
              </w:rPr>
              <w:t>Cell density dilution factor not nested under data processing document</w:t>
            </w:r>
          </w:p>
        </w:tc>
        <w:tc>
          <w:tcPr>
            <w:tcW w:type="dxa" w:w="1728"/>
          </w:tcPr>
          <w:p>
            <w:r>
              <w:rPr>
                <w:sz w:val="18"/>
              </w:rPr>
              <w:t>Medium</w:t>
            </w:r>
          </w:p>
        </w:tc>
        <w:tc>
          <w:tcPr>
            <w:tcW w:type="dxa" w:w="1728"/>
          </w:tcPr>
          <w:p>
            <w:r>
              <w:rPr>
                <w:sz w:val="18"/>
              </w:rPr>
              <w:t>Open</w:t>
            </w:r>
          </w:p>
        </w:tc>
      </w:tr>
      <w:tr>
        <w:tc>
          <w:tcPr>
            <w:tcW w:type="dxa" w:w="1728"/>
          </w:tcPr>
          <w:p>
            <w:r>
              <w:rPr>
                <w:sz w:val="18"/>
              </w:rPr>
              <w:t>5</w:t>
            </w:r>
          </w:p>
        </w:tc>
        <w:tc>
          <w:tcPr>
            <w:tcW w:type="dxa" w:w="1728"/>
          </w:tcPr>
          <w:p>
            <w:r>
              <w:rPr>
                <w:sz w:val="18"/>
              </w:rPr>
              <w:t>[ERROR][RULE]</w:t>
            </w:r>
          </w:p>
        </w:tc>
        <w:tc>
          <w:tcPr>
            <w:tcW w:type="dxa" w:w="1728"/>
          </w:tcPr>
          <w:p>
            <w:r>
              <w:rPr>
                <w:sz w:val="18"/>
              </w:rPr>
              <w:t>Calculated fields were ignored</w:t>
            </w:r>
          </w:p>
        </w:tc>
        <w:tc>
          <w:tcPr>
            <w:tcW w:type="dxa" w:w="1728"/>
          </w:tcPr>
          <w:p>
            <w:r>
              <w:rPr>
                <w:sz w:val="18"/>
              </w:rPr>
              <w:t>High</w:t>
            </w:r>
          </w:p>
        </w:tc>
        <w:tc>
          <w:tcPr>
            <w:tcW w:type="dxa" w:w="1728"/>
          </w:tcPr>
          <w:p>
            <w:r>
              <w:rPr>
                <w:sz w:val="18"/>
              </w:rPr>
              <w:t>Fixed</w:t>
            </w:r>
          </w:p>
        </w:tc>
      </w:tr>
      <w:tr>
        <w:tc>
          <w:tcPr>
            <w:tcW w:type="dxa" w:w="1728"/>
          </w:tcPr>
          <w:p>
            <w:r>
              <w:rPr>
                <w:sz w:val="18"/>
              </w:rPr>
              <w:t>6</w:t>
            </w:r>
          </w:p>
        </w:tc>
        <w:tc>
          <w:tcPr>
            <w:tcW w:type="dxa" w:w="1728"/>
          </w:tcPr>
          <w:p>
            <w:r>
              <w:rPr>
                <w:sz w:val="18"/>
              </w:rPr>
              <w:t>[ERROR][RULE]</w:t>
            </w:r>
          </w:p>
        </w:tc>
        <w:tc>
          <w:tcPr>
            <w:tcW w:type="dxa" w:w="1728"/>
          </w:tcPr>
          <w:p>
            <w:r>
              <w:rPr>
                <w:sz w:val="18"/>
              </w:rPr>
              <w:t>Custom fields were ignored</w:t>
            </w:r>
          </w:p>
        </w:tc>
        <w:tc>
          <w:tcPr>
            <w:tcW w:type="dxa" w:w="1728"/>
          </w:tcPr>
          <w:p>
            <w:r>
              <w:rPr>
                <w:sz w:val="18"/>
              </w:rPr>
              <w:t>High</w:t>
            </w:r>
          </w:p>
        </w:tc>
        <w:tc>
          <w:tcPr>
            <w:tcW w:type="dxa" w:w="1728"/>
          </w:tcPr>
          <w:p>
            <w:r>
              <w:rPr>
                <w:sz w:val="18"/>
              </w:rPr>
              <w:t>Fixed</w:t>
            </w:r>
          </w:p>
        </w:tc>
      </w:tr>
      <w:tr>
        <w:tc>
          <w:tcPr>
            <w:tcW w:type="dxa" w:w="1728"/>
          </w:tcPr>
          <w:p>
            <w:r>
              <w:rPr>
                <w:sz w:val="18"/>
              </w:rPr>
              <w:t>7</w:t>
            </w:r>
          </w:p>
        </w:tc>
        <w:tc>
          <w:tcPr>
            <w:tcW w:type="dxa" w:w="1728"/>
          </w:tcPr>
          <w:p>
            <w:r>
              <w:rPr>
                <w:sz w:val="18"/>
              </w:rPr>
              <w:t>[CONFIG]</w:t>
            </w:r>
          </w:p>
        </w:tc>
        <w:tc>
          <w:tcPr>
            <w:tcW w:type="dxa" w:w="1728"/>
          </w:tcPr>
          <w:p>
            <w:r>
              <w:rPr>
                <w:sz w:val="18"/>
              </w:rPr>
              <w:t>Missing Data System Document</w:t>
            </w:r>
          </w:p>
        </w:tc>
        <w:tc>
          <w:tcPr>
            <w:tcW w:type="dxa" w:w="1728"/>
          </w:tcPr>
          <w:p>
            <w:r>
              <w:rPr>
                <w:sz w:val="18"/>
              </w:rPr>
              <w:t>High</w:t>
            </w:r>
          </w:p>
        </w:tc>
        <w:tc>
          <w:tcPr>
            <w:tcW w:type="dxa" w:w="1728"/>
          </w:tcPr>
          <w:p>
            <w:r>
              <w:rPr>
                <w:sz w:val="18"/>
              </w:rPr>
              <w:t>Partially fixed — needs UNC path</w:t>
            </w:r>
          </w:p>
        </w:tc>
      </w:tr>
      <w:tr>
        <w:tc>
          <w:tcPr>
            <w:tcW w:type="dxa" w:w="1728"/>
          </w:tcPr>
          <w:p>
            <w:r>
              <w:rPr>
                <w:sz w:val="18"/>
              </w:rPr>
              <w:t>8</w:t>
            </w:r>
          </w:p>
        </w:tc>
        <w:tc>
          <w:tcPr>
            <w:tcW w:type="dxa" w:w="1728"/>
          </w:tcPr>
          <w:p>
            <w:r>
              <w:rPr>
                <w:sz w:val="18"/>
              </w:rPr>
              <w:t>[CONFIG]</w:t>
            </w:r>
          </w:p>
        </w:tc>
        <w:tc>
          <w:tcPr>
            <w:tcW w:type="dxa" w:w="1728"/>
          </w:tcPr>
          <w:p>
            <w:r>
              <w:rPr>
                <w:sz w:val="18"/>
              </w:rPr>
              <w:t>Missing Device Document with device type</w:t>
            </w:r>
          </w:p>
        </w:tc>
        <w:tc>
          <w:tcPr>
            <w:tcW w:type="dxa" w:w="1728"/>
          </w:tcPr>
          <w:p>
            <w:r>
              <w:rPr>
                <w:sz w:val="18"/>
              </w:rPr>
              <w:t>High</w:t>
            </w:r>
          </w:p>
        </w:tc>
        <w:tc>
          <w:tcPr>
            <w:tcW w:type="dxa" w:w="1728"/>
          </w:tcPr>
          <w:p>
            <w:r>
              <w:rPr>
                <w:sz w:val="18"/>
              </w:rPr>
              <w:t>Fixed</w:t>
            </w:r>
          </w:p>
        </w:tc>
      </w:tr>
      <w:tr>
        <w:tc>
          <w:tcPr>
            <w:tcW w:type="dxa" w:w="1728"/>
          </w:tcPr>
          <w:p>
            <w:r>
              <w:rPr>
                <w:sz w:val="18"/>
              </w:rPr>
              <w:t>9</w:t>
            </w:r>
          </w:p>
        </w:tc>
        <w:tc>
          <w:tcPr>
            <w:tcW w:type="dxa" w:w="1728"/>
          </w:tcPr>
          <w:p>
            <w:r>
              <w:rPr>
                <w:sz w:val="18"/>
              </w:rPr>
              <w:t>[META]</w:t>
            </w:r>
          </w:p>
        </w:tc>
        <w:tc>
          <w:tcPr>
            <w:tcW w:type="dxa" w:w="1728"/>
          </w:tcPr>
          <w:p>
            <w:r>
              <w:rPr>
                <w:sz w:val="18"/>
              </w:rPr>
              <w:t>No traceability to original source file (UNC path)</w:t>
            </w:r>
          </w:p>
        </w:tc>
        <w:tc>
          <w:tcPr>
            <w:tcW w:type="dxa" w:w="1728"/>
          </w:tcPr>
          <w:p>
            <w:r>
              <w:rPr>
                <w:sz w:val="18"/>
              </w:rPr>
              <w:t>Medium</w:t>
            </w:r>
          </w:p>
        </w:tc>
        <w:tc>
          <w:tcPr>
            <w:tcW w:type="dxa" w:w="1728"/>
          </w:tcPr>
          <w:p>
            <w:r>
              <w:rPr>
                <w:sz w:val="18"/>
              </w:rPr>
              <w:t>Open</w:t>
            </w:r>
          </w:p>
        </w:tc>
      </w:tr>
      <w:tr>
        <w:tc>
          <w:tcPr>
            <w:tcW w:type="dxa" w:w="1728"/>
          </w:tcPr>
          <w:p>
            <w:r>
              <w:rPr>
                <w:sz w:val="18"/>
              </w:rPr>
              <w:t>10</w:t>
            </w:r>
          </w:p>
        </w:tc>
        <w:tc>
          <w:tcPr>
            <w:tcW w:type="dxa" w:w="1728"/>
          </w:tcPr>
          <w:p>
            <w:r>
              <w:rPr>
                <w:sz w:val="18"/>
              </w:rPr>
              <w:t>[RULE]</w:t>
            </w:r>
          </w:p>
        </w:tc>
        <w:tc>
          <w:tcPr>
            <w:tcW w:type="dxa" w:w="1728"/>
          </w:tcPr>
          <w:p>
            <w:r>
              <w:rPr>
                <w:sz w:val="18"/>
              </w:rPr>
              <w:t>Custom fields have manually added units not in source</w:t>
            </w:r>
          </w:p>
        </w:tc>
        <w:tc>
          <w:tcPr>
            <w:tcW w:type="dxa" w:w="1728"/>
          </w:tcPr>
          <w:p>
            <w:r>
              <w:rPr>
                <w:sz w:val="18"/>
              </w:rPr>
              <w:t>Medium</w:t>
            </w:r>
          </w:p>
        </w:tc>
        <w:tc>
          <w:tcPr>
            <w:tcW w:type="dxa" w:w="1728"/>
          </w:tcPr>
          <w:p>
            <w:r>
              <w:rPr>
                <w:sz w:val="18"/>
              </w:rPr>
              <w:t>Open</w:t>
            </w:r>
          </w:p>
        </w:tc>
      </w:tr>
      <w:tr>
        <w:tc>
          <w:tcPr>
            <w:tcW w:type="dxa" w:w="1728"/>
          </w:tcPr>
          <w:p>
            <w:r>
              <w:rPr>
                <w:sz w:val="18"/>
              </w:rPr>
              <w:t>11</w:t>
            </w:r>
          </w:p>
        </w:tc>
        <w:tc>
          <w:tcPr>
            <w:tcW w:type="dxa" w:w="1728"/>
          </w:tcPr>
          <w:p>
            <w:r>
              <w:rPr>
                <w:sz w:val="18"/>
              </w:rPr>
              <w:t>[RULE]</w:t>
            </w:r>
          </w:p>
        </w:tc>
        <w:tc>
          <w:tcPr>
            <w:tcW w:type="dxa" w:w="1728"/>
          </w:tcPr>
          <w:p>
            <w:r>
              <w:rPr>
                <w:sz w:val="18"/>
              </w:rPr>
              <w:t>Missing @index for array ordering</w:t>
            </w:r>
          </w:p>
        </w:tc>
        <w:tc>
          <w:tcPr>
            <w:tcW w:type="dxa" w:w="1728"/>
          </w:tcPr>
          <w:p>
            <w:r>
              <w:rPr>
                <w:sz w:val="18"/>
              </w:rPr>
              <w:t>Low</w:t>
            </w:r>
          </w:p>
        </w:tc>
        <w:tc>
          <w:tcPr>
            <w:tcW w:type="dxa" w:w="1728"/>
          </w:tcPr>
          <w:p>
            <w:r>
              <w:rPr>
                <w:sz w:val="18"/>
              </w:rPr>
              <w:t>Open</w:t>
            </w:r>
          </w:p>
        </w:tc>
      </w:tr>
      <w:tr>
        <w:tc>
          <w:tcPr>
            <w:tcW w:type="dxa" w:w="1728"/>
          </w:tcPr>
          <w:p>
            <w:r>
              <w:rPr>
                <w:sz w:val="18"/>
              </w:rPr>
              <w:t>12</w:t>
            </w:r>
          </w:p>
        </w:tc>
        <w:tc>
          <w:tcPr>
            <w:tcW w:type="dxa" w:w="1728"/>
          </w:tcPr>
          <w:p>
            <w:r>
              <w:rPr>
                <w:sz w:val="18"/>
              </w:rPr>
              <w:t>[RULE]</w:t>
            </w:r>
          </w:p>
        </w:tc>
        <w:tc>
          <w:tcPr>
            <w:tcW w:type="dxa" w:w="1728"/>
          </w:tcPr>
          <w:p>
            <w:r>
              <w:rPr>
                <w:sz w:val="18"/>
              </w:rPr>
              <w:t>Calculated data missing per-calculation data source linkage</w:t>
            </w:r>
          </w:p>
        </w:tc>
        <w:tc>
          <w:tcPr>
            <w:tcW w:type="dxa" w:w="1728"/>
          </w:tcPr>
          <w:p>
            <w:r>
              <w:rPr>
                <w:sz w:val="18"/>
              </w:rPr>
              <w:t>Medium</w:t>
            </w:r>
          </w:p>
        </w:tc>
        <w:tc>
          <w:tcPr>
            <w:tcW w:type="dxa" w:w="1728"/>
          </w:tcPr>
          <w:p>
            <w:r>
              <w:rPr>
                <w:sz w:val="18"/>
              </w:rPr>
              <w:t>Open</w:t>
            </w:r>
          </w:p>
        </w:tc>
      </w:tr>
      <w:tr>
        <w:tc>
          <w:tcPr>
            <w:tcW w:type="dxa" w:w="1728"/>
          </w:tcPr>
          <w:p>
            <w:r>
              <w:rPr>
                <w:sz w:val="18"/>
              </w:rPr>
              <w:t>13</w:t>
            </w:r>
          </w:p>
        </w:tc>
        <w:tc>
          <w:tcPr>
            <w:tcW w:type="dxa" w:w="1728"/>
          </w:tcPr>
          <w:p>
            <w:r>
              <w:rPr>
                <w:sz w:val="18"/>
              </w:rPr>
              <w:t>[RULE]</w:t>
            </w:r>
          </w:p>
        </w:tc>
        <w:tc>
          <w:tcPr>
            <w:tcW w:type="dxa" w:w="1728"/>
          </w:tcPr>
          <w:p>
            <w:r>
              <w:rPr>
                <w:sz w:val="18"/>
              </w:rPr>
              <w:t>No processed data aggregate document layer</w:t>
            </w:r>
          </w:p>
        </w:tc>
        <w:tc>
          <w:tcPr>
            <w:tcW w:type="dxa" w:w="1728"/>
          </w:tcPr>
          <w:p>
            <w:r>
              <w:rPr>
                <w:sz w:val="18"/>
              </w:rPr>
              <w:t>Medium</w:t>
            </w:r>
          </w:p>
        </w:tc>
        <w:tc>
          <w:tcPr>
            <w:tcW w:type="dxa" w:w="1728"/>
          </w:tcPr>
          <w:p>
            <w:r>
              <w:rPr>
                <w:sz w:val="18"/>
              </w:rPr>
              <w:t>Open</w:t>
            </w:r>
          </w:p>
        </w:tc>
      </w:tr>
    </w:tbl>
    <w:p/>
    <w:p>
      <w:pPr>
        <w:pStyle w:val="Heading2"/>
      </w:pPr>
      <w:r>
        <w:t>Already Fixed Since Review</w:t>
      </w:r>
    </w:p>
    <w:p>
      <w:r>
        <w:rPr>
          <w:b/>
        </w:rPr>
        <w:t>Issue 5 — Calculated fields:</w:t>
      </w:r>
      <w:r>
        <w:t xml:space="preserve"> Converter now includes calculated data aggregate document with temperature-corrected pH, PO2, PCO2, and bicarbonate.</w:t>
      </w:r>
    </w:p>
    <w:p>
      <w:r>
        <w:rPr>
          <w:b/>
        </w:rPr>
        <w:t>Issue 6 — Custom fields:</w:t>
      </w:r>
      <w:r>
        <w:t xml:space="preserve"> Converter now maps all custom fields to custom information aggregate document including lot numbers, flow times, vessel pressure, dilution ratio, and all string metadata.</w:t>
      </w:r>
    </w:p>
    <w:p>
      <w:r>
        <w:rPr>
          <w:b/>
        </w:rPr>
        <w:t>Issue 8 — Device Document:</w:t>
      </w:r>
      <w:r>
        <w:t xml:space="preserve"> Converter includes device system document with device identifier, product manufacturer, and device type = "solution analyzer".</w:t>
      </w:r>
    </w:p>
    <w:p>
      <w:pPr>
        <w:pStyle w:val="Heading2"/>
      </w:pPr>
      <w:r>
        <w:t>Phase 1 — High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32F3E" w:val="clear"/>
          </w:tcPr>
          <w:p>
            <w:r>
              <w:rPr>
                <w:b/>
                <w:color w:val="FFFFFF"/>
                <w:sz w:val="18"/>
              </w:rPr>
              <w:t>#</w:t>
            </w:r>
          </w:p>
        </w:tc>
        <w:tc>
          <w:tcPr>
            <w:tcW w:type="dxa" w:w="2160"/>
            <w:shd w:fill="232F3E" w:val="clear"/>
          </w:tcPr>
          <w:p>
            <w:r>
              <w:rPr>
                <w:b/>
                <w:color w:val="FFFFFF"/>
                <w:sz w:val="18"/>
              </w:rPr>
              <w:t>Issue</w:t>
            </w:r>
          </w:p>
        </w:tc>
        <w:tc>
          <w:tcPr>
            <w:tcW w:type="dxa" w:w="2160"/>
            <w:shd w:fill="232F3E" w:val="clear"/>
          </w:tcPr>
          <w:p>
            <w:r>
              <w:rPr>
                <w:b/>
                <w:color w:val="FFFFFF"/>
                <w:sz w:val="18"/>
              </w:rPr>
              <w:t>Effort</w:t>
            </w:r>
          </w:p>
        </w:tc>
        <w:tc>
          <w:tcPr>
            <w:tcW w:type="dxa" w:w="2160"/>
            <w:shd w:fill="232F3E" w:val="clear"/>
          </w:tcPr>
          <w:p>
            <w:r>
              <w:rPr>
                <w:b/>
                <w:color w:val="FFFFFF"/>
                <w:sz w:val="18"/>
              </w:rPr>
              <w:t>Change</w:t>
            </w:r>
          </w:p>
        </w:tc>
      </w:tr>
      <w:tr>
        <w:tc>
          <w:tcPr>
            <w:tcW w:type="dxa" w:w="2160"/>
          </w:tcPr>
          <w:p>
            <w:r>
              <w:rPr>
                <w:sz w:val="18"/>
              </w:rPr>
              <w:t>1</w:t>
            </w:r>
          </w:p>
        </w:tc>
        <w:tc>
          <w:tcPr>
            <w:tcW w:type="dxa" w:w="2160"/>
          </w:tcPr>
          <w:p>
            <w:r>
              <w:rPr>
                <w:sz w:val="18"/>
              </w:rPr>
              <w:t>Timezone in instrument config</w:t>
            </w:r>
          </w:p>
        </w:tc>
        <w:tc>
          <w:tcPr>
            <w:tcW w:type="dxa" w:w="2160"/>
          </w:tcPr>
          <w:p>
            <w:r>
              <w:rPr>
                <w:sz w:val="18"/>
              </w:rPr>
              <w:t>1 hour</w:t>
            </w:r>
          </w:p>
        </w:tc>
        <w:tc>
          <w:tcPr>
            <w:tcW w:type="dxa" w:w="2160"/>
          </w:tcPr>
          <w:p>
            <w:r>
              <w:rPr>
                <w:sz w:val="18"/>
              </w:rPr>
              <w:t>Add location.timezone to config, use in timestamp parsing</w:t>
            </w:r>
          </w:p>
        </w:tc>
      </w:tr>
      <w:tr>
        <w:tc>
          <w:tcPr>
            <w:tcW w:type="dxa" w:w="2160"/>
          </w:tcPr>
          <w:p>
            <w:r>
              <w:rPr>
                <w:sz w:val="18"/>
              </w:rPr>
              <w:t>2</w:t>
            </w:r>
          </w:p>
        </w:tc>
        <w:tc>
          <w:tcPr>
            <w:tcW w:type="dxa" w:w="2160"/>
          </w:tcPr>
          <w:p>
            <w:r>
              <w:rPr>
                <w:sz w:val="18"/>
              </w:rPr>
              <w:t>Invalid sample type term</w:t>
            </w:r>
          </w:p>
        </w:tc>
        <w:tc>
          <w:tcPr>
            <w:tcW w:type="dxa" w:w="2160"/>
          </w:tcPr>
          <w:p>
            <w:r>
              <w:rPr>
                <w:sz w:val="18"/>
              </w:rPr>
              <w:t>30 min</w:t>
            </w:r>
          </w:p>
        </w:tc>
        <w:tc>
          <w:tcPr>
            <w:tcW w:type="dxa" w:w="2160"/>
          </w:tcPr>
          <w:p>
            <w:r>
              <w:rPr>
                <w:sz w:val="18"/>
              </w:rPr>
              <w:t>Map to valid ASM term per schema</w:t>
            </w:r>
          </w:p>
        </w:tc>
      </w:tr>
      <w:tr>
        <w:tc>
          <w:tcPr>
            <w:tcW w:type="dxa" w:w="2160"/>
          </w:tcPr>
          <w:p>
            <w:r>
              <w:rPr>
                <w:sz w:val="18"/>
              </w:rPr>
              <w:t>9</w:t>
            </w:r>
          </w:p>
        </w:tc>
        <w:tc>
          <w:tcPr>
            <w:tcW w:type="dxa" w:w="2160"/>
          </w:tcPr>
          <w:p>
            <w:r>
              <w:rPr>
                <w:sz w:val="18"/>
              </w:rPr>
              <w:t>UNC path traceability</w:t>
            </w:r>
          </w:p>
        </w:tc>
        <w:tc>
          <w:tcPr>
            <w:tcW w:type="dxa" w:w="2160"/>
          </w:tcPr>
          <w:p>
            <w:r>
              <w:rPr>
                <w:sz w:val="18"/>
              </w:rPr>
              <w:t>1 hour</w:t>
            </w:r>
          </w:p>
        </w:tc>
        <w:tc>
          <w:tcPr>
            <w:tcW w:type="dxa" w:w="2160"/>
          </w:tcPr>
          <w:p>
            <w:r>
              <w:rPr>
                <w:sz w:val="18"/>
              </w:rPr>
              <w:t>Read from instrument config, write to data system document</w:t>
            </w:r>
          </w:p>
        </w:tc>
      </w:tr>
      <w:tr>
        <w:tc>
          <w:tcPr>
            <w:tcW w:type="dxa" w:w="2160"/>
          </w:tcPr>
          <w:p>
            <w:r>
              <w:rPr>
                <w:sz w:val="18"/>
              </w:rPr>
              <w:t>10</w:t>
            </w:r>
          </w:p>
        </w:tc>
        <w:tc>
          <w:tcPr>
            <w:tcW w:type="dxa" w:w="2160"/>
          </w:tcPr>
          <w:p>
            <w:r>
              <w:rPr>
                <w:sz w:val="18"/>
              </w:rPr>
              <w:t>Remove manually added units from custom fields</w:t>
            </w:r>
          </w:p>
        </w:tc>
        <w:tc>
          <w:tcPr>
            <w:tcW w:type="dxa" w:w="2160"/>
          </w:tcPr>
          <w:p>
            <w:r>
              <w:rPr>
                <w:sz w:val="18"/>
              </w:rPr>
              <w:t>1 hour</w:t>
            </w:r>
          </w:p>
        </w:tc>
        <w:tc>
          <w:tcPr>
            <w:tcW w:type="dxa" w:w="2160"/>
          </w:tcPr>
          <w:p>
            <w:r>
              <w:rPr>
                <w:sz w:val="18"/>
              </w:rPr>
              <w:t>Only include units when present in source data</w:t>
            </w:r>
          </w:p>
        </w:tc>
      </w:tr>
      <w:tr>
        <w:tc>
          <w:tcPr>
            <w:tcW w:type="dxa" w:w="2160"/>
          </w:tcPr>
          <w:p>
            <w:r>
              <w:rPr>
                <w:sz w:val="18"/>
              </w:rPr>
              <w:t>12</w:t>
            </w:r>
          </w:p>
        </w:tc>
        <w:tc>
          <w:tcPr>
            <w:tcW w:type="dxa" w:w="2160"/>
          </w:tcPr>
          <w:p>
            <w:r>
              <w:rPr>
                <w:sz w:val="18"/>
              </w:rPr>
              <w:t>Per-calculation data source linkage</w:t>
            </w:r>
          </w:p>
        </w:tc>
        <w:tc>
          <w:tcPr>
            <w:tcW w:type="dxa" w:w="2160"/>
          </w:tcPr>
          <w:p>
            <w:r>
              <w:rPr>
                <w:sz w:val="18"/>
              </w:rPr>
              <w:t>1 hour</w:t>
            </w:r>
          </w:p>
        </w:tc>
        <w:tc>
          <w:tcPr>
            <w:tcW w:type="dxa" w:w="2160"/>
          </w:tcPr>
          <w:p>
            <w:r>
              <w:rPr>
                <w:sz w:val="18"/>
              </w:rPr>
              <w:t>Nest data source aggregate inside each calculated data document</w:t>
            </w:r>
          </w:p>
        </w:tc>
      </w:tr>
    </w:tbl>
    <w:p/>
    <w:p>
      <w:pPr>
        <w:pStyle w:val="Heading2"/>
      </w:pPr>
      <w:r>
        <w:t>Phase 2 — Medium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32F3E" w:val="clear"/>
          </w:tcPr>
          <w:p>
            <w:r>
              <w:rPr>
                <w:b/>
                <w:color w:val="FFFFFF"/>
                <w:sz w:val="18"/>
              </w:rPr>
              <w:t>#</w:t>
            </w:r>
          </w:p>
        </w:tc>
        <w:tc>
          <w:tcPr>
            <w:tcW w:type="dxa" w:w="2160"/>
            <w:shd w:fill="232F3E" w:val="clear"/>
          </w:tcPr>
          <w:p>
            <w:r>
              <w:rPr>
                <w:b/>
                <w:color w:val="FFFFFF"/>
                <w:sz w:val="18"/>
              </w:rPr>
              <w:t>Issue</w:t>
            </w:r>
          </w:p>
        </w:tc>
        <w:tc>
          <w:tcPr>
            <w:tcW w:type="dxa" w:w="2160"/>
            <w:shd w:fill="232F3E" w:val="clear"/>
          </w:tcPr>
          <w:p>
            <w:r>
              <w:rPr>
                <w:b/>
                <w:color w:val="FFFFFF"/>
                <w:sz w:val="18"/>
              </w:rPr>
              <w:t>Effort</w:t>
            </w:r>
          </w:p>
        </w:tc>
        <w:tc>
          <w:tcPr>
            <w:tcW w:type="dxa" w:w="2160"/>
            <w:shd w:fill="232F3E" w:val="clear"/>
          </w:tcPr>
          <w:p>
            <w:r>
              <w:rPr>
                <w:b/>
                <w:color w:val="FFFFFF"/>
                <w:sz w:val="18"/>
              </w:rPr>
              <w:t>Change</w:t>
            </w:r>
          </w:p>
        </w:tc>
      </w:tr>
      <w:tr>
        <w:tc>
          <w:tcPr>
            <w:tcW w:type="dxa" w:w="2160"/>
          </w:tcPr>
          <w:p>
            <w:r>
              <w:rPr>
                <w:sz w:val="18"/>
              </w:rPr>
              <w:t>3</w:t>
            </w:r>
          </w:p>
        </w:tc>
        <w:tc>
          <w:tcPr>
            <w:tcW w:type="dxa" w:w="2160"/>
          </w:tcPr>
          <w:p>
            <w:r>
              <w:rPr>
                <w:sz w:val="18"/>
              </w:rPr>
              <w:t>Processed data (cell counts, dilution factor)</w:t>
            </w:r>
          </w:p>
        </w:tc>
        <w:tc>
          <w:tcPr>
            <w:tcW w:type="dxa" w:w="2160"/>
          </w:tcPr>
          <w:p>
            <w:r>
              <w:rPr>
                <w:sz w:val="18"/>
              </w:rPr>
              <w:t>2 hours</w:t>
            </w:r>
          </w:p>
        </w:tc>
        <w:tc>
          <w:tcPr>
            <w:tcW w:type="dxa" w:w="2160"/>
          </w:tcPr>
          <w:p>
            <w:r>
              <w:rPr>
                <w:sz w:val="18"/>
              </w:rPr>
              <w:t>Add processed data aggregate document</w:t>
            </w:r>
          </w:p>
        </w:tc>
      </w:tr>
      <w:tr>
        <w:tc>
          <w:tcPr>
            <w:tcW w:type="dxa" w:w="2160"/>
          </w:tcPr>
          <w:p>
            <w:r>
              <w:rPr>
                <w:sz w:val="18"/>
              </w:rPr>
              <w:t>4</w:t>
            </w:r>
          </w:p>
        </w:tc>
        <w:tc>
          <w:tcPr>
            <w:tcW w:type="dxa" w:w="2160"/>
          </w:tcPr>
          <w:p>
            <w:r>
              <w:rPr>
                <w:sz w:val="18"/>
              </w:rPr>
              <w:t>Dilution factor nesting</w:t>
            </w:r>
          </w:p>
        </w:tc>
        <w:tc>
          <w:tcPr>
            <w:tcW w:type="dxa" w:w="2160"/>
          </w:tcPr>
          <w:p>
            <w:r>
              <w:rPr>
                <w:sz w:val="18"/>
              </w:rPr>
              <w:t>30 min</w:t>
            </w:r>
          </w:p>
        </w:tc>
        <w:tc>
          <w:tcPr>
            <w:tcW w:type="dxa" w:w="2160"/>
          </w:tcPr>
          <w:p>
            <w:r>
              <w:rPr>
                <w:sz w:val="18"/>
              </w:rPr>
              <w:t>Nest under data processing document</w:t>
            </w:r>
          </w:p>
        </w:tc>
      </w:tr>
      <w:tr>
        <w:tc>
          <w:tcPr>
            <w:tcW w:type="dxa" w:w="2160"/>
          </w:tcPr>
          <w:p>
            <w:r>
              <w:rPr>
                <w:sz w:val="18"/>
              </w:rPr>
              <w:t>11</w:t>
            </w:r>
          </w:p>
        </w:tc>
        <w:tc>
          <w:tcPr>
            <w:tcW w:type="dxa" w:w="2160"/>
          </w:tcPr>
          <w:p>
            <w:r>
              <w:rPr>
                <w:sz w:val="18"/>
              </w:rPr>
              <w:t>@index for array ordering</w:t>
            </w:r>
          </w:p>
        </w:tc>
        <w:tc>
          <w:tcPr>
            <w:tcW w:type="dxa" w:w="2160"/>
          </w:tcPr>
          <w:p>
            <w:r>
              <w:rPr>
                <w:sz w:val="18"/>
              </w:rPr>
              <w:t>1 hour</w:t>
            </w:r>
          </w:p>
        </w:tc>
        <w:tc>
          <w:tcPr>
            <w:tcW w:type="dxa" w:w="2160"/>
          </w:tcPr>
          <w:p>
            <w:r>
              <w:rPr>
                <w:sz w:val="18"/>
              </w:rPr>
              <w:t>Add @index based on source order or timestamp</w:t>
            </w:r>
          </w:p>
        </w:tc>
      </w:tr>
      <w:tr>
        <w:tc>
          <w:tcPr>
            <w:tcW w:type="dxa" w:w="2160"/>
          </w:tcPr>
          <w:p>
            <w:r>
              <w:rPr>
                <w:sz w:val="18"/>
              </w:rPr>
              <w:t>13</w:t>
            </w:r>
          </w:p>
        </w:tc>
        <w:tc>
          <w:tcPr>
            <w:tcW w:type="dxa" w:w="2160"/>
          </w:tcPr>
          <w:p>
            <w:r>
              <w:rPr>
                <w:sz w:val="18"/>
              </w:rPr>
              <w:t>Processed data layer</w:t>
            </w:r>
          </w:p>
        </w:tc>
        <w:tc>
          <w:tcPr>
            <w:tcW w:type="dxa" w:w="2160"/>
          </w:tcPr>
          <w:p>
            <w:r>
              <w:rPr>
                <w:sz w:val="18"/>
              </w:rPr>
              <w:t>2 hours</w:t>
            </w:r>
          </w:p>
        </w:tc>
        <w:tc>
          <w:tcPr>
            <w:tcW w:type="dxa" w:w="2160"/>
          </w:tcPr>
          <w:p>
            <w:r>
              <w:rPr>
                <w:sz w:val="18"/>
              </w:rPr>
              <w:t>Distinguish raw measurement vs instrument transformation</w:t>
            </w:r>
          </w:p>
        </w:tc>
      </w:tr>
    </w:tbl>
    <w:p/>
    <w:p>
      <w:pPr>
        <w:pStyle w:val="Heading2"/>
      </w:pPr>
      <w:r>
        <w:t>Phase 3 — Validation Enhancement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r>
              <w:rPr>
                <w:b/>
                <w:color w:val="FFFFFF"/>
                <w:sz w:val="18"/>
              </w:rPr>
              <w:t>Item</w:t>
            </w:r>
          </w:p>
        </w:tc>
        <w:tc>
          <w:tcPr>
            <w:tcW w:type="dxa" w:w="2880"/>
            <w:shd w:fill="232F3E" w:val="clear"/>
          </w:tcPr>
          <w:p>
            <w:r>
              <w:rPr>
                <w:b/>
                <w:color w:val="FFFFFF"/>
                <w:sz w:val="18"/>
              </w:rPr>
              <w:t>Effort</w:t>
            </w:r>
          </w:p>
        </w:tc>
        <w:tc>
          <w:tcPr>
            <w:tcW w:type="dxa" w:w="2880"/>
            <w:shd w:fill="232F3E" w:val="clear"/>
          </w:tcPr>
          <w:p>
            <w:r>
              <w:rPr>
                <w:b/>
                <w:color w:val="FFFFFF"/>
                <w:sz w:val="18"/>
              </w:rPr>
              <w:t>Change</w:t>
            </w:r>
          </w:p>
        </w:tc>
      </w:tr>
      <w:tr>
        <w:tc>
          <w:tcPr>
            <w:tcW w:type="dxa" w:w="2880"/>
          </w:tcPr>
          <w:p>
            <w:r>
              <w:rPr>
                <w:sz w:val="18"/>
              </w:rPr>
              <w:t>DVaaS Level 3 rules (Allotrope principles)</w:t>
            </w:r>
          </w:p>
        </w:tc>
        <w:tc>
          <w:tcPr>
            <w:tcW w:type="dxa" w:w="2880"/>
          </w:tcPr>
          <w:p>
            <w:r>
              <w:rPr>
                <w:sz w:val="18"/>
              </w:rPr>
              <w:t>4 hours</w:t>
            </w:r>
          </w:p>
        </w:tc>
        <w:tc>
          <w:tcPr>
            <w:tcW w:type="dxa" w:w="2880"/>
          </w:tcPr>
          <w:p>
            <w:r>
              <w:rPr>
                <w:sz w:val="18"/>
              </w:rPr>
              <w:t>Add design principle checks to validation</w:t>
            </w:r>
          </w:p>
        </w:tc>
      </w:tr>
      <w:tr>
        <w:tc>
          <w:tcPr>
            <w:tcW w:type="dxa" w:w="2880"/>
          </w:tcPr>
          <w:p>
            <w:r>
              <w:rPr>
                <w:sz w:val="18"/>
              </w:rPr>
              <w:t>DVaaS Level 4 rules (Merck-specific)</w:t>
            </w:r>
          </w:p>
        </w:tc>
        <w:tc>
          <w:tcPr>
            <w:tcW w:type="dxa" w:w="2880"/>
          </w:tcPr>
          <w:p>
            <w:r>
              <w:rPr>
                <w:sz w:val="18"/>
              </w:rPr>
              <w:t>4 hours</w:t>
            </w:r>
          </w:p>
        </w:tc>
        <w:tc>
          <w:tcPr>
            <w:tcW w:type="dxa" w:w="2880"/>
          </w:tcPr>
          <w:p>
            <w:r>
              <w:rPr>
                <w:sz w:val="18"/>
              </w:rPr>
              <w:t>Add configurable customer-specific rules</w:t>
            </w:r>
          </w:p>
        </w:tc>
      </w:tr>
      <w:tr>
        <w:tc>
          <w:tcPr>
            <w:tcW w:type="dxa" w:w="2880"/>
          </w:tcPr>
          <w:p>
            <w:r>
              <w:rPr>
                <w:sz w:val="18"/>
              </w:rPr>
              <w:t>Validation level labels on findings</w:t>
            </w:r>
          </w:p>
        </w:tc>
        <w:tc>
          <w:tcPr>
            <w:tcW w:type="dxa" w:w="2880"/>
          </w:tcPr>
          <w:p>
            <w:r>
              <w:rPr>
                <w:sz w:val="18"/>
              </w:rPr>
              <w:t>2 hours</w:t>
            </w:r>
          </w:p>
        </w:tc>
        <w:tc>
          <w:tcPr>
            <w:tcW w:type="dxa" w:w="2880"/>
          </w:tcPr>
          <w:p>
            <w:r>
              <w:rPr>
                <w:sz w:val="18"/>
              </w:rPr>
              <w:t>Tag each error/warning with L1/L2/L3/L4</w:t>
            </w:r>
          </w:p>
        </w:tc>
      </w:tr>
      <w:tr>
        <w:tc>
          <w:tcPr>
            <w:tcW w:type="dxa" w:w="2880"/>
          </w:tcPr>
          <w:p>
            <w:r>
              <w:rPr>
                <w:sz w:val="18"/>
              </w:rPr>
              <w:t>ATaaS confidence scores per mapping</w:t>
            </w:r>
          </w:p>
        </w:tc>
        <w:tc>
          <w:tcPr>
            <w:tcW w:type="dxa" w:w="2880"/>
          </w:tcPr>
          <w:p>
            <w:r>
              <w:rPr>
                <w:sz w:val="18"/>
              </w:rPr>
              <w:t>4 hours</w:t>
            </w:r>
          </w:p>
        </w:tc>
        <w:tc>
          <w:tcPr>
            <w:tcW w:type="dxa" w:w="2880"/>
          </w:tcPr>
          <w:p>
            <w:r>
              <w:rPr>
                <w:sz w:val="18"/>
              </w:rPr>
              <w:t>Add per-field confidence to AI-generated mappings</w:t>
            </w:r>
          </w:p>
        </w:tc>
      </w:tr>
    </w:tbl>
    <w:p/>
    <w:p>
      <w:pPr>
        <w:pStyle w:val="Heading1"/>
      </w:pPr>
      <w:r>
        <w:t>Data Integrity Verification — Addressing Level 2</w:t>
      </w:r>
    </w:p>
    <w:p>
      <w:r>
        <w:t>Your Level 2 validation (TOSCA-based source-to-ASM comparison) requires significant per-instrument coding. Our Data Integrity Verification provides the same assurance with a fundamentally different approach: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r>
              <w:rPr>
                <w:b/>
                <w:color w:val="FFFFFF"/>
                <w:sz w:val="18"/>
              </w:rPr>
              <w:t>Aspect</w:t>
            </w:r>
          </w:p>
        </w:tc>
        <w:tc>
          <w:tcPr>
            <w:tcW w:type="dxa" w:w="2880"/>
            <w:shd w:fill="232F3E" w:val="clear"/>
          </w:tcPr>
          <w:p>
            <w:r>
              <w:rPr>
                <w:b/>
                <w:color w:val="FFFFFF"/>
                <w:sz w:val="18"/>
              </w:rPr>
              <w:t>Merck Level 2 (TOSCA)</w:t>
            </w:r>
          </w:p>
        </w:tc>
        <w:tc>
          <w:tcPr>
            <w:tcW w:type="dxa" w:w="2880"/>
            <w:shd w:fill="232F3E" w:val="clear"/>
          </w:tcPr>
          <w:p>
            <w:r>
              <w:rPr>
                <w:b/>
                <w:color w:val="FFFFFF"/>
                <w:sz w:val="18"/>
              </w:rPr>
              <w:t>AWS Data Integrity Verification</w:t>
            </w:r>
          </w:p>
        </w:tc>
      </w:tr>
      <w:tr>
        <w:tc>
          <w:tcPr>
            <w:tcW w:type="dxa" w:w="2880"/>
          </w:tcPr>
          <w:p>
            <w:r>
              <w:rPr>
                <w:sz w:val="18"/>
              </w:rPr>
              <w:t>Approach</w:t>
            </w:r>
          </w:p>
        </w:tc>
        <w:tc>
          <w:tcPr>
            <w:tcW w:type="dxa" w:w="2880"/>
          </w:tcPr>
          <w:p>
            <w:r>
              <w:rPr>
                <w:sz w:val="18"/>
              </w:rPr>
              <w:t>Post-conversion comparison via SQL</w:t>
            </w:r>
          </w:p>
        </w:tc>
        <w:tc>
          <w:tcPr>
            <w:tcW w:type="dxa" w:w="2880"/>
          </w:tcPr>
          <w:p>
            <w:r>
              <w:rPr>
                <w:sz w:val="18"/>
              </w:rPr>
              <w:t>Converter emits field_mapping during conversion</w:t>
            </w:r>
          </w:p>
        </w:tc>
      </w:tr>
      <w:tr>
        <w:tc>
          <w:tcPr>
            <w:tcW w:type="dxa" w:w="2880"/>
          </w:tcPr>
          <w:p>
            <w:r>
              <w:rPr>
                <w:sz w:val="18"/>
              </w:rPr>
              <w:t>Per-instrument effort</w:t>
            </w:r>
          </w:p>
        </w:tc>
        <w:tc>
          <w:tcPr>
            <w:tcW w:type="dxa" w:w="2880"/>
          </w:tcPr>
          <w:p>
            <w:r>
              <w:rPr>
                <w:sz w:val="18"/>
              </w:rPr>
              <w:t>Significant — SQLite, SQL queries, tolerances</w:t>
            </w:r>
          </w:p>
        </w:tc>
        <w:tc>
          <w:tcPr>
            <w:tcW w:type="dxa" w:w="2880"/>
          </w:tcPr>
          <w:p>
            <w:r>
              <w:rPr>
                <w:sz w:val="18"/>
              </w:rPr>
              <w:t>Zero — field_mapping built into converter</w:t>
            </w:r>
          </w:p>
        </w:tc>
      </w:tr>
      <w:tr>
        <w:tc>
          <w:tcPr>
            <w:tcW w:type="dxa" w:w="2880"/>
          </w:tcPr>
          <w:p>
            <w:r>
              <w:rPr>
                <w:sz w:val="18"/>
              </w:rPr>
              <w:t>Tolerance handling</w:t>
            </w:r>
          </w:p>
        </w:tc>
        <w:tc>
          <w:tcPr>
            <w:tcW w:type="dxa" w:w="2880"/>
          </w:tcPr>
          <w:p>
            <w:r>
              <w:rPr>
                <w:sz w:val="18"/>
              </w:rPr>
              <w:t>SQL-based rounding and TOSCA parameters</w:t>
            </w:r>
          </w:p>
        </w:tc>
        <w:tc>
          <w:tcPr>
            <w:tcW w:type="dxa" w:w="2880"/>
          </w:tcPr>
          <w:p>
            <w:r>
              <w:rPr>
                <w:sz w:val="18"/>
              </w:rPr>
              <w:t>Exact match — no rounding needed</w:t>
            </w:r>
          </w:p>
        </w:tc>
      </w:tr>
      <w:tr>
        <w:tc>
          <w:tcPr>
            <w:tcW w:type="dxa" w:w="2880"/>
          </w:tcPr>
          <w:p>
            <w:r>
              <w:rPr>
                <w:sz w:val="18"/>
              </w:rPr>
              <w:t>Coverage</w:t>
            </w:r>
          </w:p>
        </w:tc>
        <w:tc>
          <w:tcPr>
            <w:tcW w:type="dxa" w:w="2880"/>
          </w:tcPr>
          <w:p>
            <w:r>
              <w:rPr>
                <w:sz w:val="18"/>
              </w:rPr>
              <w:t>Depends on SQL queries written</w:t>
            </w:r>
          </w:p>
        </w:tc>
        <w:tc>
          <w:tcPr>
            <w:tcW w:type="dxa" w:w="2880"/>
          </w:tcPr>
          <w:p>
            <w:r>
              <w:rPr>
                <w:sz w:val="18"/>
              </w:rPr>
              <w:t>Every field the converter touches</w:t>
            </w:r>
          </w:p>
        </w:tc>
      </w:tr>
      <w:tr>
        <w:tc>
          <w:tcPr>
            <w:tcW w:type="dxa" w:w="2880"/>
          </w:tcPr>
          <w:p>
            <w:r>
              <w:rPr>
                <w:sz w:val="18"/>
              </w:rPr>
              <w:t>Output</w:t>
            </w:r>
          </w:p>
        </w:tc>
        <w:tc>
          <w:tcPr>
            <w:tcW w:type="dxa" w:w="2880"/>
          </w:tcPr>
          <w:p>
            <w:r>
              <w:rPr>
                <w:sz w:val="18"/>
              </w:rPr>
              <w:t>TOSCA report</w:t>
            </w:r>
          </w:p>
        </w:tc>
        <w:tc>
          <w:tcPr>
            <w:tcW w:type="dxa" w:w="2880"/>
          </w:tcPr>
          <w:p>
            <w:r>
              <w:rPr>
                <w:sz w:val="18"/>
              </w:rPr>
              <w:t>Dashboard table + API response</w:t>
            </w:r>
          </w:p>
        </w:tc>
      </w:tr>
      <w:tr>
        <w:tc>
          <w:tcPr>
            <w:tcW w:type="dxa" w:w="2880"/>
          </w:tcPr>
          <w:p>
            <w:r>
              <w:rPr>
                <w:sz w:val="18"/>
              </w:rPr>
              <w:t>Maintenance</w:t>
            </w:r>
          </w:p>
        </w:tc>
        <w:tc>
          <w:tcPr>
            <w:tcW w:type="dxa" w:w="2880"/>
          </w:tcPr>
          <w:p>
            <w:r>
              <w:rPr>
                <w:sz w:val="18"/>
              </w:rPr>
              <w:t>Update SQL when converter changes</w:t>
            </w:r>
          </w:p>
        </w:tc>
        <w:tc>
          <w:tcPr>
            <w:tcW w:type="dxa" w:w="2880"/>
          </w:tcPr>
          <w:p>
            <w:r>
              <w:rPr>
                <w:sz w:val="18"/>
              </w:rPr>
              <w:t>Automatic — updates with converter</w:t>
            </w:r>
          </w:p>
        </w:tc>
      </w:tr>
    </w:tbl>
    <w:p/>
    <w:p>
      <w:r>
        <w:rPr>
          <w:b/>
        </w:rPr>
        <w:t xml:space="preserve">Key advantage: </w:t>
      </w:r>
      <w:r>
        <w:t>Because the converter emits the mapping at conversion time, there is no separate comparison step, no database, and no instrument-specific SQL. The integrity proof is a byproduct of the conversion itself.</w:t>
      </w:r>
    </w:p>
    <w:p/>
    <w:p>
      <w:r>
        <w:t>Current status: Implemented for Nova FLEX2 (all 40 CSV columns). Required for all custom converters per our requirements spec. Planned for allotropy-based conversions.</w:t>
      </w:r>
    </w:p>
    <w:p>
      <w:pPr>
        <w:pStyle w:val="Heading1"/>
      </w:pPr>
      <w:r>
        <w:t>Alignment with Merck Design Principles</w:t>
      </w:r>
    </w:p>
    <w:p>
      <w:pPr>
        <w:pStyle w:val="Heading2"/>
      </w:pPr>
      <w:r>
        <w:t>What We Align On Today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r>
              <w:rPr>
                <w:b/>
                <w:color w:val="FFFFFF"/>
                <w:sz w:val="18"/>
              </w:rPr>
              <w:t>Principle</w:t>
            </w:r>
          </w:p>
        </w:tc>
        <w:tc>
          <w:tcPr>
            <w:tcW w:type="dxa" w:w="2880"/>
            <w:shd w:fill="232F3E" w:val="clear"/>
          </w:tcPr>
          <w:p>
            <w:r>
              <w:rPr>
                <w:b/>
                <w:color w:val="FFFFFF"/>
                <w:sz w:val="18"/>
              </w:rPr>
              <w:t>Our Implementation</w:t>
            </w:r>
          </w:p>
        </w:tc>
        <w:tc>
          <w:tcPr>
            <w:tcW w:type="dxa" w:w="2880"/>
            <w:shd w:fill="232F3E" w:val="clear"/>
          </w:tcPr>
          <w:p>
            <w:r>
              <w:rPr>
                <w:b/>
                <w:color w:val="FFFFFF"/>
                <w:sz w:val="18"/>
              </w:rPr>
              <w:t>Status</w:t>
            </w:r>
          </w:p>
        </w:tc>
      </w:tr>
      <w:tr>
        <w:tc>
          <w:tcPr>
            <w:tcW w:type="dxa" w:w="2880"/>
          </w:tcPr>
          <w:p>
            <w:r>
              <w:rPr>
                <w:sz w:val="18"/>
              </w:rPr>
              <w:t>Instrument hardcoded terms</w:t>
            </w:r>
          </w:p>
        </w:tc>
        <w:tc>
          <w:tcPr>
            <w:tcW w:type="dxa" w:w="2880"/>
          </w:tcPr>
          <w:p>
            <w:r>
              <w:rPr>
                <w:sz w:val="18"/>
              </w:rPr>
              <w:t>Instrument config JSON file</w:t>
            </w:r>
          </w:p>
        </w:tc>
        <w:tc>
          <w:tcPr>
            <w:tcW w:type="dxa" w:w="2880"/>
          </w:tcPr>
          <w:p>
            <w:r>
              <w:rPr>
                <w:sz w:val="18"/>
              </w:rPr>
              <w:t>Aligned — needs UNC path and timezone</w:t>
            </w:r>
          </w:p>
        </w:tc>
      </w:tr>
      <w:tr>
        <w:tc>
          <w:tcPr>
            <w:tcW w:type="dxa" w:w="2880"/>
          </w:tcPr>
          <w:p>
            <w:r>
              <w:rPr>
                <w:sz w:val="18"/>
              </w:rPr>
              <w:t>Data hierarchical structure</w:t>
            </w:r>
          </w:p>
        </w:tc>
        <w:tc>
          <w:tcPr>
            <w:tcW w:type="dxa" w:w="2880"/>
          </w:tcPr>
          <w:p>
            <w:r>
              <w:rPr>
                <w:sz w:val="18"/>
              </w:rPr>
              <w:t>Follow solution-analyzer schema</w:t>
            </w:r>
          </w:p>
        </w:tc>
        <w:tc>
          <w:tcPr>
            <w:tcW w:type="dxa" w:w="2880"/>
          </w:tcPr>
          <w:p>
            <w:r>
              <w:rPr>
                <w:sz w:val="18"/>
              </w:rPr>
              <w:t>Aligned</w:t>
            </w:r>
          </w:p>
        </w:tc>
      </w:tr>
      <w:tr>
        <w:tc>
          <w:tcPr>
            <w:tcW w:type="dxa" w:w="2880"/>
          </w:tcPr>
          <w:p>
            <w:r>
              <w:rPr>
                <w:sz w:val="18"/>
              </w:rPr>
              <w:t>ASM terms lowercase with spaces</w:t>
            </w:r>
          </w:p>
        </w:tc>
        <w:tc>
          <w:tcPr>
            <w:tcW w:type="dxa" w:w="2880"/>
          </w:tcPr>
          <w:p>
            <w:r>
              <w:rPr>
                <w:sz w:val="18"/>
              </w:rPr>
              <w:t>Terms match schema (pO2, pCO2, pH, osmolality)</w:t>
            </w:r>
          </w:p>
        </w:tc>
        <w:tc>
          <w:tcPr>
            <w:tcW w:type="dxa" w:w="2880"/>
          </w:tcPr>
          <w:p>
            <w:r>
              <w:rPr>
                <w:sz w:val="18"/>
              </w:rPr>
              <w:t>Aligned</w:t>
            </w:r>
          </w:p>
        </w:tc>
      </w:tr>
      <w:tr>
        <w:tc>
          <w:tcPr>
            <w:tcW w:type="dxa" w:w="2880"/>
          </w:tcPr>
          <w:p>
            <w:r>
              <w:rPr>
                <w:sz w:val="18"/>
              </w:rPr>
              <w:t>Custom fields 1:1 transfer</w:t>
            </w:r>
          </w:p>
        </w:tc>
        <w:tc>
          <w:tcPr>
            <w:tcW w:type="dxa" w:w="2880"/>
          </w:tcPr>
          <w:p>
            <w:r>
              <w:rPr>
                <w:sz w:val="18"/>
              </w:rPr>
              <w:t>Custom information aggregate document</w:t>
            </w:r>
          </w:p>
        </w:tc>
        <w:tc>
          <w:tcPr>
            <w:tcW w:type="dxa" w:w="2880"/>
          </w:tcPr>
          <w:p>
            <w:r>
              <w:rPr>
                <w:sz w:val="18"/>
              </w:rPr>
              <w:t>Aligned — need to remove manual units</w:t>
            </w:r>
          </w:p>
        </w:tc>
      </w:tr>
      <w:tr>
        <w:tc>
          <w:tcPr>
            <w:tcW w:type="dxa" w:w="2880"/>
          </w:tcPr>
          <w:p>
            <w:r>
              <w:rPr>
                <w:sz w:val="18"/>
              </w:rPr>
              <w:t>Calculated fields with traceability</w:t>
            </w:r>
          </w:p>
        </w:tc>
        <w:tc>
          <w:tcPr>
            <w:tcW w:type="dxa" w:w="2880"/>
          </w:tcPr>
          <w:p>
            <w:r>
              <w:rPr>
                <w:sz w:val="18"/>
              </w:rPr>
              <w:t>Calculated data aggregate document</w:t>
            </w:r>
          </w:p>
        </w:tc>
        <w:tc>
          <w:tcPr>
            <w:tcW w:type="dxa" w:w="2880"/>
          </w:tcPr>
          <w:p>
            <w:r>
              <w:rPr>
                <w:sz w:val="18"/>
              </w:rPr>
              <w:t>Aligned — need to fix nesting</w:t>
            </w:r>
          </w:p>
        </w:tc>
      </w:tr>
      <w:tr>
        <w:tc>
          <w:tcPr>
            <w:tcW w:type="dxa" w:w="2880"/>
          </w:tcPr>
          <w:p>
            <w:r>
              <w:rPr>
                <w:sz w:val="18"/>
              </w:rPr>
              <w:t>Manufacturer in lowercase</w:t>
            </w:r>
          </w:p>
        </w:tc>
        <w:tc>
          <w:tcPr>
            <w:tcW w:type="dxa" w:w="2880"/>
          </w:tcPr>
          <w:p>
            <w:r>
              <w:rPr>
                <w:sz w:val="18"/>
              </w:rPr>
              <w:t>"nova biomedical"</w:t>
            </w:r>
          </w:p>
        </w:tc>
        <w:tc>
          <w:tcPr>
            <w:tcW w:type="dxa" w:w="2880"/>
          </w:tcPr>
          <w:p>
            <w:r>
              <w:rPr>
                <w:sz w:val="18"/>
              </w:rPr>
              <w:t>Aligned</w:t>
            </w:r>
          </w:p>
        </w:tc>
      </w:tr>
      <w:tr>
        <w:tc>
          <w:tcPr>
            <w:tcW w:type="dxa" w:w="2880"/>
          </w:tcPr>
          <w:p>
            <w:r>
              <w:rPr>
                <w:sz w:val="18"/>
              </w:rPr>
              <w:t>Source file traceability</w:t>
            </w:r>
          </w:p>
        </w:tc>
        <w:tc>
          <w:tcPr>
            <w:tcW w:type="dxa" w:w="2880"/>
          </w:tcPr>
          <w:p>
            <w:r>
              <w:rPr>
                <w:sz w:val="18"/>
              </w:rPr>
              <w:t>Data system document with file name, converter info</w:t>
            </w:r>
          </w:p>
        </w:tc>
        <w:tc>
          <w:tcPr>
            <w:tcW w:type="dxa" w:w="2880"/>
          </w:tcPr>
          <w:p>
            <w:r>
              <w:rPr>
                <w:sz w:val="18"/>
              </w:rPr>
              <w:t>Partial — need UNC path</w:t>
            </w:r>
          </w:p>
        </w:tc>
      </w:tr>
    </w:tbl>
    <w:p/>
    <w:p>
      <w:pPr>
        <w:pStyle w:val="Heading2"/>
      </w:pPr>
      <w:r>
        <w:t>What We Need to Add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r>
              <w:rPr>
                <w:b/>
                <w:color w:val="FFFFFF"/>
                <w:sz w:val="18"/>
              </w:rPr>
              <w:t>Principle</w:t>
            </w:r>
          </w:p>
        </w:tc>
        <w:tc>
          <w:tcPr>
            <w:tcW w:type="dxa" w:w="2880"/>
            <w:shd w:fill="232F3E" w:val="clear"/>
          </w:tcPr>
          <w:p>
            <w:r>
              <w:rPr>
                <w:b/>
                <w:color w:val="FFFFFF"/>
                <w:sz w:val="18"/>
              </w:rPr>
              <w:t>Gap</w:t>
            </w:r>
          </w:p>
        </w:tc>
        <w:tc>
          <w:tcPr>
            <w:tcW w:type="dxa" w:w="2880"/>
            <w:shd w:fill="232F3E" w:val="clear"/>
          </w:tcPr>
          <w:p>
            <w:r>
              <w:rPr>
                <w:b/>
                <w:color w:val="FFFFFF"/>
                <w:sz w:val="18"/>
              </w:rPr>
              <w:t>Plan</w:t>
            </w:r>
          </w:p>
        </w:tc>
      </w:tr>
      <w:tr>
        <w:tc>
          <w:tcPr>
            <w:tcW w:type="dxa" w:w="2880"/>
          </w:tcPr>
          <w:p>
            <w:r>
              <w:rPr>
                <w:sz w:val="18"/>
              </w:rPr>
              <w:t>Processed data aggregate document</w:t>
            </w:r>
          </w:p>
        </w:tc>
        <w:tc>
          <w:tcPr>
            <w:tcW w:type="dxa" w:w="2880"/>
          </w:tcPr>
          <w:p>
            <w:r>
              <w:rPr>
                <w:sz w:val="18"/>
              </w:rPr>
              <w:t>Not implemented</w:t>
            </w:r>
          </w:p>
        </w:tc>
        <w:tc>
          <w:tcPr>
            <w:tcW w:type="dxa" w:w="2880"/>
          </w:tcPr>
          <w:p>
            <w:r>
              <w:rPr>
                <w:sz w:val="18"/>
              </w:rPr>
              <w:t>Phase 2</w:t>
            </w:r>
          </w:p>
        </w:tc>
      </w:tr>
      <w:tr>
        <w:tc>
          <w:tcPr>
            <w:tcW w:type="dxa" w:w="2880"/>
          </w:tcPr>
          <w:p>
            <w:r>
              <w:rPr>
                <w:sz w:val="18"/>
              </w:rPr>
              <w:t>@index for array ordering</w:t>
            </w:r>
          </w:p>
        </w:tc>
        <w:tc>
          <w:tcPr>
            <w:tcW w:type="dxa" w:w="2880"/>
          </w:tcPr>
          <w:p>
            <w:r>
              <w:rPr>
                <w:sz w:val="18"/>
              </w:rPr>
              <w:t>Not implemented</w:t>
            </w:r>
          </w:p>
        </w:tc>
        <w:tc>
          <w:tcPr>
            <w:tcW w:type="dxa" w:w="2880"/>
          </w:tcPr>
          <w:p>
            <w:r>
              <w:rPr>
                <w:sz w:val="18"/>
              </w:rPr>
              <w:t>Phase 2</w:t>
            </w:r>
          </w:p>
        </w:tc>
      </w:tr>
      <w:tr>
        <w:tc>
          <w:tcPr>
            <w:tcW w:type="dxa" w:w="2880"/>
          </w:tcPr>
          <w:p>
            <w:r>
              <w:rPr>
                <w:sz w:val="18"/>
              </w:rPr>
              <w:t>HarmonizingBaseTerms integration</w:t>
            </w:r>
          </w:p>
        </w:tc>
        <w:tc>
          <w:tcPr>
            <w:tcW w:type="dxa" w:w="2880"/>
          </w:tcPr>
          <w:p>
            <w:r>
              <w:rPr>
                <w:sz w:val="18"/>
              </w:rPr>
              <w:t>Not formalized</w:t>
            </w:r>
          </w:p>
        </w:tc>
        <w:tc>
          <w:tcPr>
            <w:tcW w:type="dxa" w:w="2880"/>
          </w:tcPr>
          <w:p>
            <w:r>
              <w:rPr>
                <w:sz w:val="18"/>
              </w:rPr>
              <w:t>Accept as input alongside instrument config</w:t>
            </w:r>
          </w:p>
        </w:tc>
      </w:tr>
      <w:tr>
        <w:tc>
          <w:tcPr>
            <w:tcW w:type="dxa" w:w="2880"/>
          </w:tcPr>
          <w:p>
            <w:r>
              <w:rPr>
                <w:sz w:val="18"/>
              </w:rPr>
              <w:t>Custom field units only from source</w:t>
            </w:r>
          </w:p>
        </w:tc>
        <w:tc>
          <w:tcPr>
            <w:tcW w:type="dxa" w:w="2880"/>
          </w:tcPr>
          <w:p>
            <w:r>
              <w:rPr>
                <w:sz w:val="18"/>
              </w:rPr>
              <w:t>We add units manually</w:t>
            </w:r>
          </w:p>
        </w:tc>
        <w:tc>
          <w:tcPr>
            <w:tcW w:type="dxa" w:w="2880"/>
          </w:tcPr>
          <w:p>
            <w:r>
              <w:rPr>
                <w:sz w:val="18"/>
              </w:rPr>
              <w:t>Phase 1</w:t>
            </w:r>
          </w:p>
        </w:tc>
      </w:tr>
      <w:tr>
        <w:tc>
          <w:tcPr>
            <w:tcW w:type="dxa" w:w="2880"/>
          </w:tcPr>
          <w:p>
            <w:r>
              <w:rPr>
                <w:sz w:val="18"/>
              </w:rPr>
              <w:t>Statistic datum role</w:t>
            </w:r>
          </w:p>
        </w:tc>
        <w:tc>
          <w:tcPr>
            <w:tcW w:type="dxa" w:w="2880"/>
          </w:tcPr>
          <w:p>
            <w:r>
              <w:rPr>
                <w:sz w:val="18"/>
              </w:rPr>
              <w:t>Not implemented</w:t>
            </w:r>
          </w:p>
        </w:tc>
        <w:tc>
          <w:tcPr>
            <w:tcW w:type="dxa" w:w="2880"/>
          </w:tcPr>
          <w:p>
            <w:r>
              <w:rPr>
                <w:sz w:val="18"/>
              </w:rPr>
              <w:t>Future</w:t>
            </w:r>
          </w:p>
        </w:tc>
      </w:tr>
    </w:tbl>
    <w:p/>
    <w:p>
      <w:pPr>
        <w:pStyle w:val="Heading1"/>
      </w:pPr>
      <w:r>
        <w:t>Next Steps</w:t>
      </w:r>
    </w:p>
    <w:p>
      <w:r>
        <w:t>1. Share this response with Merck for review</w:t>
      </w:r>
    </w:p>
    <w:p>
      <w:r>
        <w:t>2. Phase 1: Implement high-priority fixes (timezone, sample type, UNC path, custom field units, data source nesting) — estimated 5 hours</w:t>
      </w:r>
    </w:p>
    <w:p>
      <w:r>
        <w:t>3. Phase 2: Implement medium-priority fixes (processed data, @index, dilution factor nesting) — estimated 6 hours</w:t>
      </w:r>
    </w:p>
    <w:p>
      <w:r>
        <w:t>4. Phase 3: Validation enhancement (L3/L4 rules, level labels, confidence scores) — estimated 14 hours</w:t>
      </w:r>
    </w:p>
    <w:p>
      <w:r>
        <w:t>5. Ongoing: Accept and integrate HarmonizingBaseTerms spreadsheet as converter configuration input</w:t>
      </w:r>
    </w:p>
    <w:p/>
    <w:p>
      <w:pPr>
        <w:jc w:val="center"/>
      </w:pPr>
      <w:r>
        <w:rPr>
          <w:b/>
        </w:rPr>
        <w:t xml:space="preserve">Built with: </w:t>
      </w:r>
      <w:r>
        <w:t>AWS Lambda, AWS Bedrock Claude, Allotropy Library, React, AWS CDK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