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1F3964"/>
          <w:sz w:val="56"/>
        </w:rPr>
        <w:t>MICROSERVICES MIGRATION</w:t>
      </w:r>
    </w:p>
    <w:p>
      <w:pPr>
        <w:jc w:val="center"/>
      </w:pPr>
      <w:r>
        <w:rPr>
          <w:rFonts w:ascii="Calibri" w:hAnsi="Calibri"/>
          <w:color w:val="2E75B6"/>
          <w:sz w:val="40"/>
        </w:rPr>
        <w:t>Technical Design Document</w:t>
      </w:r>
    </w:p>
    <w:p/>
    <w:p/>
    <w:p>
      <w:pPr>
        <w:jc w:val="center"/>
      </w:pPr>
      <w:r>
        <w:rPr>
          <w:rFonts w:ascii="Calibri" w:hAnsi="Calibri"/>
          <w:b/>
          <w:color w:val="404040"/>
          <w:sz w:val="22"/>
        </w:rPr>
        <w:t xml:space="preserve">Document Version: </w:t>
      </w:r>
      <w:r>
        <w:rPr>
          <w:rFonts w:ascii="Calibri" w:hAnsi="Calibri"/>
          <w:color w:val="2E75B6"/>
          <w:sz w:val="22"/>
        </w:rPr>
        <w:t>v1.0</w:t>
      </w:r>
    </w:p>
    <w:p>
      <w:pPr>
        <w:jc w:val="center"/>
      </w:pPr>
      <w:r>
        <w:rPr>
          <w:rFonts w:ascii="Calibri" w:hAnsi="Calibri"/>
          <w:b/>
          <w:color w:val="404040"/>
          <w:sz w:val="22"/>
        </w:rPr>
        <w:t xml:space="preserve">Status: </w:t>
      </w:r>
      <w:r>
        <w:rPr>
          <w:rFonts w:ascii="Calibri" w:hAnsi="Calibri"/>
          <w:color w:val="2E75B6"/>
          <w:sz w:val="22"/>
        </w:rPr>
        <w:t>Draft for Review</w:t>
      </w:r>
    </w:p>
    <w:p>
      <w:pPr>
        <w:jc w:val="center"/>
      </w:pPr>
      <w:r>
        <w:rPr>
          <w:rFonts w:ascii="Calibri" w:hAnsi="Calibri"/>
          <w:b/>
          <w:color w:val="404040"/>
          <w:sz w:val="22"/>
        </w:rPr>
        <w:t xml:space="preserve">Prepared By: </w:t>
      </w:r>
      <w:r>
        <w:rPr>
          <w:rFonts w:ascii="Calibri" w:hAnsi="Calibri"/>
          <w:color w:val="2E75B6"/>
          <w:sz w:val="22"/>
        </w:rPr>
        <w:t>Enterprise Architecture Team</w:t>
      </w:r>
    </w:p>
    <w:p>
      <w:pPr>
        <w:jc w:val="center"/>
      </w:pPr>
      <w:r>
        <w:rPr>
          <w:rFonts w:ascii="Calibri" w:hAnsi="Calibri"/>
          <w:b/>
          <w:color w:val="404040"/>
          <w:sz w:val="22"/>
        </w:rPr>
        <w:t xml:space="preserve">Date: </w:t>
      </w:r>
      <w:r>
        <w:rPr>
          <w:rFonts w:ascii="Calibri" w:hAnsi="Calibri"/>
          <w:color w:val="2E75B6"/>
          <w:sz w:val="22"/>
        </w:rPr>
        <w:t>July 2025</w:t>
      </w:r>
    </w:p>
    <w:p>
      <w:pPr>
        <w:jc w:val="center"/>
      </w:pPr>
      <w:r>
        <w:rPr>
          <w:rFonts w:ascii="Calibri" w:hAnsi="Calibri"/>
          <w:b/>
          <w:color w:val="404040"/>
          <w:sz w:val="22"/>
        </w:rPr>
        <w:t xml:space="preserve">Classification: </w:t>
      </w:r>
      <w:r>
        <w:rPr>
          <w:rFonts w:ascii="Calibri" w:hAnsi="Calibri"/>
          <w:color w:val="2E75B6"/>
          <w:sz w:val="22"/>
        </w:rPr>
        <w:t>Internal – Confidential</w:t>
      </w:r>
    </w:p>
    <w:p>
      <w:r>
        <w:br w:type="page"/>
      </w:r>
    </w:p>
    <w:p>
      <w:pPr>
        <w:pStyle w:val="Heading1"/>
        <w:spacing w:before="280" w:after="120"/>
      </w:pPr>
      <w:r>
        <w:rPr>
          <w:rFonts w:ascii="Calibri" w:hAnsi="Calibri"/>
          <w:color w:val="1F3964"/>
          <w:sz w:val="32"/>
        </w:rPr>
        <w:t>Table of Contents</w:t>
      </w:r>
    </w:p>
    <w:p>
      <w:pPr>
        <w:spacing w:after="60"/>
      </w:pPr>
      <w:r>
        <w:rPr>
          <w:rFonts w:ascii="Calibri" w:hAnsi="Calibri"/>
          <w:b/>
          <w:color w:val="1F3964"/>
          <w:sz w:val="20"/>
        </w:rPr>
        <w:t>1.  Executive Summary</w:t>
      </w:r>
    </w:p>
    <w:p>
      <w:pPr>
        <w:spacing w:after="60"/>
      </w:pPr>
      <w:r>
        <w:rPr>
          <w:rFonts w:ascii="Calibri" w:hAnsi="Calibri"/>
          <w:b/>
          <w:color w:val="1F3964"/>
          <w:sz w:val="20"/>
        </w:rPr>
        <w:t>2.  Project Overview</w:t>
      </w:r>
    </w:p>
    <w:p>
      <w:pPr>
        <w:spacing w:after="60"/>
      </w:pPr>
      <w:r>
        <w:rPr>
          <w:rFonts w:ascii="Calibri" w:hAnsi="Calibri"/>
          <w:color w:val="404040"/>
          <w:sz w:val="20"/>
        </w:rPr>
        <w:t xml:space="preserve">  2.1  Current State Architecture</w:t>
      </w:r>
    </w:p>
    <w:p>
      <w:pPr>
        <w:spacing w:after="60"/>
      </w:pPr>
      <w:r>
        <w:rPr>
          <w:rFonts w:ascii="Calibri" w:hAnsi="Calibri"/>
          <w:color w:val="404040"/>
          <w:sz w:val="20"/>
        </w:rPr>
        <w:t xml:space="preserve">  2.2  Target Microservices Architecture</w:t>
      </w:r>
    </w:p>
    <w:p>
      <w:pPr>
        <w:spacing w:after="60"/>
      </w:pPr>
      <w:r>
        <w:rPr>
          <w:rFonts w:ascii="Calibri" w:hAnsi="Calibri"/>
          <w:color w:val="404040"/>
          <w:sz w:val="20"/>
        </w:rPr>
        <w:t xml:space="preserve">  2.3  Business Drivers and Rationale</w:t>
      </w:r>
    </w:p>
    <w:p>
      <w:pPr>
        <w:spacing w:after="60"/>
      </w:pPr>
      <w:r>
        <w:rPr>
          <w:rFonts w:ascii="Calibri" w:hAnsi="Calibri"/>
          <w:color w:val="404040"/>
          <w:sz w:val="20"/>
        </w:rPr>
        <w:t xml:space="preserve">  2.4  Success Criteria</w:t>
      </w:r>
    </w:p>
    <w:p>
      <w:pPr>
        <w:spacing w:after="60"/>
      </w:pPr>
      <w:r>
        <w:rPr>
          <w:rFonts w:ascii="Calibri" w:hAnsi="Calibri"/>
          <w:b/>
          <w:color w:val="1F3964"/>
          <w:sz w:val="20"/>
        </w:rPr>
        <w:t>3.  Architecture Design</w:t>
      </w:r>
    </w:p>
    <w:p>
      <w:pPr>
        <w:spacing w:after="60"/>
      </w:pPr>
      <w:r>
        <w:rPr>
          <w:rFonts w:ascii="Calibri" w:hAnsi="Calibri"/>
          <w:color w:val="404040"/>
          <w:sz w:val="20"/>
        </w:rPr>
        <w:t xml:space="preserve">  3.1  Current Monolithic Architecture Components</w:t>
      </w:r>
    </w:p>
    <w:p>
      <w:pPr>
        <w:spacing w:after="60"/>
      </w:pPr>
      <w:r>
        <w:rPr>
          <w:rFonts w:ascii="Calibri" w:hAnsi="Calibri"/>
          <w:color w:val="404040"/>
          <w:sz w:val="20"/>
        </w:rPr>
        <w:t xml:space="preserve">  3.2  Target Microservices Architecture Components</w:t>
      </w:r>
    </w:p>
    <w:p>
      <w:pPr>
        <w:spacing w:after="60"/>
      </w:pPr>
      <w:r>
        <w:rPr>
          <w:rFonts w:ascii="Calibri" w:hAnsi="Calibri"/>
          <w:color w:val="404040"/>
          <w:sz w:val="20"/>
        </w:rPr>
        <w:t xml:space="preserve">  3.3  Integration Patterns and API Gateway Design</w:t>
      </w:r>
    </w:p>
    <w:p>
      <w:pPr>
        <w:spacing w:after="60"/>
      </w:pPr>
      <w:r>
        <w:rPr>
          <w:rFonts w:ascii="Calibri" w:hAnsi="Calibri"/>
          <w:color w:val="404040"/>
          <w:sz w:val="20"/>
        </w:rPr>
        <w:t xml:space="preserve">  3.4  Data Architecture and Database Strategy</w:t>
      </w:r>
    </w:p>
    <w:p>
      <w:pPr>
        <w:spacing w:after="60"/>
      </w:pPr>
      <w:r>
        <w:rPr>
          <w:rFonts w:ascii="Calibri" w:hAnsi="Calibri"/>
          <w:b/>
          <w:color w:val="1F3964"/>
          <w:sz w:val="20"/>
        </w:rPr>
        <w:t>4.  Migration Strategy</w:t>
      </w:r>
    </w:p>
    <w:p>
      <w:pPr>
        <w:spacing w:after="60"/>
      </w:pPr>
      <w:r>
        <w:rPr>
          <w:rFonts w:ascii="Calibri" w:hAnsi="Calibri"/>
          <w:b/>
          <w:color w:val="1F3964"/>
          <w:sz w:val="20"/>
        </w:rPr>
        <w:t>5.  Timeline</w:t>
      </w:r>
    </w:p>
    <w:p>
      <w:pPr>
        <w:spacing w:after="60"/>
      </w:pPr>
      <w:r>
        <w:rPr>
          <w:rFonts w:ascii="Calibri" w:hAnsi="Calibri"/>
          <w:b/>
          <w:color w:val="1F3964"/>
          <w:sz w:val="20"/>
        </w:rPr>
        <w:t>6.  Risk Matrix</w:t>
      </w:r>
    </w:p>
    <w:p>
      <w:pPr>
        <w:spacing w:after="60"/>
      </w:pPr>
      <w:r>
        <w:rPr>
          <w:rFonts w:ascii="Calibri" w:hAnsi="Calibri"/>
          <w:b/>
          <w:color w:val="1F3964"/>
          <w:sz w:val="20"/>
        </w:rPr>
        <w:t>7.  Technical Considerations</w:t>
      </w:r>
    </w:p>
    <w:p>
      <w:pPr>
        <w:spacing w:after="60"/>
      </w:pPr>
      <w:r>
        <w:rPr>
          <w:rFonts w:ascii="Calibri" w:hAnsi="Calibri"/>
          <w:b/>
          <w:color w:val="1F3964"/>
          <w:sz w:val="20"/>
        </w:rPr>
        <w:t>8.  Resource Requirements</w:t>
      </w:r>
    </w:p>
    <w:p>
      <w:pPr>
        <w:spacing w:after="60"/>
      </w:pPr>
      <w:r>
        <w:rPr>
          <w:rFonts w:ascii="Calibri" w:hAnsi="Calibri"/>
          <w:b/>
          <w:color w:val="1F3964"/>
          <w:sz w:val="20"/>
        </w:rPr>
        <w:t>9.  Success Metrics and KPIs</w:t>
      </w:r>
    </w:p>
    <w:p>
      <w:pPr>
        <w:spacing w:after="60"/>
      </w:pPr>
      <w:r>
        <w:rPr>
          <w:rFonts w:ascii="Calibri" w:hAnsi="Calibri"/>
          <w:b/>
          <w:color w:val="1F3964"/>
          <w:sz w:val="20"/>
        </w:rPr>
        <w:t>10.  Appendices</w:t>
      </w:r>
    </w:p>
    <w:p>
      <w:r>
        <w:br w:type="page"/>
      </w:r>
    </w:p>
    <w:p>
      <w:pPr>
        <w:pStyle w:val="Heading1"/>
        <w:spacing w:before="280" w:after="120"/>
      </w:pPr>
      <w:r>
        <w:rPr>
          <w:rFonts w:ascii="Calibri" w:hAnsi="Calibri"/>
          <w:color w:val="1F3964"/>
          <w:sz w:val="32"/>
        </w:rPr>
        <w:t>1. Executive Summary</w:t>
      </w:r>
    </w:p>
    <w:p>
      <w:pPr>
        <w:spacing w:after="120" w:before="40"/>
      </w:pPr>
      <w:r>
        <w:rPr>
          <w:rFonts w:ascii="Calibri" w:hAnsi="Calibri"/>
          <w:b w:val="0"/>
          <w:i w:val="0"/>
          <w:color w:val="404040"/>
          <w:sz w:val="20"/>
        </w:rPr>
        <w:t>This Technical Design Document (TDD) presents the comprehensive plan for migrating the existing monolithic enterprise application to a cloud-native microservices architecture. The migration initiative is driven by the need to address scalability constraints, accelerate the pace of feature delivery, and align the technology landscape with modern engineering best practices.</w:t>
      </w:r>
    </w:p>
    <w:p>
      <w:pPr>
        <w:spacing w:after="120" w:before="40"/>
      </w:pPr>
      <w:r>
        <w:rPr>
          <w:rFonts w:ascii="Calibri" w:hAnsi="Calibri"/>
          <w:b w:val="0"/>
          <w:i w:val="0"/>
          <w:color w:val="404040"/>
          <w:sz w:val="20"/>
        </w:rPr>
        <w:t>The current monolithic system—comprising tightly coupled modules for order management, inventory, customer management, billing, and reporting—has reached a critical inflection point. Deployment cycles that once took days now take weeks, a single component failure threatens the entire platform, and the cost of horizontal scaling is prohibitively high. The migration to microservices will decompose these modules into independently deployable, loosely coupled services, each owning its data and exposing well-defined APIs.</w:t>
      </w:r>
    </w:p>
    <w:p>
      <w:pPr>
        <w:spacing w:after="120" w:before="40"/>
      </w:pPr>
      <w:r>
        <w:rPr>
          <w:rFonts w:ascii="Calibri" w:hAnsi="Calibri"/>
          <w:b w:val="0"/>
          <w:i w:val="0"/>
          <w:color w:val="404040"/>
          <w:sz w:val="20"/>
        </w:rPr>
        <w:t>Expected outcomes of this initiative include a 60% reduction in mean time to deploy (MTD), a 40% improvement in system availability (targeting 99.95% SLA), independent scalability of individual services, and a marked improvement in developer productivity through smaller, autonomous team ownership. The migration will be executed in six structured phases over an estimated 18-month programme, employing the Strangler Fig pattern to minimise business disruption and provide clear rollback checkpoints at each phase.</w:t>
      </w:r>
    </w:p>
    <w:p>
      <w:r>
        <w:br w:type="page"/>
      </w:r>
    </w:p>
    <w:p>
      <w:pPr>
        <w:pStyle w:val="Heading1"/>
        <w:spacing w:before="280" w:after="120"/>
      </w:pPr>
      <w:r>
        <w:rPr>
          <w:rFonts w:ascii="Calibri" w:hAnsi="Calibri"/>
          <w:color w:val="1F3964"/>
          <w:sz w:val="32"/>
        </w:rPr>
        <w:t>2. Project Overview</w:t>
      </w:r>
    </w:p>
    <w:p>
      <w:pPr>
        <w:pStyle w:val="Heading2"/>
        <w:spacing w:before="200" w:after="120"/>
      </w:pPr>
      <w:r>
        <w:rPr>
          <w:rFonts w:ascii="Calibri" w:hAnsi="Calibri"/>
          <w:color w:val="2E75B6"/>
          <w:sz w:val="26"/>
        </w:rPr>
        <w:t>2.1  Current State Architecture</w:t>
      </w:r>
    </w:p>
    <w:p>
      <w:pPr>
        <w:spacing w:after="120" w:before="40"/>
      </w:pPr>
      <w:r>
        <w:rPr>
          <w:rFonts w:ascii="Calibri" w:hAnsi="Calibri"/>
          <w:b w:val="0"/>
          <w:i w:val="0"/>
          <w:color w:val="404040"/>
          <w:sz w:val="20"/>
        </w:rPr>
        <w:t>The existing platform is a Java EE monolithic application deployed on a cluster of on-premises WebLogic application servers backed by a single Oracle 19c relational database. All business domains share a common codebase, a unified deployment pipeline, and a centralised data store. Key characteristics of the current state include:</w:t>
      </w:r>
    </w:p>
    <w:p>
      <w:pPr>
        <w:pStyle w:val="ListBullet"/>
        <w:spacing w:after="60"/>
        <w:ind w:left="360"/>
      </w:pPr>
      <w:r>
        <w:rPr>
          <w:rFonts w:ascii="Calibri" w:hAnsi="Calibri"/>
          <w:color w:val="404040"/>
          <w:sz w:val="19"/>
        </w:rPr>
        <w:t>Single deployable WAR/EAR artifact containing all business logic across six functional domains.</w:t>
      </w:r>
    </w:p>
    <w:p>
      <w:pPr>
        <w:pStyle w:val="ListBullet"/>
        <w:spacing w:after="60"/>
        <w:ind w:left="360"/>
      </w:pPr>
      <w:r>
        <w:rPr>
          <w:rFonts w:ascii="Calibri" w:hAnsi="Calibri"/>
          <w:color w:val="404040"/>
          <w:sz w:val="19"/>
        </w:rPr>
        <w:t>Shared Oracle 19c database with 380+ tables and tightly coupled schema relationships.</w:t>
      </w:r>
    </w:p>
    <w:p>
      <w:pPr>
        <w:pStyle w:val="ListBullet"/>
        <w:spacing w:after="60"/>
        <w:ind w:left="360"/>
      </w:pPr>
      <w:r>
        <w:rPr>
          <w:rFonts w:ascii="Calibri" w:hAnsi="Calibri"/>
          <w:color w:val="404040"/>
          <w:sz w:val="19"/>
        </w:rPr>
        <w:t>Monolithic session management via centralised HTTP sessions on WebLogic clusters.</w:t>
      </w:r>
    </w:p>
    <w:p>
      <w:pPr>
        <w:pStyle w:val="ListBullet"/>
        <w:spacing w:after="60"/>
        <w:ind w:left="360"/>
      </w:pPr>
      <w:r>
        <w:rPr>
          <w:rFonts w:ascii="Calibri" w:hAnsi="Calibri"/>
          <w:color w:val="404040"/>
          <w:sz w:val="19"/>
        </w:rPr>
        <w:t>Batch processing handled by Quartz Scheduler embedded within the application.</w:t>
      </w:r>
    </w:p>
    <w:p>
      <w:pPr>
        <w:pStyle w:val="ListBullet"/>
        <w:spacing w:after="60"/>
        <w:ind w:left="360"/>
      </w:pPr>
      <w:r>
        <w:rPr>
          <w:rFonts w:ascii="Calibri" w:hAnsi="Calibri"/>
          <w:color w:val="404040"/>
          <w:sz w:val="19"/>
        </w:rPr>
        <w:t>External integrations managed through point-to-point SOAP/REST calls with no intermediary.</w:t>
      </w:r>
    </w:p>
    <w:p>
      <w:pPr>
        <w:pStyle w:val="ListBullet"/>
        <w:spacing w:after="60"/>
        <w:ind w:left="360"/>
      </w:pPr>
      <w:r>
        <w:rPr>
          <w:rFonts w:ascii="Calibri" w:hAnsi="Calibri"/>
          <w:color w:val="404040"/>
          <w:sz w:val="19"/>
        </w:rPr>
        <w:t>No container orchestration; deployments are manual and error-prone, averaging 4–6 hours.</w:t>
      </w:r>
    </w:p>
    <w:p>
      <w:pPr>
        <w:pStyle w:val="ListBullet"/>
        <w:spacing w:after="60"/>
        <w:ind w:left="360"/>
      </w:pPr>
      <w:r>
        <w:rPr>
          <w:rFonts w:ascii="Calibri" w:hAnsi="Calibri"/>
          <w:color w:val="404040"/>
          <w:sz w:val="19"/>
        </w:rPr>
        <w:t>Limited horizontal scalability — the entire application must scale even if only one domain is under load.</w:t>
      </w:r>
    </w:p>
    <w:p>
      <w:pPr>
        <w:pStyle w:val="Heading2"/>
        <w:spacing w:before="200" w:after="120"/>
      </w:pPr>
      <w:r>
        <w:rPr>
          <w:rFonts w:ascii="Calibri" w:hAnsi="Calibri"/>
          <w:color w:val="2E75B6"/>
          <w:sz w:val="26"/>
        </w:rPr>
        <w:t>2.2  Target Microservices Architecture</w:t>
      </w:r>
    </w:p>
    <w:p>
      <w:pPr>
        <w:spacing w:after="120" w:before="40"/>
      </w:pPr>
      <w:r>
        <w:rPr>
          <w:rFonts w:ascii="Calibri" w:hAnsi="Calibri"/>
          <w:b w:val="0"/>
          <w:i w:val="0"/>
          <w:color w:val="404040"/>
          <w:sz w:val="20"/>
        </w:rPr>
        <w:t>The target architecture decomposes the monolith into twelve domain-aligned microservices deployed on a Kubernetes (EKS) cluster on AWS. Each service is independently deployable, owns its data store, communicates via well-defined REST/gRPC APIs or asynchronous events (Apache Kafka), and is managed through a fully automated CI/CD pipeline. Key architectural attributes include:</w:t>
      </w:r>
    </w:p>
    <w:p>
      <w:pPr>
        <w:pStyle w:val="ListBullet"/>
        <w:spacing w:after="60"/>
        <w:ind w:left="360"/>
      </w:pPr>
      <w:r>
        <w:rPr>
          <w:rFonts w:ascii="Calibri" w:hAnsi="Calibri"/>
          <w:color w:val="404040"/>
          <w:sz w:val="19"/>
        </w:rPr>
        <w:t>Twelve bounded-context services aligned to Domain-Driven Design (DDD) principles.</w:t>
      </w:r>
    </w:p>
    <w:p>
      <w:pPr>
        <w:pStyle w:val="ListBullet"/>
        <w:spacing w:after="60"/>
        <w:ind w:left="360"/>
      </w:pPr>
      <w:r>
        <w:rPr>
          <w:rFonts w:ascii="Calibri" w:hAnsi="Calibri"/>
          <w:color w:val="404040"/>
          <w:sz w:val="19"/>
        </w:rPr>
        <w:t>API Gateway (AWS API Gateway + Kong) providing unified ingress, authentication, and rate limiting.</w:t>
      </w:r>
    </w:p>
    <w:p>
      <w:pPr>
        <w:pStyle w:val="ListBullet"/>
        <w:spacing w:after="60"/>
        <w:ind w:left="360"/>
      </w:pPr>
      <w:r>
        <w:rPr>
          <w:rFonts w:ascii="Calibri" w:hAnsi="Calibri"/>
          <w:color w:val="404040"/>
          <w:sz w:val="19"/>
        </w:rPr>
        <w:t>Event-driven architecture using Apache Kafka for asynchronous inter-service communication.</w:t>
      </w:r>
    </w:p>
    <w:p>
      <w:pPr>
        <w:pStyle w:val="ListBullet"/>
        <w:spacing w:after="60"/>
        <w:ind w:left="360"/>
      </w:pPr>
      <w:r>
        <w:rPr>
          <w:rFonts w:ascii="Calibri" w:hAnsi="Calibri"/>
          <w:color w:val="404040"/>
          <w:sz w:val="19"/>
        </w:rPr>
        <w:t>Per-service databases following the Database-per-Service pattern (PostgreSQL, MongoDB, Redis).</w:t>
      </w:r>
    </w:p>
    <w:p>
      <w:pPr>
        <w:pStyle w:val="ListBullet"/>
        <w:spacing w:after="60"/>
        <w:ind w:left="360"/>
      </w:pPr>
      <w:r>
        <w:rPr>
          <w:rFonts w:ascii="Calibri" w:hAnsi="Calibri"/>
          <w:color w:val="404040"/>
          <w:sz w:val="19"/>
        </w:rPr>
        <w:t>Service mesh (Istio) for mTLS, traffic management, and observability.</w:t>
      </w:r>
    </w:p>
    <w:p>
      <w:pPr>
        <w:pStyle w:val="ListBullet"/>
        <w:spacing w:after="60"/>
        <w:ind w:left="360"/>
      </w:pPr>
      <w:r>
        <w:rPr>
          <w:rFonts w:ascii="Calibri" w:hAnsi="Calibri"/>
          <w:color w:val="404040"/>
          <w:sz w:val="19"/>
        </w:rPr>
        <w:t>Centralised observability stack: Prometheus, Grafana, Jaeger (distributed tracing), and ELK.</w:t>
      </w:r>
    </w:p>
    <w:p>
      <w:pPr>
        <w:pStyle w:val="ListBullet"/>
        <w:spacing w:after="60"/>
        <w:ind w:left="360"/>
      </w:pPr>
      <w:r>
        <w:rPr>
          <w:rFonts w:ascii="Calibri" w:hAnsi="Calibri"/>
          <w:color w:val="404040"/>
          <w:sz w:val="19"/>
        </w:rPr>
        <w:t>GitOps-based deployment using ArgoCD with automated canary releases and rollback.</w:t>
      </w:r>
    </w:p>
    <w:p>
      <w:pPr>
        <w:pStyle w:val="Heading2"/>
        <w:spacing w:before="200" w:after="120"/>
      </w:pPr>
      <w:r>
        <w:rPr>
          <w:rFonts w:ascii="Calibri" w:hAnsi="Calibri"/>
          <w:color w:val="2E75B6"/>
          <w:sz w:val="26"/>
        </w:rPr>
        <w:t>2.3  Business Drivers and Rationale</w:t>
      </w:r>
    </w:p>
    <w:p>
      <w:pPr>
        <w:pStyle w:val="ListBullet"/>
        <w:spacing w:after="60"/>
        <w:ind w:left="360"/>
      </w:pPr>
      <w:r>
        <w:rPr>
          <w:rFonts w:ascii="Calibri" w:hAnsi="Calibri"/>
          <w:color w:val="404040"/>
          <w:sz w:val="19"/>
        </w:rPr>
        <w:t>Scalability: Inability to scale individual modules leads to over-provisioning and high infrastructure costs.</w:t>
      </w:r>
    </w:p>
    <w:p>
      <w:pPr>
        <w:pStyle w:val="ListBullet"/>
        <w:spacing w:after="60"/>
        <w:ind w:left="360"/>
      </w:pPr>
      <w:r>
        <w:rPr>
          <w:rFonts w:ascii="Calibri" w:hAnsi="Calibri"/>
          <w:color w:val="404040"/>
          <w:sz w:val="19"/>
        </w:rPr>
        <w:t>Deployment Velocity: Release cycles average 3–4 weeks; competitors release multiple times per day.</w:t>
      </w:r>
    </w:p>
    <w:p>
      <w:pPr>
        <w:pStyle w:val="ListBullet"/>
        <w:spacing w:after="60"/>
        <w:ind w:left="360"/>
      </w:pPr>
      <w:r>
        <w:rPr>
          <w:rFonts w:ascii="Calibri" w:hAnsi="Calibri"/>
          <w:color w:val="404040"/>
          <w:sz w:val="19"/>
        </w:rPr>
        <w:t>Reliability: A single defect in any module can cause a full platform outage (current MTTR: ~6 hours).</w:t>
      </w:r>
    </w:p>
    <w:p>
      <w:pPr>
        <w:pStyle w:val="ListBullet"/>
        <w:spacing w:after="60"/>
        <w:ind w:left="360"/>
      </w:pPr>
      <w:r>
        <w:rPr>
          <w:rFonts w:ascii="Calibri" w:hAnsi="Calibri"/>
          <w:color w:val="404040"/>
          <w:sz w:val="19"/>
        </w:rPr>
        <w:t>Talent Acquisition: Engineers increasingly prefer cloud-native, container-based technology stacks.</w:t>
      </w:r>
    </w:p>
    <w:p>
      <w:pPr>
        <w:pStyle w:val="ListBullet"/>
        <w:spacing w:after="60"/>
        <w:ind w:left="360"/>
      </w:pPr>
      <w:r>
        <w:rPr>
          <w:rFonts w:ascii="Calibri" w:hAnsi="Calibri"/>
          <w:color w:val="404040"/>
          <w:sz w:val="19"/>
        </w:rPr>
        <w:t>Regulatory Compliance: Isolated services simplify PCI-DSS and GDPR data boundary enforcement.</w:t>
      </w:r>
    </w:p>
    <w:p>
      <w:pPr>
        <w:pStyle w:val="ListBullet"/>
        <w:spacing w:after="60"/>
        <w:ind w:left="360"/>
      </w:pPr>
      <w:r>
        <w:rPr>
          <w:rFonts w:ascii="Calibri" w:hAnsi="Calibri"/>
          <w:color w:val="404040"/>
          <w:sz w:val="19"/>
        </w:rPr>
        <w:t>Cost Optimisation: Fine-grained autoscaling reduces compute costs estimated at 35% annually.</w:t>
      </w:r>
    </w:p>
    <w:p>
      <w:pPr>
        <w:pStyle w:val="Heading2"/>
        <w:spacing w:before="200" w:after="120"/>
      </w:pPr>
      <w:r>
        <w:rPr>
          <w:rFonts w:ascii="Calibri" w:hAnsi="Calibri"/>
          <w:color w:val="2E75B6"/>
          <w:sz w:val="26"/>
        </w:rPr>
        <w:t>2.4  Success Criteria</w:t>
      </w:r>
    </w:p>
    <w:p>
      <w:pPr>
        <w:pStyle w:val="ListBullet"/>
        <w:spacing w:after="60"/>
        <w:ind w:left="360"/>
      </w:pPr>
      <w:r>
        <w:rPr>
          <w:rFonts w:ascii="Calibri" w:hAnsi="Calibri"/>
          <w:color w:val="404040"/>
          <w:sz w:val="19"/>
        </w:rPr>
        <w:t>All twelve microservices deployed to production with zero data loss.</w:t>
      </w:r>
    </w:p>
    <w:p>
      <w:pPr>
        <w:pStyle w:val="ListBullet"/>
        <w:spacing w:after="60"/>
        <w:ind w:left="360"/>
      </w:pPr>
      <w:r>
        <w:rPr>
          <w:rFonts w:ascii="Calibri" w:hAnsi="Calibri"/>
          <w:color w:val="404040"/>
          <w:sz w:val="19"/>
        </w:rPr>
        <w:t>System availability ≥ 99.95% measured over a 30-day post-migration window.</w:t>
      </w:r>
    </w:p>
    <w:p>
      <w:pPr>
        <w:pStyle w:val="ListBullet"/>
        <w:spacing w:after="60"/>
        <w:ind w:left="360"/>
      </w:pPr>
      <w:r>
        <w:rPr>
          <w:rFonts w:ascii="Calibri" w:hAnsi="Calibri"/>
          <w:color w:val="404040"/>
          <w:sz w:val="19"/>
        </w:rPr>
        <w:t>Mean time to deploy (MTD) reduced from ~4 hours to &lt; 15 minutes.</w:t>
      </w:r>
    </w:p>
    <w:p>
      <w:pPr>
        <w:pStyle w:val="ListBullet"/>
        <w:spacing w:after="60"/>
        <w:ind w:left="360"/>
      </w:pPr>
      <w:r>
        <w:rPr>
          <w:rFonts w:ascii="Calibri" w:hAnsi="Calibri"/>
          <w:color w:val="404040"/>
          <w:sz w:val="19"/>
        </w:rPr>
        <w:t>Independent scalability demonstrated under peak load testing for each service.</w:t>
      </w:r>
    </w:p>
    <w:p>
      <w:pPr>
        <w:pStyle w:val="ListBullet"/>
        <w:spacing w:after="60"/>
        <w:ind w:left="360"/>
      </w:pPr>
      <w:r>
        <w:rPr>
          <w:rFonts w:ascii="Calibri" w:hAnsi="Calibri"/>
          <w:color w:val="404040"/>
          <w:sz w:val="19"/>
        </w:rPr>
        <w:t>All existing integration touchpoints validated with downstream systems.</w:t>
      </w:r>
    </w:p>
    <w:p>
      <w:pPr>
        <w:pStyle w:val="ListBullet"/>
        <w:spacing w:after="60"/>
        <w:ind w:left="360"/>
      </w:pPr>
      <w:r>
        <w:rPr>
          <w:rFonts w:ascii="Calibri" w:hAnsi="Calibri"/>
          <w:color w:val="404040"/>
          <w:sz w:val="19"/>
        </w:rPr>
        <w:t>Full rollback capability maintained at each migration phase gate.</w:t>
      </w:r>
    </w:p>
    <w:p>
      <w:pPr>
        <w:pStyle w:val="ListBullet"/>
        <w:spacing w:after="60"/>
        <w:ind w:left="360"/>
      </w:pPr>
      <w:r>
        <w:rPr>
          <w:rFonts w:ascii="Calibri" w:hAnsi="Calibri"/>
          <w:color w:val="404040"/>
          <w:sz w:val="19"/>
        </w:rPr>
        <w:t>Developer onboarding time reduced by 50% through service isolation.</w:t>
      </w:r>
    </w:p>
    <w:p>
      <w:r>
        <w:br w:type="page"/>
      </w:r>
    </w:p>
    <w:p>
      <w:pPr>
        <w:pStyle w:val="Heading1"/>
        <w:spacing w:before="280" w:after="120"/>
      </w:pPr>
      <w:r>
        <w:rPr>
          <w:rFonts w:ascii="Calibri" w:hAnsi="Calibri"/>
          <w:color w:val="1F3964"/>
          <w:sz w:val="32"/>
        </w:rPr>
        <w:t>3. Architecture Design</w:t>
      </w:r>
    </w:p>
    <w:p>
      <w:pPr>
        <w:pStyle w:val="Heading2"/>
        <w:spacing w:before="200" w:after="120"/>
      </w:pPr>
      <w:r>
        <w:rPr>
          <w:rFonts w:ascii="Calibri" w:hAnsi="Calibri"/>
          <w:color w:val="2E75B6"/>
          <w:sz w:val="26"/>
        </w:rPr>
        <w:t>3.1  Current Monolithic Architecture Components</w:t>
      </w:r>
    </w:p>
    <w:p>
      <w:pPr>
        <w:spacing w:after="120" w:before="40"/>
      </w:pPr>
      <w:r>
        <w:rPr>
          <w:rFonts w:ascii="Calibri" w:hAnsi="Calibri"/>
          <w:b w:val="0"/>
          <w:i w:val="0"/>
          <w:color w:val="404040"/>
          <w:sz w:val="20"/>
        </w:rPr>
        <w:t>The table below catalogues all identifiable components within the current monolithic system, their technology stack, dependencies, and functional description.</w:t>
      </w:r>
    </w:p>
    <w:tbl>
      <w:tblPr>
        <w:tblStyle w:val="TableGrid"/>
        <w:tblW w:type="auto" w:w="0"/>
        <w:jc w:val="center"/>
        <w:tblLook w:firstColumn="1" w:firstRow="1" w:lastColumn="0" w:lastRow="0" w:noHBand="0" w:noVBand="1" w:val="04A0"/>
      </w:tblPr>
      <w:tblGrid>
        <w:gridCol w:w="1786"/>
        <w:gridCol w:w="1786"/>
        <w:gridCol w:w="1786"/>
        <w:gridCol w:w="1786"/>
        <w:gridCol w:w="1786"/>
      </w:tblGrid>
      <w:tr>
        <w:tc>
          <w:tcPr>
            <w:tcW w:type="dxa" w:w="2160"/>
            <w:shd w:val="clear" w:color="auto" w:fill="1F3964"/>
          </w:tcPr>
          <w:p>
            <w:pPr>
              <w:jc w:val="center"/>
            </w:pPr>
            <w:r/>
            <w:r>
              <w:rPr>
                <w:rFonts w:ascii="Calibri" w:hAnsi="Calibri"/>
                <w:b/>
                <w:color w:val="FFFFFF"/>
                <w:sz w:val="18"/>
              </w:rPr>
              <w:t>Component Name</w:t>
            </w:r>
          </w:p>
        </w:tc>
        <w:tc>
          <w:tcPr>
            <w:tcW w:type="dxa" w:w="1584"/>
            <w:shd w:val="clear" w:color="auto" w:fill="1F3964"/>
          </w:tcPr>
          <w:p>
            <w:pPr>
              <w:jc w:val="center"/>
            </w:pPr>
            <w:r/>
            <w:r>
              <w:rPr>
                <w:rFonts w:ascii="Calibri" w:hAnsi="Calibri"/>
                <w:b/>
                <w:color w:val="FFFFFF"/>
                <w:sz w:val="18"/>
              </w:rPr>
              <w:t>Type</w:t>
            </w:r>
          </w:p>
        </w:tc>
        <w:tc>
          <w:tcPr>
            <w:tcW w:type="dxa" w:w="2016"/>
            <w:shd w:val="clear" w:color="auto" w:fill="1F3964"/>
          </w:tcPr>
          <w:p>
            <w:pPr>
              <w:jc w:val="center"/>
            </w:pPr>
            <w:r/>
            <w:r>
              <w:rPr>
                <w:rFonts w:ascii="Calibri" w:hAnsi="Calibri"/>
                <w:b/>
                <w:color w:val="FFFFFF"/>
                <w:sz w:val="18"/>
              </w:rPr>
              <w:t>Technology Stack</w:t>
            </w:r>
          </w:p>
        </w:tc>
        <w:tc>
          <w:tcPr>
            <w:tcW w:type="dxa" w:w="2304"/>
            <w:shd w:val="clear" w:color="auto" w:fill="1F3964"/>
          </w:tcPr>
          <w:p>
            <w:pPr>
              <w:jc w:val="center"/>
            </w:pPr>
            <w:r/>
            <w:r>
              <w:rPr>
                <w:rFonts w:ascii="Calibri" w:hAnsi="Calibri"/>
                <w:b/>
                <w:color w:val="FFFFFF"/>
                <w:sz w:val="18"/>
              </w:rPr>
              <w:t>Dependencies</w:t>
            </w:r>
          </w:p>
        </w:tc>
        <w:tc>
          <w:tcPr>
            <w:tcW w:type="dxa" w:w="3312"/>
            <w:shd w:val="clear" w:color="auto" w:fill="1F3964"/>
          </w:tcPr>
          <w:p>
            <w:pPr>
              <w:jc w:val="center"/>
            </w:pPr>
            <w:r/>
            <w:r>
              <w:rPr>
                <w:rFonts w:ascii="Calibri" w:hAnsi="Calibri"/>
                <w:b/>
                <w:color w:val="FFFFFF"/>
                <w:sz w:val="18"/>
              </w:rPr>
              <w:t>Description</w:t>
            </w:r>
          </w:p>
        </w:tc>
      </w:tr>
      <w:tr>
        <w:tc>
          <w:tcPr>
            <w:tcW w:type="dxa" w:w="2160"/>
            <w:shd w:val="clear" w:color="auto" w:fill="FFFFFF"/>
          </w:tcPr>
          <w:p>
            <w:pPr>
              <w:jc w:val="left"/>
            </w:pPr>
            <w:r/>
            <w:r>
              <w:rPr>
                <w:rFonts w:ascii="Calibri" w:hAnsi="Calibri"/>
                <w:b w:val="0"/>
                <w:color w:val="404040"/>
                <w:sz w:val="17"/>
              </w:rPr>
              <w:t>Order Management Module</w:t>
            </w:r>
          </w:p>
        </w:tc>
        <w:tc>
          <w:tcPr>
            <w:tcW w:type="dxa" w:w="1584"/>
            <w:shd w:val="clear" w:color="auto" w:fill="FFFFFF"/>
          </w:tcPr>
          <w:p>
            <w:pPr>
              <w:jc w:val="left"/>
            </w:pPr>
            <w:r/>
            <w:r>
              <w:rPr>
                <w:rFonts w:ascii="Calibri" w:hAnsi="Calibri"/>
                <w:b w:val="0"/>
                <w:color w:val="404040"/>
                <w:sz w:val="17"/>
              </w:rPr>
              <w:t>Business Logic</w:t>
            </w:r>
          </w:p>
        </w:tc>
        <w:tc>
          <w:tcPr>
            <w:tcW w:type="dxa" w:w="2016"/>
            <w:shd w:val="clear" w:color="auto" w:fill="FFFFFF"/>
          </w:tcPr>
          <w:p>
            <w:pPr>
              <w:jc w:val="left"/>
            </w:pPr>
            <w:r/>
            <w:r>
              <w:rPr>
                <w:rFonts w:ascii="Calibri" w:hAnsi="Calibri"/>
                <w:b w:val="0"/>
                <w:color w:val="404040"/>
                <w:sz w:val="17"/>
              </w:rPr>
              <w:t>Java EE 8, EJB 3.2</w:t>
            </w:r>
          </w:p>
        </w:tc>
        <w:tc>
          <w:tcPr>
            <w:tcW w:type="dxa" w:w="2304"/>
            <w:shd w:val="clear" w:color="auto" w:fill="FFFFFF"/>
          </w:tcPr>
          <w:p>
            <w:pPr>
              <w:jc w:val="left"/>
            </w:pPr>
            <w:r/>
            <w:r>
              <w:rPr>
                <w:rFonts w:ascii="Calibri" w:hAnsi="Calibri"/>
                <w:b w:val="0"/>
                <w:color w:val="404040"/>
                <w:sz w:val="17"/>
              </w:rPr>
              <w:t>Customer Mgmt, Inventory, Billing DB Schema</w:t>
            </w:r>
          </w:p>
        </w:tc>
        <w:tc>
          <w:tcPr>
            <w:tcW w:type="dxa" w:w="3312"/>
            <w:shd w:val="clear" w:color="auto" w:fill="FFFFFF"/>
          </w:tcPr>
          <w:p>
            <w:pPr>
              <w:jc w:val="left"/>
            </w:pPr>
            <w:r/>
            <w:r>
              <w:rPr>
                <w:rFonts w:ascii="Calibri" w:hAnsi="Calibri"/>
                <w:b w:val="0"/>
                <w:color w:val="404040"/>
                <w:sz w:val="17"/>
              </w:rPr>
              <w:t>Manages end-to-end order lifecycle: creation, validation, fulfilment, and status tracking. Handles ~50K orders/day.</w:t>
            </w:r>
          </w:p>
        </w:tc>
      </w:tr>
      <w:tr>
        <w:tc>
          <w:tcPr>
            <w:tcW w:type="dxa" w:w="2160"/>
            <w:shd w:val="clear" w:color="auto" w:fill="EDF2F8"/>
          </w:tcPr>
          <w:p>
            <w:pPr>
              <w:jc w:val="left"/>
            </w:pPr>
            <w:r/>
            <w:r>
              <w:rPr>
                <w:rFonts w:ascii="Calibri" w:hAnsi="Calibri"/>
                <w:b w:val="0"/>
                <w:color w:val="404040"/>
                <w:sz w:val="17"/>
              </w:rPr>
              <w:t>Inventory Management Module</w:t>
            </w:r>
          </w:p>
        </w:tc>
        <w:tc>
          <w:tcPr>
            <w:tcW w:type="dxa" w:w="1584"/>
            <w:shd w:val="clear" w:color="auto" w:fill="EDF2F8"/>
          </w:tcPr>
          <w:p>
            <w:pPr>
              <w:jc w:val="left"/>
            </w:pPr>
            <w:r/>
            <w:r>
              <w:rPr>
                <w:rFonts w:ascii="Calibri" w:hAnsi="Calibri"/>
                <w:b w:val="0"/>
                <w:color w:val="404040"/>
                <w:sz w:val="17"/>
              </w:rPr>
              <w:t>Business Logic</w:t>
            </w:r>
          </w:p>
        </w:tc>
        <w:tc>
          <w:tcPr>
            <w:tcW w:type="dxa" w:w="2016"/>
            <w:shd w:val="clear" w:color="auto" w:fill="EDF2F8"/>
          </w:tcPr>
          <w:p>
            <w:pPr>
              <w:jc w:val="left"/>
            </w:pPr>
            <w:r/>
            <w:r>
              <w:rPr>
                <w:rFonts w:ascii="Calibri" w:hAnsi="Calibri"/>
                <w:b w:val="0"/>
                <w:color w:val="404040"/>
                <w:sz w:val="17"/>
              </w:rPr>
              <w:t>Java EE 8, EJB 3.2</w:t>
            </w:r>
          </w:p>
        </w:tc>
        <w:tc>
          <w:tcPr>
            <w:tcW w:type="dxa" w:w="2304"/>
            <w:shd w:val="clear" w:color="auto" w:fill="EDF2F8"/>
          </w:tcPr>
          <w:p>
            <w:pPr>
              <w:jc w:val="left"/>
            </w:pPr>
            <w:r/>
            <w:r>
              <w:rPr>
                <w:rFonts w:ascii="Calibri" w:hAnsi="Calibri"/>
                <w:b w:val="0"/>
                <w:color w:val="404040"/>
                <w:sz w:val="17"/>
              </w:rPr>
              <w:t>Order Mgmt, Supplier Module, Oracle DB</w:t>
            </w:r>
          </w:p>
        </w:tc>
        <w:tc>
          <w:tcPr>
            <w:tcW w:type="dxa" w:w="3312"/>
            <w:shd w:val="clear" w:color="auto" w:fill="EDF2F8"/>
          </w:tcPr>
          <w:p>
            <w:pPr>
              <w:jc w:val="left"/>
            </w:pPr>
            <w:r/>
            <w:r>
              <w:rPr>
                <w:rFonts w:ascii="Calibri" w:hAnsi="Calibri"/>
                <w:b w:val="0"/>
                <w:color w:val="404040"/>
                <w:sz w:val="17"/>
              </w:rPr>
              <w:t>Controls stock levels, warehouse allocations, reservation logic, and replenishment triggers.</w:t>
            </w:r>
          </w:p>
        </w:tc>
      </w:tr>
      <w:tr>
        <w:tc>
          <w:tcPr>
            <w:tcW w:type="dxa" w:w="2160"/>
            <w:shd w:val="clear" w:color="auto" w:fill="FFFFFF"/>
          </w:tcPr>
          <w:p>
            <w:pPr>
              <w:jc w:val="left"/>
            </w:pPr>
            <w:r/>
            <w:r>
              <w:rPr>
                <w:rFonts w:ascii="Calibri" w:hAnsi="Calibri"/>
                <w:b w:val="0"/>
                <w:color w:val="404040"/>
                <w:sz w:val="17"/>
              </w:rPr>
              <w:t>Customer Management Module</w:t>
            </w:r>
          </w:p>
        </w:tc>
        <w:tc>
          <w:tcPr>
            <w:tcW w:type="dxa" w:w="1584"/>
            <w:shd w:val="clear" w:color="auto" w:fill="FFFFFF"/>
          </w:tcPr>
          <w:p>
            <w:pPr>
              <w:jc w:val="left"/>
            </w:pPr>
            <w:r/>
            <w:r>
              <w:rPr>
                <w:rFonts w:ascii="Calibri" w:hAnsi="Calibri"/>
                <w:b w:val="0"/>
                <w:color w:val="404040"/>
                <w:sz w:val="17"/>
              </w:rPr>
              <w:t>Business Logic</w:t>
            </w:r>
          </w:p>
        </w:tc>
        <w:tc>
          <w:tcPr>
            <w:tcW w:type="dxa" w:w="2016"/>
            <w:shd w:val="clear" w:color="auto" w:fill="FFFFFF"/>
          </w:tcPr>
          <w:p>
            <w:pPr>
              <w:jc w:val="left"/>
            </w:pPr>
            <w:r/>
            <w:r>
              <w:rPr>
                <w:rFonts w:ascii="Calibri" w:hAnsi="Calibri"/>
                <w:b w:val="0"/>
                <w:color w:val="404040"/>
                <w:sz w:val="17"/>
              </w:rPr>
              <w:t>Java EE 8, JSF 2.3</w:t>
            </w:r>
          </w:p>
        </w:tc>
        <w:tc>
          <w:tcPr>
            <w:tcW w:type="dxa" w:w="2304"/>
            <w:shd w:val="clear" w:color="auto" w:fill="FFFFFF"/>
          </w:tcPr>
          <w:p>
            <w:pPr>
              <w:jc w:val="left"/>
            </w:pPr>
            <w:r/>
            <w:r>
              <w:rPr>
                <w:rFonts w:ascii="Calibri" w:hAnsi="Calibri"/>
                <w:b w:val="0"/>
                <w:color w:val="404040"/>
                <w:sz w:val="17"/>
              </w:rPr>
              <w:t>Auth Module, Billing, Oracle DB</w:t>
            </w:r>
          </w:p>
        </w:tc>
        <w:tc>
          <w:tcPr>
            <w:tcW w:type="dxa" w:w="3312"/>
            <w:shd w:val="clear" w:color="auto" w:fill="FFFFFF"/>
          </w:tcPr>
          <w:p>
            <w:pPr>
              <w:jc w:val="left"/>
            </w:pPr>
            <w:r/>
            <w:r>
              <w:rPr>
                <w:rFonts w:ascii="Calibri" w:hAnsi="Calibri"/>
                <w:b w:val="0"/>
                <w:color w:val="404040"/>
                <w:sz w:val="17"/>
              </w:rPr>
              <w:t>Manages customer profiles, preferences, address book, and loyalty programme.</w:t>
            </w:r>
          </w:p>
        </w:tc>
      </w:tr>
      <w:tr>
        <w:tc>
          <w:tcPr>
            <w:tcW w:type="dxa" w:w="2160"/>
            <w:shd w:val="clear" w:color="auto" w:fill="EDF2F8"/>
          </w:tcPr>
          <w:p>
            <w:pPr>
              <w:jc w:val="left"/>
            </w:pPr>
            <w:r/>
            <w:r>
              <w:rPr>
                <w:rFonts w:ascii="Calibri" w:hAnsi="Calibri"/>
                <w:b w:val="0"/>
                <w:color w:val="404040"/>
                <w:sz w:val="17"/>
              </w:rPr>
              <w:t>Billing &amp; Payments Module</w:t>
            </w:r>
          </w:p>
        </w:tc>
        <w:tc>
          <w:tcPr>
            <w:tcW w:type="dxa" w:w="1584"/>
            <w:shd w:val="clear" w:color="auto" w:fill="EDF2F8"/>
          </w:tcPr>
          <w:p>
            <w:pPr>
              <w:jc w:val="left"/>
            </w:pPr>
            <w:r/>
            <w:r>
              <w:rPr>
                <w:rFonts w:ascii="Calibri" w:hAnsi="Calibri"/>
                <w:b w:val="0"/>
                <w:color w:val="404040"/>
                <w:sz w:val="17"/>
              </w:rPr>
              <w:t>Business Logic</w:t>
            </w:r>
          </w:p>
        </w:tc>
        <w:tc>
          <w:tcPr>
            <w:tcW w:type="dxa" w:w="2016"/>
            <w:shd w:val="clear" w:color="auto" w:fill="EDF2F8"/>
          </w:tcPr>
          <w:p>
            <w:pPr>
              <w:jc w:val="left"/>
            </w:pPr>
            <w:r/>
            <w:r>
              <w:rPr>
                <w:rFonts w:ascii="Calibri" w:hAnsi="Calibri"/>
                <w:b w:val="0"/>
                <w:color w:val="404040"/>
                <w:sz w:val="17"/>
              </w:rPr>
              <w:t>Java EE 8, EJB 3.2</w:t>
            </w:r>
          </w:p>
        </w:tc>
        <w:tc>
          <w:tcPr>
            <w:tcW w:type="dxa" w:w="2304"/>
            <w:shd w:val="clear" w:color="auto" w:fill="EDF2F8"/>
          </w:tcPr>
          <w:p>
            <w:pPr>
              <w:jc w:val="left"/>
            </w:pPr>
            <w:r/>
            <w:r>
              <w:rPr>
                <w:rFonts w:ascii="Calibri" w:hAnsi="Calibri"/>
                <w:b w:val="0"/>
                <w:color w:val="404040"/>
                <w:sz w:val="17"/>
              </w:rPr>
              <w:t>Order Mgmt, Customer Mgmt, Payment Gateway API</w:t>
            </w:r>
          </w:p>
        </w:tc>
        <w:tc>
          <w:tcPr>
            <w:tcW w:type="dxa" w:w="3312"/>
            <w:shd w:val="clear" w:color="auto" w:fill="EDF2F8"/>
          </w:tcPr>
          <w:p>
            <w:pPr>
              <w:jc w:val="left"/>
            </w:pPr>
            <w:r/>
            <w:r>
              <w:rPr>
                <w:rFonts w:ascii="Calibri" w:hAnsi="Calibri"/>
                <w:b w:val="0"/>
                <w:color w:val="404040"/>
                <w:sz w:val="17"/>
              </w:rPr>
              <w:t>Processes invoices, payment collection, refunds, and integrates with third-party payment gateways.</w:t>
            </w:r>
          </w:p>
        </w:tc>
      </w:tr>
      <w:tr>
        <w:tc>
          <w:tcPr>
            <w:tcW w:type="dxa" w:w="2160"/>
            <w:shd w:val="clear" w:color="auto" w:fill="FFFFFF"/>
          </w:tcPr>
          <w:p>
            <w:pPr>
              <w:jc w:val="left"/>
            </w:pPr>
            <w:r/>
            <w:r>
              <w:rPr>
                <w:rFonts w:ascii="Calibri" w:hAnsi="Calibri"/>
                <w:b w:val="0"/>
                <w:color w:val="404040"/>
                <w:sz w:val="17"/>
              </w:rPr>
              <w:t>Reporting &amp; Analytics Module</w:t>
            </w:r>
          </w:p>
        </w:tc>
        <w:tc>
          <w:tcPr>
            <w:tcW w:type="dxa" w:w="1584"/>
            <w:shd w:val="clear" w:color="auto" w:fill="FFFFFF"/>
          </w:tcPr>
          <w:p>
            <w:pPr>
              <w:jc w:val="left"/>
            </w:pPr>
            <w:r/>
            <w:r>
              <w:rPr>
                <w:rFonts w:ascii="Calibri" w:hAnsi="Calibri"/>
                <w:b w:val="0"/>
                <w:color w:val="404040"/>
                <w:sz w:val="17"/>
              </w:rPr>
              <w:t>Business Logic</w:t>
            </w:r>
          </w:p>
        </w:tc>
        <w:tc>
          <w:tcPr>
            <w:tcW w:type="dxa" w:w="2016"/>
            <w:shd w:val="clear" w:color="auto" w:fill="FFFFFF"/>
          </w:tcPr>
          <w:p>
            <w:pPr>
              <w:jc w:val="left"/>
            </w:pPr>
            <w:r/>
            <w:r>
              <w:rPr>
                <w:rFonts w:ascii="Calibri" w:hAnsi="Calibri"/>
                <w:b w:val="0"/>
                <w:color w:val="404040"/>
                <w:sz w:val="17"/>
              </w:rPr>
              <w:t>Java EE 8, JasperReports 6</w:t>
            </w:r>
          </w:p>
        </w:tc>
        <w:tc>
          <w:tcPr>
            <w:tcW w:type="dxa" w:w="2304"/>
            <w:shd w:val="clear" w:color="auto" w:fill="FFFFFF"/>
          </w:tcPr>
          <w:p>
            <w:pPr>
              <w:jc w:val="left"/>
            </w:pPr>
            <w:r/>
            <w:r>
              <w:rPr>
                <w:rFonts w:ascii="Calibri" w:hAnsi="Calibri"/>
                <w:b w:val="0"/>
                <w:color w:val="404040"/>
                <w:sz w:val="17"/>
              </w:rPr>
              <w:t>All Modules, Oracle DB (read replica)</w:t>
            </w:r>
          </w:p>
        </w:tc>
        <w:tc>
          <w:tcPr>
            <w:tcW w:type="dxa" w:w="3312"/>
            <w:shd w:val="clear" w:color="auto" w:fill="FFFFFF"/>
          </w:tcPr>
          <w:p>
            <w:pPr>
              <w:jc w:val="left"/>
            </w:pPr>
            <w:r/>
            <w:r>
              <w:rPr>
                <w:rFonts w:ascii="Calibri" w:hAnsi="Calibri"/>
                <w:b w:val="0"/>
                <w:color w:val="404040"/>
                <w:sz w:val="17"/>
              </w:rPr>
              <w:t>Generates operational and management reports; executes complex SQL queries on read replica.</w:t>
            </w:r>
          </w:p>
        </w:tc>
      </w:tr>
      <w:tr>
        <w:tc>
          <w:tcPr>
            <w:tcW w:type="dxa" w:w="2160"/>
            <w:shd w:val="clear" w:color="auto" w:fill="EDF2F8"/>
          </w:tcPr>
          <w:p>
            <w:pPr>
              <w:jc w:val="left"/>
            </w:pPr>
            <w:r/>
            <w:r>
              <w:rPr>
                <w:rFonts w:ascii="Calibri" w:hAnsi="Calibri"/>
                <w:b w:val="0"/>
                <w:color w:val="404040"/>
                <w:sz w:val="17"/>
              </w:rPr>
              <w:t>Notification Module</w:t>
            </w:r>
          </w:p>
        </w:tc>
        <w:tc>
          <w:tcPr>
            <w:tcW w:type="dxa" w:w="1584"/>
            <w:shd w:val="clear" w:color="auto" w:fill="EDF2F8"/>
          </w:tcPr>
          <w:p>
            <w:pPr>
              <w:jc w:val="left"/>
            </w:pPr>
            <w:r/>
            <w:r>
              <w:rPr>
                <w:rFonts w:ascii="Calibri" w:hAnsi="Calibri"/>
                <w:b w:val="0"/>
                <w:color w:val="404040"/>
                <w:sz w:val="17"/>
              </w:rPr>
              <w:t>Business Logic</w:t>
            </w:r>
          </w:p>
        </w:tc>
        <w:tc>
          <w:tcPr>
            <w:tcW w:type="dxa" w:w="2016"/>
            <w:shd w:val="clear" w:color="auto" w:fill="EDF2F8"/>
          </w:tcPr>
          <w:p>
            <w:pPr>
              <w:jc w:val="left"/>
            </w:pPr>
            <w:r/>
            <w:r>
              <w:rPr>
                <w:rFonts w:ascii="Calibri" w:hAnsi="Calibri"/>
                <w:b w:val="0"/>
                <w:color w:val="404040"/>
                <w:sz w:val="17"/>
              </w:rPr>
              <w:t>Java EE 8, JavaMail</w:t>
            </w:r>
          </w:p>
        </w:tc>
        <w:tc>
          <w:tcPr>
            <w:tcW w:type="dxa" w:w="2304"/>
            <w:shd w:val="clear" w:color="auto" w:fill="EDF2F8"/>
          </w:tcPr>
          <w:p>
            <w:pPr>
              <w:jc w:val="left"/>
            </w:pPr>
            <w:r/>
            <w:r>
              <w:rPr>
                <w:rFonts w:ascii="Calibri" w:hAnsi="Calibri"/>
                <w:b w:val="0"/>
                <w:color w:val="404040"/>
                <w:sz w:val="17"/>
              </w:rPr>
              <w:t>Customer Mgmt, Order Mgmt, SMTP Server</w:t>
            </w:r>
          </w:p>
        </w:tc>
        <w:tc>
          <w:tcPr>
            <w:tcW w:type="dxa" w:w="3312"/>
            <w:shd w:val="clear" w:color="auto" w:fill="EDF2F8"/>
          </w:tcPr>
          <w:p>
            <w:pPr>
              <w:jc w:val="left"/>
            </w:pPr>
            <w:r/>
            <w:r>
              <w:rPr>
                <w:rFonts w:ascii="Calibri" w:hAnsi="Calibri"/>
                <w:b w:val="0"/>
                <w:color w:val="404040"/>
                <w:sz w:val="17"/>
              </w:rPr>
              <w:t>Sends email, SMS, and push notifications triggered by domain events.</w:t>
            </w:r>
          </w:p>
        </w:tc>
      </w:tr>
      <w:tr>
        <w:tc>
          <w:tcPr>
            <w:tcW w:type="dxa" w:w="2160"/>
            <w:shd w:val="clear" w:color="auto" w:fill="FFFFFF"/>
          </w:tcPr>
          <w:p>
            <w:pPr>
              <w:jc w:val="left"/>
            </w:pPr>
            <w:r/>
            <w:r>
              <w:rPr>
                <w:rFonts w:ascii="Calibri" w:hAnsi="Calibri"/>
                <w:b w:val="0"/>
                <w:color w:val="404040"/>
                <w:sz w:val="17"/>
              </w:rPr>
              <w:t>Authentication Module</w:t>
            </w:r>
          </w:p>
        </w:tc>
        <w:tc>
          <w:tcPr>
            <w:tcW w:type="dxa" w:w="1584"/>
            <w:shd w:val="clear" w:color="auto" w:fill="FFFFFF"/>
          </w:tcPr>
          <w:p>
            <w:pPr>
              <w:jc w:val="left"/>
            </w:pPr>
            <w:r/>
            <w:r>
              <w:rPr>
                <w:rFonts w:ascii="Calibri" w:hAnsi="Calibri"/>
                <w:b w:val="0"/>
                <w:color w:val="404040"/>
                <w:sz w:val="17"/>
              </w:rPr>
              <w:t>Cross-Cutting</w:t>
            </w:r>
          </w:p>
        </w:tc>
        <w:tc>
          <w:tcPr>
            <w:tcW w:type="dxa" w:w="2016"/>
            <w:shd w:val="clear" w:color="auto" w:fill="FFFFFF"/>
          </w:tcPr>
          <w:p>
            <w:pPr>
              <w:jc w:val="left"/>
            </w:pPr>
            <w:r/>
            <w:r>
              <w:rPr>
                <w:rFonts w:ascii="Calibri" w:hAnsi="Calibri"/>
                <w:b w:val="0"/>
                <w:color w:val="404040"/>
                <w:sz w:val="17"/>
              </w:rPr>
              <w:t>JAAS, LDAP/AD</w:t>
            </w:r>
          </w:p>
        </w:tc>
        <w:tc>
          <w:tcPr>
            <w:tcW w:type="dxa" w:w="2304"/>
            <w:shd w:val="clear" w:color="auto" w:fill="FFFFFF"/>
          </w:tcPr>
          <w:p>
            <w:pPr>
              <w:jc w:val="left"/>
            </w:pPr>
            <w:r/>
            <w:r>
              <w:rPr>
                <w:rFonts w:ascii="Calibri" w:hAnsi="Calibri"/>
                <w:b w:val="0"/>
                <w:color w:val="404040"/>
                <w:sz w:val="17"/>
              </w:rPr>
              <w:t>Oracle DB (user tables), LDAP Server</w:t>
            </w:r>
          </w:p>
        </w:tc>
        <w:tc>
          <w:tcPr>
            <w:tcW w:type="dxa" w:w="3312"/>
            <w:shd w:val="clear" w:color="auto" w:fill="FFFFFF"/>
          </w:tcPr>
          <w:p>
            <w:pPr>
              <w:jc w:val="left"/>
            </w:pPr>
            <w:r/>
            <w:r>
              <w:rPr>
                <w:rFonts w:ascii="Calibri" w:hAnsi="Calibri"/>
                <w:b w:val="0"/>
                <w:color w:val="404040"/>
                <w:sz w:val="17"/>
              </w:rPr>
              <w:t>Manages user identity, session tokens, role-based access control (RBAC).</w:t>
            </w:r>
          </w:p>
        </w:tc>
      </w:tr>
      <w:tr>
        <w:tc>
          <w:tcPr>
            <w:tcW w:type="dxa" w:w="2160"/>
            <w:shd w:val="clear" w:color="auto" w:fill="EDF2F8"/>
          </w:tcPr>
          <w:p>
            <w:pPr>
              <w:jc w:val="left"/>
            </w:pPr>
            <w:r/>
            <w:r>
              <w:rPr>
                <w:rFonts w:ascii="Calibri" w:hAnsi="Calibri"/>
                <w:b w:val="0"/>
                <w:color w:val="404040"/>
                <w:sz w:val="17"/>
              </w:rPr>
              <w:t>Batch Processing Engine</w:t>
            </w:r>
          </w:p>
        </w:tc>
        <w:tc>
          <w:tcPr>
            <w:tcW w:type="dxa" w:w="1584"/>
            <w:shd w:val="clear" w:color="auto" w:fill="EDF2F8"/>
          </w:tcPr>
          <w:p>
            <w:pPr>
              <w:jc w:val="left"/>
            </w:pPr>
            <w:r/>
            <w:r>
              <w:rPr>
                <w:rFonts w:ascii="Calibri" w:hAnsi="Calibri"/>
                <w:b w:val="0"/>
                <w:color w:val="404040"/>
                <w:sz w:val="17"/>
              </w:rPr>
              <w:t>Infrastructure</w:t>
            </w:r>
          </w:p>
        </w:tc>
        <w:tc>
          <w:tcPr>
            <w:tcW w:type="dxa" w:w="2016"/>
            <w:shd w:val="clear" w:color="auto" w:fill="EDF2F8"/>
          </w:tcPr>
          <w:p>
            <w:pPr>
              <w:jc w:val="left"/>
            </w:pPr>
            <w:r/>
            <w:r>
              <w:rPr>
                <w:rFonts w:ascii="Calibri" w:hAnsi="Calibri"/>
                <w:b w:val="0"/>
                <w:color w:val="404040"/>
                <w:sz w:val="17"/>
              </w:rPr>
              <w:t>Quartz Scheduler 2.3</w:t>
            </w:r>
          </w:p>
        </w:tc>
        <w:tc>
          <w:tcPr>
            <w:tcW w:type="dxa" w:w="2304"/>
            <w:shd w:val="clear" w:color="auto" w:fill="EDF2F8"/>
          </w:tcPr>
          <w:p>
            <w:pPr>
              <w:jc w:val="left"/>
            </w:pPr>
            <w:r/>
            <w:r>
              <w:rPr>
                <w:rFonts w:ascii="Calibri" w:hAnsi="Calibri"/>
                <w:b w:val="0"/>
                <w:color w:val="404040"/>
                <w:sz w:val="17"/>
              </w:rPr>
              <w:t>All Modules, Oracle DB</w:t>
            </w:r>
          </w:p>
        </w:tc>
        <w:tc>
          <w:tcPr>
            <w:tcW w:type="dxa" w:w="3312"/>
            <w:shd w:val="clear" w:color="auto" w:fill="EDF2F8"/>
          </w:tcPr>
          <w:p>
            <w:pPr>
              <w:jc w:val="left"/>
            </w:pPr>
            <w:r/>
            <w:r>
              <w:rPr>
                <w:rFonts w:ascii="Calibri" w:hAnsi="Calibri"/>
                <w:b w:val="0"/>
                <w:color w:val="404040"/>
                <w:sz w:val="17"/>
              </w:rPr>
              <w:t>Executes nightly batch jobs: inventory reconciliation, billing cycles, report generation.</w:t>
            </w:r>
          </w:p>
        </w:tc>
      </w:tr>
      <w:tr>
        <w:tc>
          <w:tcPr>
            <w:tcW w:type="dxa" w:w="2160"/>
            <w:shd w:val="clear" w:color="auto" w:fill="FFFFFF"/>
          </w:tcPr>
          <w:p>
            <w:pPr>
              <w:jc w:val="left"/>
            </w:pPr>
            <w:r/>
            <w:r>
              <w:rPr>
                <w:rFonts w:ascii="Calibri" w:hAnsi="Calibri"/>
                <w:b w:val="0"/>
                <w:color w:val="404040"/>
                <w:sz w:val="17"/>
              </w:rPr>
              <w:t>Oracle 19c Database</w:t>
            </w:r>
          </w:p>
        </w:tc>
        <w:tc>
          <w:tcPr>
            <w:tcW w:type="dxa" w:w="1584"/>
            <w:shd w:val="clear" w:color="auto" w:fill="FFFFFF"/>
          </w:tcPr>
          <w:p>
            <w:pPr>
              <w:jc w:val="left"/>
            </w:pPr>
            <w:r/>
            <w:r>
              <w:rPr>
                <w:rFonts w:ascii="Calibri" w:hAnsi="Calibri"/>
                <w:b w:val="0"/>
                <w:color w:val="404040"/>
                <w:sz w:val="17"/>
              </w:rPr>
              <w:t>Data Store</w:t>
            </w:r>
          </w:p>
        </w:tc>
        <w:tc>
          <w:tcPr>
            <w:tcW w:type="dxa" w:w="2016"/>
            <w:shd w:val="clear" w:color="auto" w:fill="FFFFFF"/>
          </w:tcPr>
          <w:p>
            <w:pPr>
              <w:jc w:val="left"/>
            </w:pPr>
            <w:r/>
            <w:r>
              <w:rPr>
                <w:rFonts w:ascii="Calibri" w:hAnsi="Calibri"/>
                <w:b w:val="0"/>
                <w:color w:val="404040"/>
                <w:sz w:val="17"/>
              </w:rPr>
              <w:t>Oracle 19c RAC</w:t>
            </w:r>
          </w:p>
        </w:tc>
        <w:tc>
          <w:tcPr>
            <w:tcW w:type="dxa" w:w="2304"/>
            <w:shd w:val="clear" w:color="auto" w:fill="FFFFFF"/>
          </w:tcPr>
          <w:p>
            <w:pPr>
              <w:jc w:val="left"/>
            </w:pPr>
            <w:r/>
            <w:r>
              <w:rPr>
                <w:rFonts w:ascii="Calibri" w:hAnsi="Calibri"/>
                <w:b w:val="0"/>
                <w:color w:val="404040"/>
                <w:sz w:val="17"/>
              </w:rPr>
              <w:t>All Modules</w:t>
            </w:r>
          </w:p>
        </w:tc>
        <w:tc>
          <w:tcPr>
            <w:tcW w:type="dxa" w:w="3312"/>
            <w:shd w:val="clear" w:color="auto" w:fill="FFFFFF"/>
          </w:tcPr>
          <w:p>
            <w:pPr>
              <w:jc w:val="left"/>
            </w:pPr>
            <w:r/>
            <w:r>
              <w:rPr>
                <w:rFonts w:ascii="Calibri" w:hAnsi="Calibri"/>
                <w:b w:val="0"/>
                <w:color w:val="404040"/>
                <w:sz w:val="17"/>
              </w:rPr>
              <w:t>Single shared RDBMS with 380+ tables. Acts as system of record for all business domains.</w:t>
            </w:r>
          </w:p>
        </w:tc>
      </w:tr>
      <w:tr>
        <w:tc>
          <w:tcPr>
            <w:tcW w:type="dxa" w:w="2160"/>
            <w:shd w:val="clear" w:color="auto" w:fill="EDF2F8"/>
          </w:tcPr>
          <w:p>
            <w:pPr>
              <w:jc w:val="left"/>
            </w:pPr>
            <w:r/>
            <w:r>
              <w:rPr>
                <w:rFonts w:ascii="Calibri" w:hAnsi="Calibri"/>
                <w:b w:val="0"/>
                <w:color w:val="404040"/>
                <w:sz w:val="17"/>
              </w:rPr>
              <w:t>WebLogic Cluster</w:t>
            </w:r>
          </w:p>
        </w:tc>
        <w:tc>
          <w:tcPr>
            <w:tcW w:type="dxa" w:w="1584"/>
            <w:shd w:val="clear" w:color="auto" w:fill="EDF2F8"/>
          </w:tcPr>
          <w:p>
            <w:pPr>
              <w:jc w:val="left"/>
            </w:pPr>
            <w:r/>
            <w:r>
              <w:rPr>
                <w:rFonts w:ascii="Calibri" w:hAnsi="Calibri"/>
                <w:b w:val="0"/>
                <w:color w:val="404040"/>
                <w:sz w:val="17"/>
              </w:rPr>
              <w:t>Application Server</w:t>
            </w:r>
          </w:p>
        </w:tc>
        <w:tc>
          <w:tcPr>
            <w:tcW w:type="dxa" w:w="2016"/>
            <w:shd w:val="clear" w:color="auto" w:fill="EDF2F8"/>
          </w:tcPr>
          <w:p>
            <w:pPr>
              <w:jc w:val="left"/>
            </w:pPr>
            <w:r/>
            <w:r>
              <w:rPr>
                <w:rFonts w:ascii="Calibri" w:hAnsi="Calibri"/>
                <w:b w:val="0"/>
                <w:color w:val="404040"/>
                <w:sz w:val="17"/>
              </w:rPr>
              <w:t>WebLogic 14c</w:t>
            </w:r>
          </w:p>
        </w:tc>
        <w:tc>
          <w:tcPr>
            <w:tcW w:type="dxa" w:w="2304"/>
            <w:shd w:val="clear" w:color="auto" w:fill="EDF2F8"/>
          </w:tcPr>
          <w:p>
            <w:pPr>
              <w:jc w:val="left"/>
            </w:pPr>
            <w:r/>
            <w:r>
              <w:rPr>
                <w:rFonts w:ascii="Calibri" w:hAnsi="Calibri"/>
                <w:b w:val="0"/>
                <w:color w:val="404040"/>
                <w:sz w:val="17"/>
              </w:rPr>
              <w:t>Oracle DB, LDAP, SMTP, Payment Gateway</w:t>
            </w:r>
          </w:p>
        </w:tc>
        <w:tc>
          <w:tcPr>
            <w:tcW w:type="dxa" w:w="3312"/>
            <w:shd w:val="clear" w:color="auto" w:fill="EDF2F8"/>
          </w:tcPr>
          <w:p>
            <w:pPr>
              <w:jc w:val="left"/>
            </w:pPr>
            <w:r/>
            <w:r>
              <w:rPr>
                <w:rFonts w:ascii="Calibri" w:hAnsi="Calibri"/>
                <w:b w:val="0"/>
                <w:color w:val="404040"/>
                <w:sz w:val="17"/>
              </w:rPr>
              <w:t>Hosts the monolithic WAR. Clustered for HA; no auto-scaling capability.</w:t>
            </w:r>
          </w:p>
        </w:tc>
      </w:tr>
      <w:tr>
        <w:tc>
          <w:tcPr>
            <w:tcW w:type="dxa" w:w="2160"/>
            <w:shd w:val="clear" w:color="auto" w:fill="FFFFFF"/>
          </w:tcPr>
          <w:p>
            <w:pPr>
              <w:jc w:val="left"/>
            </w:pPr>
            <w:r/>
            <w:r>
              <w:rPr>
                <w:rFonts w:ascii="Calibri" w:hAnsi="Calibri"/>
                <w:b w:val="0"/>
                <w:color w:val="404040"/>
                <w:sz w:val="17"/>
              </w:rPr>
              <w:t>Apache HTTP Server</w:t>
            </w:r>
          </w:p>
        </w:tc>
        <w:tc>
          <w:tcPr>
            <w:tcW w:type="dxa" w:w="1584"/>
            <w:shd w:val="clear" w:color="auto" w:fill="FFFFFF"/>
          </w:tcPr>
          <w:p>
            <w:pPr>
              <w:jc w:val="left"/>
            </w:pPr>
            <w:r/>
            <w:r>
              <w:rPr>
                <w:rFonts w:ascii="Calibri" w:hAnsi="Calibri"/>
                <w:b w:val="0"/>
                <w:color w:val="404040"/>
                <w:sz w:val="17"/>
              </w:rPr>
              <w:t>Web / Load Balancer</w:t>
            </w:r>
          </w:p>
        </w:tc>
        <w:tc>
          <w:tcPr>
            <w:tcW w:type="dxa" w:w="2016"/>
            <w:shd w:val="clear" w:color="auto" w:fill="FFFFFF"/>
          </w:tcPr>
          <w:p>
            <w:pPr>
              <w:jc w:val="left"/>
            </w:pPr>
            <w:r/>
            <w:r>
              <w:rPr>
                <w:rFonts w:ascii="Calibri" w:hAnsi="Calibri"/>
                <w:b w:val="0"/>
                <w:color w:val="404040"/>
                <w:sz w:val="17"/>
              </w:rPr>
              <w:t>Apache HTTPD 2.4, mod_jk</w:t>
            </w:r>
          </w:p>
        </w:tc>
        <w:tc>
          <w:tcPr>
            <w:tcW w:type="dxa" w:w="2304"/>
            <w:shd w:val="clear" w:color="auto" w:fill="FFFFFF"/>
          </w:tcPr>
          <w:p>
            <w:pPr>
              <w:jc w:val="left"/>
            </w:pPr>
            <w:r/>
            <w:r>
              <w:rPr>
                <w:rFonts w:ascii="Calibri" w:hAnsi="Calibri"/>
                <w:b w:val="0"/>
                <w:color w:val="404040"/>
                <w:sz w:val="17"/>
              </w:rPr>
              <w:t>WebLogic Cluster</w:t>
            </w:r>
          </w:p>
        </w:tc>
        <w:tc>
          <w:tcPr>
            <w:tcW w:type="dxa" w:w="3312"/>
            <w:shd w:val="clear" w:color="auto" w:fill="FFFFFF"/>
          </w:tcPr>
          <w:p>
            <w:pPr>
              <w:jc w:val="left"/>
            </w:pPr>
            <w:r/>
            <w:r>
              <w:rPr>
                <w:rFonts w:ascii="Calibri" w:hAnsi="Calibri"/>
                <w:b w:val="0"/>
                <w:color w:val="404040"/>
                <w:sz w:val="17"/>
              </w:rPr>
              <w:t>Reverse proxy and load balancer distributing traffic across WebLogic managed servers.</w:t>
            </w:r>
          </w:p>
        </w:tc>
      </w:tr>
      <w:tr>
        <w:tc>
          <w:tcPr>
            <w:tcW w:type="dxa" w:w="2160"/>
            <w:shd w:val="clear" w:color="auto" w:fill="EDF2F8"/>
          </w:tcPr>
          <w:p>
            <w:pPr>
              <w:jc w:val="left"/>
            </w:pPr>
            <w:r/>
            <w:r>
              <w:rPr>
                <w:rFonts w:ascii="Calibri" w:hAnsi="Calibri"/>
                <w:b w:val="0"/>
                <w:color w:val="404040"/>
                <w:sz w:val="17"/>
              </w:rPr>
              <w:t>Legacy ESB</w:t>
            </w:r>
          </w:p>
        </w:tc>
        <w:tc>
          <w:tcPr>
            <w:tcW w:type="dxa" w:w="1584"/>
            <w:shd w:val="clear" w:color="auto" w:fill="EDF2F8"/>
          </w:tcPr>
          <w:p>
            <w:pPr>
              <w:jc w:val="left"/>
            </w:pPr>
            <w:r/>
            <w:r>
              <w:rPr>
                <w:rFonts w:ascii="Calibri" w:hAnsi="Calibri"/>
                <w:b w:val="0"/>
                <w:color w:val="404040"/>
                <w:sz w:val="17"/>
              </w:rPr>
              <w:t>Integration</w:t>
            </w:r>
          </w:p>
        </w:tc>
        <w:tc>
          <w:tcPr>
            <w:tcW w:type="dxa" w:w="2016"/>
            <w:shd w:val="clear" w:color="auto" w:fill="EDF2F8"/>
          </w:tcPr>
          <w:p>
            <w:pPr>
              <w:jc w:val="left"/>
            </w:pPr>
            <w:r/>
            <w:r>
              <w:rPr>
                <w:rFonts w:ascii="Calibri" w:hAnsi="Calibri"/>
                <w:b w:val="0"/>
                <w:color w:val="404040"/>
                <w:sz w:val="17"/>
              </w:rPr>
              <w:t>Oracle Service Bus 12c</w:t>
            </w:r>
          </w:p>
        </w:tc>
        <w:tc>
          <w:tcPr>
            <w:tcW w:type="dxa" w:w="2304"/>
            <w:shd w:val="clear" w:color="auto" w:fill="EDF2F8"/>
          </w:tcPr>
          <w:p>
            <w:pPr>
              <w:jc w:val="left"/>
            </w:pPr>
            <w:r/>
            <w:r>
              <w:rPr>
                <w:rFonts w:ascii="Calibri" w:hAnsi="Calibri"/>
                <w:b w:val="0"/>
                <w:color w:val="404040"/>
                <w:sz w:val="17"/>
              </w:rPr>
              <w:t>SOAP endpoints of all modules, External Partners</w:t>
            </w:r>
          </w:p>
        </w:tc>
        <w:tc>
          <w:tcPr>
            <w:tcW w:type="dxa" w:w="3312"/>
            <w:shd w:val="clear" w:color="auto" w:fill="EDF2F8"/>
          </w:tcPr>
          <w:p>
            <w:pPr>
              <w:jc w:val="left"/>
            </w:pPr>
            <w:r/>
            <w:r>
              <w:rPr>
                <w:rFonts w:ascii="Calibri" w:hAnsi="Calibri"/>
                <w:b w:val="0"/>
                <w:color w:val="404040"/>
                <w:sz w:val="17"/>
              </w:rPr>
              <w:t>Mediates SOAP-based integrations with ERP, 3PL, and payment gateway. Introduces bottleneck.</w:t>
            </w:r>
          </w:p>
        </w:tc>
      </w:tr>
      <w:tr>
        <w:tc>
          <w:tcPr>
            <w:tcW w:type="dxa" w:w="2160"/>
            <w:shd w:val="clear" w:color="auto" w:fill="FFFFFF"/>
          </w:tcPr>
          <w:p>
            <w:pPr>
              <w:jc w:val="left"/>
            </w:pPr>
            <w:r/>
            <w:r>
              <w:rPr>
                <w:rFonts w:ascii="Calibri" w:hAnsi="Calibri"/>
                <w:b w:val="0"/>
                <w:color w:val="404040"/>
                <w:sz w:val="17"/>
              </w:rPr>
              <w:t>File Transfer Service</w:t>
            </w:r>
          </w:p>
        </w:tc>
        <w:tc>
          <w:tcPr>
            <w:tcW w:type="dxa" w:w="1584"/>
            <w:shd w:val="clear" w:color="auto" w:fill="FFFFFF"/>
          </w:tcPr>
          <w:p>
            <w:pPr>
              <w:jc w:val="left"/>
            </w:pPr>
            <w:r/>
            <w:r>
              <w:rPr>
                <w:rFonts w:ascii="Calibri" w:hAnsi="Calibri"/>
                <w:b w:val="0"/>
                <w:color w:val="404040"/>
                <w:sz w:val="17"/>
              </w:rPr>
              <w:t>Integration</w:t>
            </w:r>
          </w:p>
        </w:tc>
        <w:tc>
          <w:tcPr>
            <w:tcW w:type="dxa" w:w="2016"/>
            <w:shd w:val="clear" w:color="auto" w:fill="FFFFFF"/>
          </w:tcPr>
          <w:p>
            <w:pPr>
              <w:jc w:val="left"/>
            </w:pPr>
            <w:r/>
            <w:r>
              <w:rPr>
                <w:rFonts w:ascii="Calibri" w:hAnsi="Calibri"/>
                <w:b w:val="0"/>
                <w:color w:val="404040"/>
                <w:sz w:val="17"/>
              </w:rPr>
              <w:t>SFTP, Shell Scripts</w:t>
            </w:r>
          </w:p>
        </w:tc>
        <w:tc>
          <w:tcPr>
            <w:tcW w:type="dxa" w:w="2304"/>
            <w:shd w:val="clear" w:color="auto" w:fill="FFFFFF"/>
          </w:tcPr>
          <w:p>
            <w:pPr>
              <w:jc w:val="left"/>
            </w:pPr>
            <w:r/>
            <w:r>
              <w:rPr>
                <w:rFonts w:ascii="Calibri" w:hAnsi="Calibri"/>
                <w:b w:val="0"/>
                <w:color w:val="404040"/>
                <w:sz w:val="17"/>
              </w:rPr>
              <w:t>Batch Processing Engine, Oracle DB</w:t>
            </w:r>
          </w:p>
        </w:tc>
        <w:tc>
          <w:tcPr>
            <w:tcW w:type="dxa" w:w="3312"/>
            <w:shd w:val="clear" w:color="auto" w:fill="FFFFFF"/>
          </w:tcPr>
          <w:p>
            <w:pPr>
              <w:jc w:val="left"/>
            </w:pPr>
            <w:r/>
            <w:r>
              <w:rPr>
                <w:rFonts w:ascii="Calibri" w:hAnsi="Calibri"/>
                <w:b w:val="0"/>
                <w:color w:val="404040"/>
                <w:sz w:val="17"/>
              </w:rPr>
              <w:t>Handles file-based B2B data exchange with suppliers and logistics partners.</w:t>
            </w:r>
          </w:p>
        </w:tc>
      </w:tr>
      <w:tr>
        <w:tc>
          <w:tcPr>
            <w:tcW w:type="dxa" w:w="2160"/>
            <w:shd w:val="clear" w:color="auto" w:fill="EDF2F8"/>
          </w:tcPr>
          <w:p>
            <w:pPr>
              <w:jc w:val="left"/>
            </w:pPr>
            <w:r/>
            <w:r>
              <w:rPr>
                <w:rFonts w:ascii="Calibri" w:hAnsi="Calibri"/>
                <w:b w:val="0"/>
                <w:color w:val="404040"/>
                <w:sz w:val="17"/>
              </w:rPr>
              <w:t>Supplier Portal Module</w:t>
            </w:r>
          </w:p>
        </w:tc>
        <w:tc>
          <w:tcPr>
            <w:tcW w:type="dxa" w:w="1584"/>
            <w:shd w:val="clear" w:color="auto" w:fill="EDF2F8"/>
          </w:tcPr>
          <w:p>
            <w:pPr>
              <w:jc w:val="left"/>
            </w:pPr>
            <w:r/>
            <w:r>
              <w:rPr>
                <w:rFonts w:ascii="Calibri" w:hAnsi="Calibri"/>
                <w:b w:val="0"/>
                <w:color w:val="404040"/>
                <w:sz w:val="17"/>
              </w:rPr>
              <w:t>Business Logic</w:t>
            </w:r>
          </w:p>
        </w:tc>
        <w:tc>
          <w:tcPr>
            <w:tcW w:type="dxa" w:w="2016"/>
            <w:shd w:val="clear" w:color="auto" w:fill="EDF2F8"/>
          </w:tcPr>
          <w:p>
            <w:pPr>
              <w:jc w:val="left"/>
            </w:pPr>
            <w:r/>
            <w:r>
              <w:rPr>
                <w:rFonts w:ascii="Calibri" w:hAnsi="Calibri"/>
                <w:b w:val="0"/>
                <w:color w:val="404040"/>
                <w:sz w:val="17"/>
              </w:rPr>
              <w:t>Java EE 8, JSF 2.3</w:t>
            </w:r>
          </w:p>
        </w:tc>
        <w:tc>
          <w:tcPr>
            <w:tcW w:type="dxa" w:w="2304"/>
            <w:shd w:val="clear" w:color="auto" w:fill="EDF2F8"/>
          </w:tcPr>
          <w:p>
            <w:pPr>
              <w:jc w:val="left"/>
            </w:pPr>
            <w:r/>
            <w:r>
              <w:rPr>
                <w:rFonts w:ascii="Calibri" w:hAnsi="Calibri"/>
                <w:b w:val="0"/>
                <w:color w:val="404040"/>
                <w:sz w:val="17"/>
              </w:rPr>
              <w:t>Inventory Mgmt, Oracle DB, LDAP</w:t>
            </w:r>
          </w:p>
        </w:tc>
        <w:tc>
          <w:tcPr>
            <w:tcW w:type="dxa" w:w="3312"/>
            <w:shd w:val="clear" w:color="auto" w:fill="EDF2F8"/>
          </w:tcPr>
          <w:p>
            <w:pPr>
              <w:jc w:val="left"/>
            </w:pPr>
            <w:r/>
            <w:r>
              <w:rPr>
                <w:rFonts w:ascii="Calibri" w:hAnsi="Calibri"/>
                <w:b w:val="0"/>
                <w:color w:val="404040"/>
                <w:sz w:val="17"/>
              </w:rPr>
              <w:t>Web portal for suppliers to manage catalogue, shipments, and invoices.</w:t>
            </w:r>
          </w:p>
        </w:tc>
      </w:tr>
    </w:tbl>
    <w:p>
      <w:pPr>
        <w:spacing w:after="80"/>
      </w:pPr>
    </w:p>
    <w:p>
      <w:pPr>
        <w:spacing w:before="40" w:after="160"/>
      </w:pPr>
      <w:r>
        <w:rPr>
          <w:rFonts w:ascii="Calibri" w:hAnsi="Calibri"/>
          <w:i/>
          <w:color w:val="2E75B6"/>
          <w:sz w:val="17"/>
        </w:rPr>
        <w:t>Table 3.1 – Current Monolithic Architecture Component Inventory</w:t>
      </w:r>
    </w:p>
    <w:p>
      <w:pPr>
        <w:pStyle w:val="Heading2"/>
        <w:spacing w:before="200" w:after="120"/>
      </w:pPr>
      <w:r>
        <w:rPr>
          <w:rFonts w:ascii="Calibri" w:hAnsi="Calibri"/>
          <w:color w:val="2E75B6"/>
          <w:sz w:val="26"/>
        </w:rPr>
        <w:t>3.2  Target Microservices Architecture Components</w:t>
      </w:r>
    </w:p>
    <w:p>
      <w:pPr>
        <w:spacing w:after="120" w:before="40"/>
      </w:pPr>
      <w:r>
        <w:rPr>
          <w:rFonts w:ascii="Calibri" w:hAnsi="Calibri"/>
          <w:b w:val="0"/>
          <w:i w:val="0"/>
          <w:color w:val="404040"/>
          <w:sz w:val="20"/>
        </w:rPr>
        <w:t>The following table defines the twelve target microservices, their technology stacks, inter-service dependencies, and responsibilities within the new architecture.</w:t>
      </w:r>
    </w:p>
    <w:tbl>
      <w:tblPr>
        <w:tblStyle w:val="TableGrid"/>
        <w:tblW w:type="auto" w:w="0"/>
        <w:jc w:val="center"/>
        <w:tblLook w:firstColumn="1" w:firstRow="1" w:lastColumn="0" w:lastRow="0" w:noHBand="0" w:noVBand="1" w:val="04A0"/>
      </w:tblPr>
      <w:tblGrid>
        <w:gridCol w:w="1786"/>
        <w:gridCol w:w="1786"/>
        <w:gridCol w:w="1786"/>
        <w:gridCol w:w="1786"/>
        <w:gridCol w:w="1786"/>
      </w:tblGrid>
      <w:tr>
        <w:tc>
          <w:tcPr>
            <w:tcW w:type="dxa" w:w="2088"/>
            <w:shd w:val="clear" w:color="auto" w:fill="1F3964"/>
          </w:tcPr>
          <w:p>
            <w:pPr>
              <w:jc w:val="center"/>
            </w:pPr>
            <w:r/>
            <w:r>
              <w:rPr>
                <w:rFonts w:ascii="Calibri" w:hAnsi="Calibri"/>
                <w:b/>
                <w:color w:val="FFFFFF"/>
                <w:sz w:val="18"/>
              </w:rPr>
              <w:t>Service Name</w:t>
            </w:r>
          </w:p>
        </w:tc>
        <w:tc>
          <w:tcPr>
            <w:tcW w:type="dxa" w:w="1512"/>
            <w:shd w:val="clear" w:color="auto" w:fill="1F3964"/>
          </w:tcPr>
          <w:p>
            <w:pPr>
              <w:jc w:val="center"/>
            </w:pPr>
            <w:r/>
            <w:r>
              <w:rPr>
                <w:rFonts w:ascii="Calibri" w:hAnsi="Calibri"/>
                <w:b/>
                <w:color w:val="FFFFFF"/>
                <w:sz w:val="18"/>
              </w:rPr>
              <w:t>Type</w:t>
            </w:r>
          </w:p>
        </w:tc>
        <w:tc>
          <w:tcPr>
            <w:tcW w:type="dxa" w:w="2376"/>
            <w:shd w:val="clear" w:color="auto" w:fill="1F3964"/>
          </w:tcPr>
          <w:p>
            <w:pPr>
              <w:jc w:val="center"/>
            </w:pPr>
            <w:r/>
            <w:r>
              <w:rPr>
                <w:rFonts w:ascii="Calibri" w:hAnsi="Calibri"/>
                <w:b/>
                <w:color w:val="FFFFFF"/>
                <w:sz w:val="18"/>
              </w:rPr>
              <w:t>Technology Stack</w:t>
            </w:r>
          </w:p>
        </w:tc>
        <w:tc>
          <w:tcPr>
            <w:tcW w:type="dxa" w:w="2304"/>
            <w:shd w:val="clear" w:color="auto" w:fill="1F3964"/>
          </w:tcPr>
          <w:p>
            <w:pPr>
              <w:jc w:val="center"/>
            </w:pPr>
            <w:r/>
            <w:r>
              <w:rPr>
                <w:rFonts w:ascii="Calibri" w:hAnsi="Calibri"/>
                <w:b/>
                <w:color w:val="FFFFFF"/>
                <w:sz w:val="18"/>
              </w:rPr>
              <w:t>Dependencies</w:t>
            </w:r>
          </w:p>
        </w:tc>
        <w:tc>
          <w:tcPr>
            <w:tcW w:type="dxa" w:w="3168"/>
            <w:shd w:val="clear" w:color="auto" w:fill="1F3964"/>
          </w:tcPr>
          <w:p>
            <w:pPr>
              <w:jc w:val="center"/>
            </w:pPr>
            <w:r/>
            <w:r>
              <w:rPr>
                <w:rFonts w:ascii="Calibri" w:hAnsi="Calibri"/>
                <w:b/>
                <w:color w:val="FFFFFF"/>
                <w:sz w:val="18"/>
              </w:rPr>
              <w:t>Description</w:t>
            </w:r>
          </w:p>
        </w:tc>
      </w:tr>
      <w:tr>
        <w:tc>
          <w:tcPr>
            <w:tcW w:type="dxa" w:w="2088"/>
            <w:shd w:val="clear" w:color="auto" w:fill="FFFFFF"/>
          </w:tcPr>
          <w:p>
            <w:pPr>
              <w:jc w:val="left"/>
            </w:pPr>
            <w:r/>
            <w:r>
              <w:rPr>
                <w:rFonts w:ascii="Calibri" w:hAnsi="Calibri"/>
                <w:b w:val="0"/>
                <w:color w:val="404040"/>
                <w:sz w:val="17"/>
              </w:rPr>
              <w:t>Order Service</w:t>
            </w:r>
          </w:p>
        </w:tc>
        <w:tc>
          <w:tcPr>
            <w:tcW w:type="dxa" w:w="1512"/>
            <w:shd w:val="clear" w:color="auto" w:fill="FFFFFF"/>
          </w:tcPr>
          <w:p>
            <w:pPr>
              <w:jc w:val="left"/>
            </w:pPr>
            <w:r/>
            <w:r>
              <w:rPr>
                <w:rFonts w:ascii="Calibri" w:hAnsi="Calibri"/>
                <w:b w:val="0"/>
                <w:color w:val="404040"/>
                <w:sz w:val="17"/>
              </w:rPr>
              <w:t>Domain Service</w:t>
            </w:r>
          </w:p>
        </w:tc>
        <w:tc>
          <w:tcPr>
            <w:tcW w:type="dxa" w:w="2376"/>
            <w:shd w:val="clear" w:color="auto" w:fill="FFFFFF"/>
          </w:tcPr>
          <w:p>
            <w:pPr>
              <w:jc w:val="left"/>
            </w:pPr>
            <w:r/>
            <w:r>
              <w:rPr>
                <w:rFonts w:ascii="Calibri" w:hAnsi="Calibri"/>
                <w:b w:val="0"/>
                <w:color w:val="404040"/>
                <w:sz w:val="17"/>
              </w:rPr>
              <w:t>Node.js 20, TypeScript, PostgreSQL 15</w:t>
            </w:r>
          </w:p>
        </w:tc>
        <w:tc>
          <w:tcPr>
            <w:tcW w:type="dxa" w:w="2304"/>
            <w:shd w:val="clear" w:color="auto" w:fill="FFFFFF"/>
          </w:tcPr>
          <w:p>
            <w:pPr>
              <w:jc w:val="left"/>
            </w:pPr>
            <w:r/>
            <w:r>
              <w:rPr>
                <w:rFonts w:ascii="Calibri" w:hAnsi="Calibri"/>
                <w:b w:val="0"/>
                <w:color w:val="404040"/>
                <w:sz w:val="17"/>
              </w:rPr>
              <w:t>Inventory Svc, Customer Svc, Kafka</w:t>
            </w:r>
          </w:p>
        </w:tc>
        <w:tc>
          <w:tcPr>
            <w:tcW w:type="dxa" w:w="3168"/>
            <w:shd w:val="clear" w:color="auto" w:fill="FFFFFF"/>
          </w:tcPr>
          <w:p>
            <w:pPr>
              <w:jc w:val="left"/>
            </w:pPr>
            <w:r/>
            <w:r>
              <w:rPr>
                <w:rFonts w:ascii="Calibri" w:hAnsi="Calibri"/>
                <w:b w:val="0"/>
                <w:color w:val="404040"/>
                <w:sz w:val="17"/>
              </w:rPr>
              <w:t>Core order lifecycle management. Publishes OrderCreated, OrderUpdated events to Kafka topics.</w:t>
            </w:r>
          </w:p>
        </w:tc>
      </w:tr>
      <w:tr>
        <w:tc>
          <w:tcPr>
            <w:tcW w:type="dxa" w:w="2088"/>
            <w:shd w:val="clear" w:color="auto" w:fill="EDF2F8"/>
          </w:tcPr>
          <w:p>
            <w:pPr>
              <w:jc w:val="left"/>
            </w:pPr>
            <w:r/>
            <w:r>
              <w:rPr>
                <w:rFonts w:ascii="Calibri" w:hAnsi="Calibri"/>
                <w:b w:val="0"/>
                <w:color w:val="404040"/>
                <w:sz w:val="17"/>
              </w:rPr>
              <w:t>Inventory Service</w:t>
            </w:r>
          </w:p>
        </w:tc>
        <w:tc>
          <w:tcPr>
            <w:tcW w:type="dxa" w:w="1512"/>
            <w:shd w:val="clear" w:color="auto" w:fill="EDF2F8"/>
          </w:tcPr>
          <w:p>
            <w:pPr>
              <w:jc w:val="left"/>
            </w:pPr>
            <w:r/>
            <w:r>
              <w:rPr>
                <w:rFonts w:ascii="Calibri" w:hAnsi="Calibri"/>
                <w:b w:val="0"/>
                <w:color w:val="404040"/>
                <w:sz w:val="17"/>
              </w:rPr>
              <w:t>Domain Service</w:t>
            </w:r>
          </w:p>
        </w:tc>
        <w:tc>
          <w:tcPr>
            <w:tcW w:type="dxa" w:w="2376"/>
            <w:shd w:val="clear" w:color="auto" w:fill="EDF2F8"/>
          </w:tcPr>
          <w:p>
            <w:pPr>
              <w:jc w:val="left"/>
            </w:pPr>
            <w:r/>
            <w:r>
              <w:rPr>
                <w:rFonts w:ascii="Calibri" w:hAnsi="Calibri"/>
                <w:b w:val="0"/>
                <w:color w:val="404040"/>
                <w:sz w:val="17"/>
              </w:rPr>
              <w:t>Python 3.12, FastAPI, PostgreSQL 15</w:t>
            </w:r>
          </w:p>
        </w:tc>
        <w:tc>
          <w:tcPr>
            <w:tcW w:type="dxa" w:w="2304"/>
            <w:shd w:val="clear" w:color="auto" w:fill="EDF2F8"/>
          </w:tcPr>
          <w:p>
            <w:pPr>
              <w:jc w:val="left"/>
            </w:pPr>
            <w:r/>
            <w:r>
              <w:rPr>
                <w:rFonts w:ascii="Calibri" w:hAnsi="Calibri"/>
                <w:b w:val="0"/>
                <w:color w:val="404040"/>
                <w:sz w:val="17"/>
              </w:rPr>
              <w:t>Order Svc (Kafka), Supplier Svc, Redis</w:t>
            </w:r>
          </w:p>
        </w:tc>
        <w:tc>
          <w:tcPr>
            <w:tcW w:type="dxa" w:w="3168"/>
            <w:shd w:val="clear" w:color="auto" w:fill="EDF2F8"/>
          </w:tcPr>
          <w:p>
            <w:pPr>
              <w:jc w:val="left"/>
            </w:pPr>
            <w:r/>
            <w:r>
              <w:rPr>
                <w:rFonts w:ascii="Calibri" w:hAnsi="Calibri"/>
                <w:b w:val="0"/>
                <w:color w:val="404040"/>
                <w:sz w:val="17"/>
              </w:rPr>
              <w:t>Real-time stock management, reservation handling, and reorder triggers. Redis for stock cache.</w:t>
            </w:r>
          </w:p>
        </w:tc>
      </w:tr>
      <w:tr>
        <w:tc>
          <w:tcPr>
            <w:tcW w:type="dxa" w:w="2088"/>
            <w:shd w:val="clear" w:color="auto" w:fill="FFFFFF"/>
          </w:tcPr>
          <w:p>
            <w:pPr>
              <w:jc w:val="left"/>
            </w:pPr>
            <w:r/>
            <w:r>
              <w:rPr>
                <w:rFonts w:ascii="Calibri" w:hAnsi="Calibri"/>
                <w:b w:val="0"/>
                <w:color w:val="404040"/>
                <w:sz w:val="17"/>
              </w:rPr>
              <w:t>Customer Service</w:t>
            </w:r>
          </w:p>
        </w:tc>
        <w:tc>
          <w:tcPr>
            <w:tcW w:type="dxa" w:w="1512"/>
            <w:shd w:val="clear" w:color="auto" w:fill="FFFFFF"/>
          </w:tcPr>
          <w:p>
            <w:pPr>
              <w:jc w:val="left"/>
            </w:pPr>
            <w:r/>
            <w:r>
              <w:rPr>
                <w:rFonts w:ascii="Calibri" w:hAnsi="Calibri"/>
                <w:b w:val="0"/>
                <w:color w:val="404040"/>
                <w:sz w:val="17"/>
              </w:rPr>
              <w:t>Domain Service</w:t>
            </w:r>
          </w:p>
        </w:tc>
        <w:tc>
          <w:tcPr>
            <w:tcW w:type="dxa" w:w="2376"/>
            <w:shd w:val="clear" w:color="auto" w:fill="FFFFFF"/>
          </w:tcPr>
          <w:p>
            <w:pPr>
              <w:jc w:val="left"/>
            </w:pPr>
            <w:r/>
            <w:r>
              <w:rPr>
                <w:rFonts w:ascii="Calibri" w:hAnsi="Calibri"/>
                <w:b w:val="0"/>
                <w:color w:val="404040"/>
                <w:sz w:val="17"/>
              </w:rPr>
              <w:t>Java 21 (Spring Boot 3), PostgreSQL 15</w:t>
            </w:r>
          </w:p>
        </w:tc>
        <w:tc>
          <w:tcPr>
            <w:tcW w:type="dxa" w:w="2304"/>
            <w:shd w:val="clear" w:color="auto" w:fill="FFFFFF"/>
          </w:tcPr>
          <w:p>
            <w:pPr>
              <w:jc w:val="left"/>
            </w:pPr>
            <w:r/>
            <w:r>
              <w:rPr>
                <w:rFonts w:ascii="Calibri" w:hAnsi="Calibri"/>
                <w:b w:val="0"/>
                <w:color w:val="404040"/>
                <w:sz w:val="17"/>
              </w:rPr>
              <w:t>Auth Service, Notification Svc, Kafka</w:t>
            </w:r>
          </w:p>
        </w:tc>
        <w:tc>
          <w:tcPr>
            <w:tcW w:type="dxa" w:w="3168"/>
            <w:shd w:val="clear" w:color="auto" w:fill="FFFFFF"/>
          </w:tcPr>
          <w:p>
            <w:pPr>
              <w:jc w:val="left"/>
            </w:pPr>
            <w:r/>
            <w:r>
              <w:rPr>
                <w:rFonts w:ascii="Calibri" w:hAnsi="Calibri"/>
                <w:b w:val="0"/>
                <w:color w:val="404040"/>
                <w:sz w:val="17"/>
              </w:rPr>
              <w:t>Customer profile, loyalty, and preference management. Publishes CustomerUpdated events.</w:t>
            </w:r>
          </w:p>
        </w:tc>
      </w:tr>
      <w:tr>
        <w:tc>
          <w:tcPr>
            <w:tcW w:type="dxa" w:w="2088"/>
            <w:shd w:val="clear" w:color="auto" w:fill="EDF2F8"/>
          </w:tcPr>
          <w:p>
            <w:pPr>
              <w:jc w:val="left"/>
            </w:pPr>
            <w:r/>
            <w:r>
              <w:rPr>
                <w:rFonts w:ascii="Calibri" w:hAnsi="Calibri"/>
                <w:b w:val="0"/>
                <w:color w:val="404040"/>
                <w:sz w:val="17"/>
              </w:rPr>
              <w:t>Billing Service</w:t>
            </w:r>
          </w:p>
        </w:tc>
        <w:tc>
          <w:tcPr>
            <w:tcW w:type="dxa" w:w="1512"/>
            <w:shd w:val="clear" w:color="auto" w:fill="EDF2F8"/>
          </w:tcPr>
          <w:p>
            <w:pPr>
              <w:jc w:val="left"/>
            </w:pPr>
            <w:r/>
            <w:r>
              <w:rPr>
                <w:rFonts w:ascii="Calibri" w:hAnsi="Calibri"/>
                <w:b w:val="0"/>
                <w:color w:val="404040"/>
                <w:sz w:val="17"/>
              </w:rPr>
              <w:t>Domain Service</w:t>
            </w:r>
          </w:p>
        </w:tc>
        <w:tc>
          <w:tcPr>
            <w:tcW w:type="dxa" w:w="2376"/>
            <w:shd w:val="clear" w:color="auto" w:fill="EDF2F8"/>
          </w:tcPr>
          <w:p>
            <w:pPr>
              <w:jc w:val="left"/>
            </w:pPr>
            <w:r/>
            <w:r>
              <w:rPr>
                <w:rFonts w:ascii="Calibri" w:hAnsi="Calibri"/>
                <w:b w:val="0"/>
                <w:color w:val="404040"/>
                <w:sz w:val="17"/>
              </w:rPr>
              <w:t>Java 21 (Spring Boot 3), PostgreSQL 15</w:t>
            </w:r>
          </w:p>
        </w:tc>
        <w:tc>
          <w:tcPr>
            <w:tcW w:type="dxa" w:w="2304"/>
            <w:shd w:val="clear" w:color="auto" w:fill="EDF2F8"/>
          </w:tcPr>
          <w:p>
            <w:pPr>
              <w:jc w:val="left"/>
            </w:pPr>
            <w:r/>
            <w:r>
              <w:rPr>
                <w:rFonts w:ascii="Calibri" w:hAnsi="Calibri"/>
                <w:b w:val="0"/>
                <w:color w:val="404040"/>
                <w:sz w:val="17"/>
              </w:rPr>
              <w:t>Order Svc, Customer Svc, Payment Gateway</w:t>
            </w:r>
          </w:p>
        </w:tc>
        <w:tc>
          <w:tcPr>
            <w:tcW w:type="dxa" w:w="3168"/>
            <w:shd w:val="clear" w:color="auto" w:fill="EDF2F8"/>
          </w:tcPr>
          <w:p>
            <w:pPr>
              <w:jc w:val="left"/>
            </w:pPr>
            <w:r/>
            <w:r>
              <w:rPr>
                <w:rFonts w:ascii="Calibri" w:hAnsi="Calibri"/>
                <w:b w:val="0"/>
                <w:color w:val="404040"/>
                <w:sz w:val="17"/>
              </w:rPr>
              <w:t>Invoice generation, payment processing, refunds. Consumes OrderFulfilled Kafka events.</w:t>
            </w:r>
          </w:p>
        </w:tc>
      </w:tr>
      <w:tr>
        <w:tc>
          <w:tcPr>
            <w:tcW w:type="dxa" w:w="2088"/>
            <w:shd w:val="clear" w:color="auto" w:fill="FFFFFF"/>
          </w:tcPr>
          <w:p>
            <w:pPr>
              <w:jc w:val="left"/>
            </w:pPr>
            <w:r/>
            <w:r>
              <w:rPr>
                <w:rFonts w:ascii="Calibri" w:hAnsi="Calibri"/>
                <w:b w:val="0"/>
                <w:color w:val="404040"/>
                <w:sz w:val="17"/>
              </w:rPr>
              <w:t>Notification Service</w:t>
            </w:r>
          </w:p>
        </w:tc>
        <w:tc>
          <w:tcPr>
            <w:tcW w:type="dxa" w:w="1512"/>
            <w:shd w:val="clear" w:color="auto" w:fill="FFFFFF"/>
          </w:tcPr>
          <w:p>
            <w:pPr>
              <w:jc w:val="left"/>
            </w:pPr>
            <w:r/>
            <w:r>
              <w:rPr>
                <w:rFonts w:ascii="Calibri" w:hAnsi="Calibri"/>
                <w:b w:val="0"/>
                <w:color w:val="404040"/>
                <w:sz w:val="17"/>
              </w:rPr>
              <w:t>Domain Service</w:t>
            </w:r>
          </w:p>
        </w:tc>
        <w:tc>
          <w:tcPr>
            <w:tcW w:type="dxa" w:w="2376"/>
            <w:shd w:val="clear" w:color="auto" w:fill="FFFFFF"/>
          </w:tcPr>
          <w:p>
            <w:pPr>
              <w:jc w:val="left"/>
            </w:pPr>
            <w:r/>
            <w:r>
              <w:rPr>
                <w:rFonts w:ascii="Calibri" w:hAnsi="Calibri"/>
                <w:b w:val="0"/>
                <w:color w:val="404040"/>
                <w:sz w:val="17"/>
              </w:rPr>
              <w:t>Go 1.22, MongoDB 7</w:t>
            </w:r>
          </w:p>
        </w:tc>
        <w:tc>
          <w:tcPr>
            <w:tcW w:type="dxa" w:w="2304"/>
            <w:shd w:val="clear" w:color="auto" w:fill="FFFFFF"/>
          </w:tcPr>
          <w:p>
            <w:pPr>
              <w:jc w:val="left"/>
            </w:pPr>
            <w:r/>
            <w:r>
              <w:rPr>
                <w:rFonts w:ascii="Calibri" w:hAnsi="Calibri"/>
                <w:b w:val="0"/>
                <w:color w:val="404040"/>
                <w:sz w:val="17"/>
              </w:rPr>
              <w:t>Kafka (all topics), SNS, SES, FCM</w:t>
            </w:r>
          </w:p>
        </w:tc>
        <w:tc>
          <w:tcPr>
            <w:tcW w:type="dxa" w:w="3168"/>
            <w:shd w:val="clear" w:color="auto" w:fill="FFFFFF"/>
          </w:tcPr>
          <w:p>
            <w:pPr>
              <w:jc w:val="left"/>
            </w:pPr>
            <w:r/>
            <w:r>
              <w:rPr>
                <w:rFonts w:ascii="Calibri" w:hAnsi="Calibri"/>
                <w:b w:val="0"/>
                <w:color w:val="404040"/>
                <w:sz w:val="17"/>
              </w:rPr>
              <w:t>Stateless event-driven notification dispatcher. Consumes domain events; routes to email/SMS/push.</w:t>
            </w:r>
          </w:p>
        </w:tc>
      </w:tr>
      <w:tr>
        <w:tc>
          <w:tcPr>
            <w:tcW w:type="dxa" w:w="2088"/>
            <w:shd w:val="clear" w:color="auto" w:fill="EDF2F8"/>
          </w:tcPr>
          <w:p>
            <w:pPr>
              <w:jc w:val="left"/>
            </w:pPr>
            <w:r/>
            <w:r>
              <w:rPr>
                <w:rFonts w:ascii="Calibri" w:hAnsi="Calibri"/>
                <w:b w:val="0"/>
                <w:color w:val="404040"/>
                <w:sz w:val="17"/>
              </w:rPr>
              <w:t>Auth Service</w:t>
            </w:r>
          </w:p>
        </w:tc>
        <w:tc>
          <w:tcPr>
            <w:tcW w:type="dxa" w:w="1512"/>
            <w:shd w:val="clear" w:color="auto" w:fill="EDF2F8"/>
          </w:tcPr>
          <w:p>
            <w:pPr>
              <w:jc w:val="left"/>
            </w:pPr>
            <w:r/>
            <w:r>
              <w:rPr>
                <w:rFonts w:ascii="Calibri" w:hAnsi="Calibri"/>
                <w:b w:val="0"/>
                <w:color w:val="404040"/>
                <w:sz w:val="17"/>
              </w:rPr>
              <w:t>Platform Service</w:t>
            </w:r>
          </w:p>
        </w:tc>
        <w:tc>
          <w:tcPr>
            <w:tcW w:type="dxa" w:w="2376"/>
            <w:shd w:val="clear" w:color="auto" w:fill="EDF2F8"/>
          </w:tcPr>
          <w:p>
            <w:pPr>
              <w:jc w:val="left"/>
            </w:pPr>
            <w:r/>
            <w:r>
              <w:rPr>
                <w:rFonts w:ascii="Calibri" w:hAnsi="Calibri"/>
                <w:b w:val="0"/>
                <w:color w:val="404040"/>
                <w:sz w:val="17"/>
              </w:rPr>
              <w:t>Java 21 (Spring Security), Redis, PostgreSQL</w:t>
            </w:r>
          </w:p>
        </w:tc>
        <w:tc>
          <w:tcPr>
            <w:tcW w:type="dxa" w:w="2304"/>
            <w:shd w:val="clear" w:color="auto" w:fill="EDF2F8"/>
          </w:tcPr>
          <w:p>
            <w:pPr>
              <w:jc w:val="left"/>
            </w:pPr>
            <w:r/>
            <w:r>
              <w:rPr>
                <w:rFonts w:ascii="Calibri" w:hAnsi="Calibri"/>
                <w:b w:val="0"/>
                <w:color w:val="404040"/>
                <w:sz w:val="17"/>
              </w:rPr>
              <w:t>LDAP/AD (migration phase), Vault</w:t>
            </w:r>
          </w:p>
        </w:tc>
        <w:tc>
          <w:tcPr>
            <w:tcW w:type="dxa" w:w="3168"/>
            <w:shd w:val="clear" w:color="auto" w:fill="EDF2F8"/>
          </w:tcPr>
          <w:p>
            <w:pPr>
              <w:jc w:val="left"/>
            </w:pPr>
            <w:r/>
            <w:r>
              <w:rPr>
                <w:rFonts w:ascii="Calibri" w:hAnsi="Calibri"/>
                <w:b w:val="0"/>
                <w:color w:val="404040"/>
                <w:sz w:val="17"/>
              </w:rPr>
              <w:t>OAuth 2.0 / OpenID Connect provider. Issues JWT tokens. Redis session cache. Integrates with Vault.</w:t>
            </w:r>
          </w:p>
        </w:tc>
      </w:tr>
      <w:tr>
        <w:tc>
          <w:tcPr>
            <w:tcW w:type="dxa" w:w="2088"/>
            <w:shd w:val="clear" w:color="auto" w:fill="FFFFFF"/>
          </w:tcPr>
          <w:p>
            <w:pPr>
              <w:jc w:val="left"/>
            </w:pPr>
            <w:r/>
            <w:r>
              <w:rPr>
                <w:rFonts w:ascii="Calibri" w:hAnsi="Calibri"/>
                <w:b w:val="0"/>
                <w:color w:val="404040"/>
                <w:sz w:val="17"/>
              </w:rPr>
              <w:t>Supplier Service</w:t>
            </w:r>
          </w:p>
        </w:tc>
        <w:tc>
          <w:tcPr>
            <w:tcW w:type="dxa" w:w="1512"/>
            <w:shd w:val="clear" w:color="auto" w:fill="FFFFFF"/>
          </w:tcPr>
          <w:p>
            <w:pPr>
              <w:jc w:val="left"/>
            </w:pPr>
            <w:r/>
            <w:r>
              <w:rPr>
                <w:rFonts w:ascii="Calibri" w:hAnsi="Calibri"/>
                <w:b w:val="0"/>
                <w:color w:val="404040"/>
                <w:sz w:val="17"/>
              </w:rPr>
              <w:t>Domain Service</w:t>
            </w:r>
          </w:p>
        </w:tc>
        <w:tc>
          <w:tcPr>
            <w:tcW w:type="dxa" w:w="2376"/>
            <w:shd w:val="clear" w:color="auto" w:fill="FFFFFF"/>
          </w:tcPr>
          <w:p>
            <w:pPr>
              <w:jc w:val="left"/>
            </w:pPr>
            <w:r/>
            <w:r>
              <w:rPr>
                <w:rFonts w:ascii="Calibri" w:hAnsi="Calibri"/>
                <w:b w:val="0"/>
                <w:color w:val="404040"/>
                <w:sz w:val="17"/>
              </w:rPr>
              <w:t>Python 3.12, FastAPI, PostgreSQL 15</w:t>
            </w:r>
          </w:p>
        </w:tc>
        <w:tc>
          <w:tcPr>
            <w:tcW w:type="dxa" w:w="2304"/>
            <w:shd w:val="clear" w:color="auto" w:fill="FFFFFF"/>
          </w:tcPr>
          <w:p>
            <w:pPr>
              <w:jc w:val="left"/>
            </w:pPr>
            <w:r/>
            <w:r>
              <w:rPr>
                <w:rFonts w:ascii="Calibri" w:hAnsi="Calibri"/>
                <w:b w:val="0"/>
                <w:color w:val="404040"/>
                <w:sz w:val="17"/>
              </w:rPr>
              <w:t>Inventory Svc (Kafka), File Storage (S3)</w:t>
            </w:r>
          </w:p>
        </w:tc>
        <w:tc>
          <w:tcPr>
            <w:tcW w:type="dxa" w:w="3168"/>
            <w:shd w:val="clear" w:color="auto" w:fill="FFFFFF"/>
          </w:tcPr>
          <w:p>
            <w:pPr>
              <w:jc w:val="left"/>
            </w:pPr>
            <w:r/>
            <w:r>
              <w:rPr>
                <w:rFonts w:ascii="Calibri" w:hAnsi="Calibri"/>
                <w:b w:val="0"/>
                <w:color w:val="404040"/>
                <w:sz w:val="17"/>
              </w:rPr>
              <w:t>Supplier catalogue, shipment tracking, and invoice submission. S3 for document storage.</w:t>
            </w:r>
          </w:p>
        </w:tc>
      </w:tr>
      <w:tr>
        <w:tc>
          <w:tcPr>
            <w:tcW w:type="dxa" w:w="2088"/>
            <w:shd w:val="clear" w:color="auto" w:fill="EDF2F8"/>
          </w:tcPr>
          <w:p>
            <w:pPr>
              <w:jc w:val="left"/>
            </w:pPr>
            <w:r/>
            <w:r>
              <w:rPr>
                <w:rFonts w:ascii="Calibri" w:hAnsi="Calibri"/>
                <w:b w:val="0"/>
                <w:color w:val="404040"/>
                <w:sz w:val="17"/>
              </w:rPr>
              <w:t>Reporting Service</w:t>
            </w:r>
          </w:p>
        </w:tc>
        <w:tc>
          <w:tcPr>
            <w:tcW w:type="dxa" w:w="1512"/>
            <w:shd w:val="clear" w:color="auto" w:fill="EDF2F8"/>
          </w:tcPr>
          <w:p>
            <w:pPr>
              <w:jc w:val="left"/>
            </w:pPr>
            <w:r/>
            <w:r>
              <w:rPr>
                <w:rFonts w:ascii="Calibri" w:hAnsi="Calibri"/>
                <w:b w:val="0"/>
                <w:color w:val="404040"/>
                <w:sz w:val="17"/>
              </w:rPr>
              <w:t>Domain Service</w:t>
            </w:r>
          </w:p>
        </w:tc>
        <w:tc>
          <w:tcPr>
            <w:tcW w:type="dxa" w:w="2376"/>
            <w:shd w:val="clear" w:color="auto" w:fill="EDF2F8"/>
          </w:tcPr>
          <w:p>
            <w:pPr>
              <w:jc w:val="left"/>
            </w:pPr>
            <w:r/>
            <w:r>
              <w:rPr>
                <w:rFonts w:ascii="Calibri" w:hAnsi="Calibri"/>
                <w:b w:val="0"/>
                <w:color w:val="404040"/>
                <w:sz w:val="17"/>
              </w:rPr>
              <w:t>Python 3.12, Apache Spark, MongoDB 7</w:t>
            </w:r>
          </w:p>
        </w:tc>
        <w:tc>
          <w:tcPr>
            <w:tcW w:type="dxa" w:w="2304"/>
            <w:shd w:val="clear" w:color="auto" w:fill="EDF2F8"/>
          </w:tcPr>
          <w:p>
            <w:pPr>
              <w:jc w:val="left"/>
            </w:pPr>
            <w:r/>
            <w:r>
              <w:rPr>
                <w:rFonts w:ascii="Calibri" w:hAnsi="Calibri"/>
                <w:b w:val="0"/>
                <w:color w:val="404040"/>
                <w:sz w:val="17"/>
              </w:rPr>
              <w:t>Read replicas of all domain DBs, S3</w:t>
            </w:r>
          </w:p>
        </w:tc>
        <w:tc>
          <w:tcPr>
            <w:tcW w:type="dxa" w:w="3168"/>
            <w:shd w:val="clear" w:color="auto" w:fill="EDF2F8"/>
          </w:tcPr>
          <w:p>
            <w:pPr>
              <w:jc w:val="left"/>
            </w:pPr>
            <w:r/>
            <w:r>
              <w:rPr>
                <w:rFonts w:ascii="Calibri" w:hAnsi="Calibri"/>
                <w:b w:val="0"/>
                <w:color w:val="404040"/>
                <w:sz w:val="17"/>
              </w:rPr>
              <w:t>Async report generation. Spark jobs consume from PostgreSQL read replicas; results to S3/MongoDB.</w:t>
            </w:r>
          </w:p>
        </w:tc>
      </w:tr>
      <w:tr>
        <w:tc>
          <w:tcPr>
            <w:tcW w:type="dxa" w:w="2088"/>
            <w:shd w:val="clear" w:color="auto" w:fill="FFFFFF"/>
          </w:tcPr>
          <w:p>
            <w:pPr>
              <w:jc w:val="left"/>
            </w:pPr>
            <w:r/>
            <w:r>
              <w:rPr>
                <w:rFonts w:ascii="Calibri" w:hAnsi="Calibri"/>
                <w:b w:val="0"/>
                <w:color w:val="404040"/>
                <w:sz w:val="17"/>
              </w:rPr>
              <w:t>Search Service</w:t>
            </w:r>
          </w:p>
        </w:tc>
        <w:tc>
          <w:tcPr>
            <w:tcW w:type="dxa" w:w="1512"/>
            <w:shd w:val="clear" w:color="auto" w:fill="FFFFFF"/>
          </w:tcPr>
          <w:p>
            <w:pPr>
              <w:jc w:val="left"/>
            </w:pPr>
            <w:r/>
            <w:r>
              <w:rPr>
                <w:rFonts w:ascii="Calibri" w:hAnsi="Calibri"/>
                <w:b w:val="0"/>
                <w:color w:val="404040"/>
                <w:sz w:val="17"/>
              </w:rPr>
              <w:t>Platform Service</w:t>
            </w:r>
          </w:p>
        </w:tc>
        <w:tc>
          <w:tcPr>
            <w:tcW w:type="dxa" w:w="2376"/>
            <w:shd w:val="clear" w:color="auto" w:fill="FFFFFF"/>
          </w:tcPr>
          <w:p>
            <w:pPr>
              <w:jc w:val="left"/>
            </w:pPr>
            <w:r/>
            <w:r>
              <w:rPr>
                <w:rFonts w:ascii="Calibri" w:hAnsi="Calibri"/>
                <w:b w:val="0"/>
                <w:color w:val="404040"/>
                <w:sz w:val="17"/>
              </w:rPr>
              <w:t>Java 21, Elasticsearch 8</w:t>
            </w:r>
          </w:p>
        </w:tc>
        <w:tc>
          <w:tcPr>
            <w:tcW w:type="dxa" w:w="2304"/>
            <w:shd w:val="clear" w:color="auto" w:fill="FFFFFF"/>
          </w:tcPr>
          <w:p>
            <w:pPr>
              <w:jc w:val="left"/>
            </w:pPr>
            <w:r/>
            <w:r>
              <w:rPr>
                <w:rFonts w:ascii="Calibri" w:hAnsi="Calibri"/>
                <w:b w:val="0"/>
                <w:color w:val="404040"/>
                <w:sz w:val="17"/>
              </w:rPr>
              <w:t>Order Svc, Inventory Svc, Customer Svc</w:t>
            </w:r>
          </w:p>
        </w:tc>
        <w:tc>
          <w:tcPr>
            <w:tcW w:type="dxa" w:w="3168"/>
            <w:shd w:val="clear" w:color="auto" w:fill="FFFFFF"/>
          </w:tcPr>
          <w:p>
            <w:pPr>
              <w:jc w:val="left"/>
            </w:pPr>
            <w:r/>
            <w:r>
              <w:rPr>
                <w:rFonts w:ascii="Calibri" w:hAnsi="Calibri"/>
                <w:b w:val="0"/>
                <w:color w:val="404040"/>
                <w:sz w:val="17"/>
              </w:rPr>
              <w:t>Full-text and faceted search across orders, products, and customers. Fed by Kafka change events.</w:t>
            </w:r>
          </w:p>
        </w:tc>
      </w:tr>
      <w:tr>
        <w:tc>
          <w:tcPr>
            <w:tcW w:type="dxa" w:w="2088"/>
            <w:shd w:val="clear" w:color="auto" w:fill="EDF2F8"/>
          </w:tcPr>
          <w:p>
            <w:pPr>
              <w:jc w:val="left"/>
            </w:pPr>
            <w:r/>
            <w:r>
              <w:rPr>
                <w:rFonts w:ascii="Calibri" w:hAnsi="Calibri"/>
                <w:b w:val="0"/>
                <w:color w:val="404040"/>
                <w:sz w:val="17"/>
              </w:rPr>
              <w:t>API Gateway</w:t>
            </w:r>
          </w:p>
        </w:tc>
        <w:tc>
          <w:tcPr>
            <w:tcW w:type="dxa" w:w="1512"/>
            <w:shd w:val="clear" w:color="auto" w:fill="EDF2F8"/>
          </w:tcPr>
          <w:p>
            <w:pPr>
              <w:jc w:val="left"/>
            </w:pPr>
            <w:r/>
            <w:r>
              <w:rPr>
                <w:rFonts w:ascii="Calibri" w:hAnsi="Calibri"/>
                <w:b w:val="0"/>
                <w:color w:val="404040"/>
                <w:sz w:val="17"/>
              </w:rPr>
              <w:t>Infrastructure</w:t>
            </w:r>
          </w:p>
        </w:tc>
        <w:tc>
          <w:tcPr>
            <w:tcW w:type="dxa" w:w="2376"/>
            <w:shd w:val="clear" w:color="auto" w:fill="EDF2F8"/>
          </w:tcPr>
          <w:p>
            <w:pPr>
              <w:jc w:val="left"/>
            </w:pPr>
            <w:r/>
            <w:r>
              <w:rPr>
                <w:rFonts w:ascii="Calibri" w:hAnsi="Calibri"/>
                <w:b w:val="0"/>
                <w:color w:val="404040"/>
                <w:sz w:val="17"/>
              </w:rPr>
              <w:t>AWS API Gateway, Kong 3.6</w:t>
            </w:r>
          </w:p>
        </w:tc>
        <w:tc>
          <w:tcPr>
            <w:tcW w:type="dxa" w:w="2304"/>
            <w:shd w:val="clear" w:color="auto" w:fill="EDF2F8"/>
          </w:tcPr>
          <w:p>
            <w:pPr>
              <w:jc w:val="left"/>
            </w:pPr>
            <w:r/>
            <w:r>
              <w:rPr>
                <w:rFonts w:ascii="Calibri" w:hAnsi="Calibri"/>
                <w:b w:val="0"/>
                <w:color w:val="404040"/>
                <w:sz w:val="17"/>
              </w:rPr>
              <w:t>All Domain Services, Auth Service</w:t>
            </w:r>
          </w:p>
        </w:tc>
        <w:tc>
          <w:tcPr>
            <w:tcW w:type="dxa" w:w="3168"/>
            <w:shd w:val="clear" w:color="auto" w:fill="EDF2F8"/>
          </w:tcPr>
          <w:p>
            <w:pPr>
              <w:jc w:val="left"/>
            </w:pPr>
            <w:r/>
            <w:r>
              <w:rPr>
                <w:rFonts w:ascii="Calibri" w:hAnsi="Calibri"/>
                <w:b w:val="0"/>
                <w:color w:val="404040"/>
                <w:sz w:val="17"/>
              </w:rPr>
              <w:t>Single ingress point. Handles routing, rate limiting, JWT validation, and API versioning.</w:t>
            </w:r>
          </w:p>
        </w:tc>
      </w:tr>
      <w:tr>
        <w:tc>
          <w:tcPr>
            <w:tcW w:type="dxa" w:w="2088"/>
            <w:shd w:val="clear" w:color="auto" w:fill="FFFFFF"/>
          </w:tcPr>
          <w:p>
            <w:pPr>
              <w:jc w:val="left"/>
            </w:pPr>
            <w:r/>
            <w:r>
              <w:rPr>
                <w:rFonts w:ascii="Calibri" w:hAnsi="Calibri"/>
                <w:b w:val="0"/>
                <w:color w:val="404040"/>
                <w:sz w:val="17"/>
              </w:rPr>
              <w:t>Event Bus</w:t>
            </w:r>
          </w:p>
        </w:tc>
        <w:tc>
          <w:tcPr>
            <w:tcW w:type="dxa" w:w="1512"/>
            <w:shd w:val="clear" w:color="auto" w:fill="FFFFFF"/>
          </w:tcPr>
          <w:p>
            <w:pPr>
              <w:jc w:val="left"/>
            </w:pPr>
            <w:r/>
            <w:r>
              <w:rPr>
                <w:rFonts w:ascii="Calibri" w:hAnsi="Calibri"/>
                <w:b w:val="0"/>
                <w:color w:val="404040"/>
                <w:sz w:val="17"/>
              </w:rPr>
              <w:t>Infrastructure</w:t>
            </w:r>
          </w:p>
        </w:tc>
        <w:tc>
          <w:tcPr>
            <w:tcW w:type="dxa" w:w="2376"/>
            <w:shd w:val="clear" w:color="auto" w:fill="FFFFFF"/>
          </w:tcPr>
          <w:p>
            <w:pPr>
              <w:jc w:val="left"/>
            </w:pPr>
            <w:r/>
            <w:r>
              <w:rPr>
                <w:rFonts w:ascii="Calibri" w:hAnsi="Calibri"/>
                <w:b w:val="0"/>
                <w:color w:val="404040"/>
                <w:sz w:val="17"/>
              </w:rPr>
              <w:t>Apache Kafka 3.7, Confluent Schema Registry</w:t>
            </w:r>
          </w:p>
        </w:tc>
        <w:tc>
          <w:tcPr>
            <w:tcW w:type="dxa" w:w="2304"/>
            <w:shd w:val="clear" w:color="auto" w:fill="FFFFFF"/>
          </w:tcPr>
          <w:p>
            <w:pPr>
              <w:jc w:val="left"/>
            </w:pPr>
            <w:r/>
            <w:r>
              <w:rPr>
                <w:rFonts w:ascii="Calibri" w:hAnsi="Calibri"/>
                <w:b w:val="0"/>
                <w:color w:val="404040"/>
                <w:sz w:val="17"/>
              </w:rPr>
              <w:t>All Domain Services</w:t>
            </w:r>
          </w:p>
        </w:tc>
        <w:tc>
          <w:tcPr>
            <w:tcW w:type="dxa" w:w="3168"/>
            <w:shd w:val="clear" w:color="auto" w:fill="FFFFFF"/>
          </w:tcPr>
          <w:p>
            <w:pPr>
              <w:jc w:val="left"/>
            </w:pPr>
            <w:r/>
            <w:r>
              <w:rPr>
                <w:rFonts w:ascii="Calibri" w:hAnsi="Calibri"/>
                <w:b w:val="0"/>
                <w:color w:val="404040"/>
                <w:sz w:val="17"/>
              </w:rPr>
              <w:t>Backbone for asynchronous inter-service messaging. Schema Registry enforces Avro contract.</w:t>
            </w:r>
          </w:p>
        </w:tc>
      </w:tr>
      <w:tr>
        <w:tc>
          <w:tcPr>
            <w:tcW w:type="dxa" w:w="2088"/>
            <w:shd w:val="clear" w:color="auto" w:fill="EDF2F8"/>
          </w:tcPr>
          <w:p>
            <w:pPr>
              <w:jc w:val="left"/>
            </w:pPr>
            <w:r/>
            <w:r>
              <w:rPr>
                <w:rFonts w:ascii="Calibri" w:hAnsi="Calibri"/>
                <w:b w:val="0"/>
                <w:color w:val="404040"/>
                <w:sz w:val="17"/>
              </w:rPr>
              <w:t>Service Mesh</w:t>
            </w:r>
          </w:p>
        </w:tc>
        <w:tc>
          <w:tcPr>
            <w:tcW w:type="dxa" w:w="1512"/>
            <w:shd w:val="clear" w:color="auto" w:fill="EDF2F8"/>
          </w:tcPr>
          <w:p>
            <w:pPr>
              <w:jc w:val="left"/>
            </w:pPr>
            <w:r/>
            <w:r>
              <w:rPr>
                <w:rFonts w:ascii="Calibri" w:hAnsi="Calibri"/>
                <w:b w:val="0"/>
                <w:color w:val="404040"/>
                <w:sz w:val="17"/>
              </w:rPr>
              <w:t>Infrastructure</w:t>
            </w:r>
          </w:p>
        </w:tc>
        <w:tc>
          <w:tcPr>
            <w:tcW w:type="dxa" w:w="2376"/>
            <w:shd w:val="clear" w:color="auto" w:fill="EDF2F8"/>
          </w:tcPr>
          <w:p>
            <w:pPr>
              <w:jc w:val="left"/>
            </w:pPr>
            <w:r/>
            <w:r>
              <w:rPr>
                <w:rFonts w:ascii="Calibri" w:hAnsi="Calibri"/>
                <w:b w:val="0"/>
                <w:color w:val="404040"/>
                <w:sz w:val="17"/>
              </w:rPr>
              <w:t>Istio 1.21, Envoy Proxy</w:t>
            </w:r>
          </w:p>
        </w:tc>
        <w:tc>
          <w:tcPr>
            <w:tcW w:type="dxa" w:w="2304"/>
            <w:shd w:val="clear" w:color="auto" w:fill="EDF2F8"/>
          </w:tcPr>
          <w:p>
            <w:pPr>
              <w:jc w:val="left"/>
            </w:pPr>
            <w:r/>
            <w:r>
              <w:rPr>
                <w:rFonts w:ascii="Calibri" w:hAnsi="Calibri"/>
                <w:b w:val="0"/>
                <w:color w:val="404040"/>
                <w:sz w:val="17"/>
              </w:rPr>
              <w:t>Kubernetes (EKS 1.30), All Services</w:t>
            </w:r>
          </w:p>
        </w:tc>
        <w:tc>
          <w:tcPr>
            <w:tcW w:type="dxa" w:w="3168"/>
            <w:shd w:val="clear" w:color="auto" w:fill="EDF2F8"/>
          </w:tcPr>
          <w:p>
            <w:pPr>
              <w:jc w:val="left"/>
            </w:pPr>
            <w:r/>
            <w:r>
              <w:rPr>
                <w:rFonts w:ascii="Calibri" w:hAnsi="Calibri"/>
                <w:b w:val="0"/>
                <w:color w:val="404040"/>
                <w:sz w:val="17"/>
              </w:rPr>
              <w:t>mTLS, traffic shaping, circuit breaking, and distributed tracing (integrates with Jaeger).</w:t>
            </w:r>
          </w:p>
        </w:tc>
      </w:tr>
      <w:tr>
        <w:tc>
          <w:tcPr>
            <w:tcW w:type="dxa" w:w="2088"/>
            <w:shd w:val="clear" w:color="auto" w:fill="FFFFFF"/>
          </w:tcPr>
          <w:p>
            <w:pPr>
              <w:jc w:val="left"/>
            </w:pPr>
            <w:r/>
            <w:r>
              <w:rPr>
                <w:rFonts w:ascii="Calibri" w:hAnsi="Calibri"/>
                <w:b w:val="0"/>
                <w:color w:val="404040"/>
                <w:sz w:val="17"/>
              </w:rPr>
              <w:t>Config &amp; Secret Service</w:t>
            </w:r>
          </w:p>
        </w:tc>
        <w:tc>
          <w:tcPr>
            <w:tcW w:type="dxa" w:w="1512"/>
            <w:shd w:val="clear" w:color="auto" w:fill="FFFFFF"/>
          </w:tcPr>
          <w:p>
            <w:pPr>
              <w:jc w:val="left"/>
            </w:pPr>
            <w:r/>
            <w:r>
              <w:rPr>
                <w:rFonts w:ascii="Calibri" w:hAnsi="Calibri"/>
                <w:b w:val="0"/>
                <w:color w:val="404040"/>
                <w:sz w:val="17"/>
              </w:rPr>
              <w:t>Platform Service</w:t>
            </w:r>
          </w:p>
        </w:tc>
        <w:tc>
          <w:tcPr>
            <w:tcW w:type="dxa" w:w="2376"/>
            <w:shd w:val="clear" w:color="auto" w:fill="FFFFFF"/>
          </w:tcPr>
          <w:p>
            <w:pPr>
              <w:jc w:val="left"/>
            </w:pPr>
            <w:r/>
            <w:r>
              <w:rPr>
                <w:rFonts w:ascii="Calibri" w:hAnsi="Calibri"/>
                <w:b w:val="0"/>
                <w:color w:val="404040"/>
                <w:sz w:val="17"/>
              </w:rPr>
              <w:t>HashiCorp Vault 1.16, AWS SSM</w:t>
            </w:r>
          </w:p>
        </w:tc>
        <w:tc>
          <w:tcPr>
            <w:tcW w:type="dxa" w:w="2304"/>
            <w:shd w:val="clear" w:color="auto" w:fill="FFFFFF"/>
          </w:tcPr>
          <w:p>
            <w:pPr>
              <w:jc w:val="left"/>
            </w:pPr>
            <w:r/>
            <w:r>
              <w:rPr>
                <w:rFonts w:ascii="Calibri" w:hAnsi="Calibri"/>
                <w:b w:val="0"/>
                <w:color w:val="404040"/>
                <w:sz w:val="17"/>
              </w:rPr>
              <w:t>All Services</w:t>
            </w:r>
          </w:p>
        </w:tc>
        <w:tc>
          <w:tcPr>
            <w:tcW w:type="dxa" w:w="3168"/>
            <w:shd w:val="clear" w:color="auto" w:fill="FFFFFF"/>
          </w:tcPr>
          <w:p>
            <w:pPr>
              <w:jc w:val="left"/>
            </w:pPr>
            <w:r/>
            <w:r>
              <w:rPr>
                <w:rFonts w:ascii="Calibri" w:hAnsi="Calibri"/>
                <w:b w:val="0"/>
                <w:color w:val="404040"/>
                <w:sz w:val="17"/>
              </w:rPr>
              <w:t>Centralised secrets management, dynamic credentials, and configuration store.</w:t>
            </w:r>
          </w:p>
        </w:tc>
      </w:tr>
      <w:tr>
        <w:tc>
          <w:tcPr>
            <w:tcW w:type="dxa" w:w="2088"/>
            <w:shd w:val="clear" w:color="auto" w:fill="EDF2F8"/>
          </w:tcPr>
          <w:p>
            <w:pPr>
              <w:jc w:val="left"/>
            </w:pPr>
            <w:r/>
            <w:r>
              <w:rPr>
                <w:rFonts w:ascii="Calibri" w:hAnsi="Calibri"/>
                <w:b w:val="0"/>
                <w:color w:val="404040"/>
                <w:sz w:val="17"/>
              </w:rPr>
              <w:t>Observability Stack</w:t>
            </w:r>
          </w:p>
        </w:tc>
        <w:tc>
          <w:tcPr>
            <w:tcW w:type="dxa" w:w="1512"/>
            <w:shd w:val="clear" w:color="auto" w:fill="EDF2F8"/>
          </w:tcPr>
          <w:p>
            <w:pPr>
              <w:jc w:val="left"/>
            </w:pPr>
            <w:r/>
            <w:r>
              <w:rPr>
                <w:rFonts w:ascii="Calibri" w:hAnsi="Calibri"/>
                <w:b w:val="0"/>
                <w:color w:val="404040"/>
                <w:sz w:val="17"/>
              </w:rPr>
              <w:t>Infrastructure</w:t>
            </w:r>
          </w:p>
        </w:tc>
        <w:tc>
          <w:tcPr>
            <w:tcW w:type="dxa" w:w="2376"/>
            <w:shd w:val="clear" w:color="auto" w:fill="EDF2F8"/>
          </w:tcPr>
          <w:p>
            <w:pPr>
              <w:jc w:val="left"/>
            </w:pPr>
            <w:r/>
            <w:r>
              <w:rPr>
                <w:rFonts w:ascii="Calibri" w:hAnsi="Calibri"/>
                <w:b w:val="0"/>
                <w:color w:val="404040"/>
                <w:sz w:val="17"/>
              </w:rPr>
              <w:t>Prometheus, Grafana, Jaeger, ELK 8</w:t>
            </w:r>
          </w:p>
        </w:tc>
        <w:tc>
          <w:tcPr>
            <w:tcW w:type="dxa" w:w="2304"/>
            <w:shd w:val="clear" w:color="auto" w:fill="EDF2F8"/>
          </w:tcPr>
          <w:p>
            <w:pPr>
              <w:jc w:val="left"/>
            </w:pPr>
            <w:r/>
            <w:r>
              <w:rPr>
                <w:rFonts w:ascii="Calibri" w:hAnsi="Calibri"/>
                <w:b w:val="0"/>
                <w:color w:val="404040"/>
                <w:sz w:val="17"/>
              </w:rPr>
              <w:t>All Services, Kubernetes</w:t>
            </w:r>
          </w:p>
        </w:tc>
        <w:tc>
          <w:tcPr>
            <w:tcW w:type="dxa" w:w="3168"/>
            <w:shd w:val="clear" w:color="auto" w:fill="EDF2F8"/>
          </w:tcPr>
          <w:p>
            <w:pPr>
              <w:jc w:val="left"/>
            </w:pPr>
            <w:r/>
            <w:r>
              <w:rPr>
                <w:rFonts w:ascii="Calibri" w:hAnsi="Calibri"/>
                <w:b w:val="0"/>
                <w:color w:val="404040"/>
                <w:sz w:val="17"/>
              </w:rPr>
              <w:t>Metrics collection (Prometheus), dashboards (Grafana), distributed tracing (Jaeger), log aggregation (ELK).</w:t>
            </w:r>
          </w:p>
        </w:tc>
      </w:tr>
    </w:tbl>
    <w:p>
      <w:pPr>
        <w:spacing w:after="80"/>
      </w:pPr>
    </w:p>
    <w:p>
      <w:pPr>
        <w:spacing w:before="40" w:after="160"/>
      </w:pPr>
      <w:r>
        <w:rPr>
          <w:rFonts w:ascii="Calibri" w:hAnsi="Calibri"/>
          <w:i/>
          <w:color w:val="2E75B6"/>
          <w:sz w:val="17"/>
        </w:rPr>
        <w:t>Table 3.2 – Target Microservices Architecture Component Inventory</w:t>
      </w:r>
    </w:p>
    <w:p>
      <w:pPr>
        <w:pStyle w:val="Heading2"/>
        <w:spacing w:before="200" w:after="120"/>
      </w:pPr>
      <w:r>
        <w:rPr>
          <w:rFonts w:ascii="Calibri" w:hAnsi="Calibri"/>
          <w:color w:val="2E75B6"/>
          <w:sz w:val="26"/>
        </w:rPr>
        <w:t>3.3  Integration Patterns and API Gateway Design</w:t>
      </w:r>
    </w:p>
    <w:p>
      <w:pPr>
        <w:spacing w:after="120" w:before="40"/>
      </w:pPr>
      <w:r>
        <w:rPr>
          <w:rFonts w:ascii="Calibri" w:hAnsi="Calibri"/>
          <w:b w:val="0"/>
          <w:i w:val="0"/>
          <w:color w:val="404040"/>
          <w:sz w:val="20"/>
        </w:rPr>
        <w:t>The table below documents the integration patterns adopted for inter-service communication and the API Gateway configuration applied across service domains.</w:t>
      </w:r>
    </w:p>
    <w:tbl>
      <w:tblPr>
        <w:tblStyle w:val="TableGrid"/>
        <w:tblW w:type="auto" w:w="0"/>
        <w:jc w:val="center"/>
        <w:tblLook w:firstColumn="1" w:firstRow="1" w:lastColumn="0" w:lastRow="0" w:noHBand="0" w:noVBand="1" w:val="04A0"/>
      </w:tblPr>
      <w:tblGrid>
        <w:gridCol w:w="1786"/>
        <w:gridCol w:w="1786"/>
        <w:gridCol w:w="1786"/>
        <w:gridCol w:w="1786"/>
        <w:gridCol w:w="1786"/>
      </w:tblGrid>
      <w:tr>
        <w:tc>
          <w:tcPr>
            <w:tcW w:type="dxa" w:w="2160"/>
            <w:shd w:val="clear" w:color="auto" w:fill="1F3964"/>
          </w:tcPr>
          <w:p>
            <w:pPr>
              <w:jc w:val="center"/>
            </w:pPr>
            <w:r/>
            <w:r>
              <w:rPr>
                <w:rFonts w:ascii="Calibri" w:hAnsi="Calibri"/>
                <w:b/>
                <w:color w:val="FFFFFF"/>
                <w:sz w:val="18"/>
              </w:rPr>
              <w:t>Pattern / Component</w:t>
            </w:r>
          </w:p>
        </w:tc>
        <w:tc>
          <w:tcPr>
            <w:tcW w:type="dxa" w:w="1584"/>
            <w:shd w:val="clear" w:color="auto" w:fill="1F3964"/>
          </w:tcPr>
          <w:p>
            <w:pPr>
              <w:jc w:val="center"/>
            </w:pPr>
            <w:r/>
            <w:r>
              <w:rPr>
                <w:rFonts w:ascii="Calibri" w:hAnsi="Calibri"/>
                <w:b/>
                <w:color w:val="FFFFFF"/>
                <w:sz w:val="18"/>
              </w:rPr>
              <w:t>Type</w:t>
            </w:r>
          </w:p>
        </w:tc>
        <w:tc>
          <w:tcPr>
            <w:tcW w:type="dxa" w:w="2232"/>
            <w:shd w:val="clear" w:color="auto" w:fill="1F3964"/>
          </w:tcPr>
          <w:p>
            <w:pPr>
              <w:jc w:val="center"/>
            </w:pPr>
            <w:r/>
            <w:r>
              <w:rPr>
                <w:rFonts w:ascii="Calibri" w:hAnsi="Calibri"/>
                <w:b/>
                <w:color w:val="FFFFFF"/>
                <w:sz w:val="18"/>
              </w:rPr>
              <w:t>Technology</w:t>
            </w:r>
          </w:p>
        </w:tc>
        <w:tc>
          <w:tcPr>
            <w:tcW w:type="dxa" w:w="2232"/>
            <w:shd w:val="clear" w:color="auto" w:fill="1F3964"/>
          </w:tcPr>
          <w:p>
            <w:pPr>
              <w:jc w:val="center"/>
            </w:pPr>
            <w:r/>
            <w:r>
              <w:rPr>
                <w:rFonts w:ascii="Calibri" w:hAnsi="Calibri"/>
                <w:b/>
                <w:color w:val="FFFFFF"/>
                <w:sz w:val="18"/>
              </w:rPr>
              <w:t>Services Involved</w:t>
            </w:r>
          </w:p>
        </w:tc>
        <w:tc>
          <w:tcPr>
            <w:tcW w:type="dxa" w:w="3168"/>
            <w:shd w:val="clear" w:color="auto" w:fill="1F3964"/>
          </w:tcPr>
          <w:p>
            <w:pPr>
              <w:jc w:val="center"/>
            </w:pPr>
            <w:r/>
            <w:r>
              <w:rPr>
                <w:rFonts w:ascii="Calibri" w:hAnsi="Calibri"/>
                <w:b/>
                <w:color w:val="FFFFFF"/>
                <w:sz w:val="18"/>
              </w:rPr>
              <w:t>Use Case &amp; Configuration Details</w:t>
            </w:r>
          </w:p>
        </w:tc>
      </w:tr>
      <w:tr>
        <w:tc>
          <w:tcPr>
            <w:tcW w:type="dxa" w:w="2160"/>
            <w:shd w:val="clear" w:color="auto" w:fill="FFFFFF"/>
          </w:tcPr>
          <w:p>
            <w:pPr>
              <w:jc w:val="left"/>
            </w:pPr>
            <w:r/>
            <w:r>
              <w:rPr>
                <w:rFonts w:ascii="Calibri" w:hAnsi="Calibri"/>
                <w:b w:val="0"/>
                <w:color w:val="404040"/>
                <w:sz w:val="17"/>
              </w:rPr>
              <w:t>Synchronous REST API</w:t>
            </w:r>
          </w:p>
        </w:tc>
        <w:tc>
          <w:tcPr>
            <w:tcW w:type="dxa" w:w="1584"/>
            <w:shd w:val="clear" w:color="auto" w:fill="FFFFFF"/>
          </w:tcPr>
          <w:p>
            <w:pPr>
              <w:jc w:val="left"/>
            </w:pPr>
            <w:r/>
            <w:r>
              <w:rPr>
                <w:rFonts w:ascii="Calibri" w:hAnsi="Calibri"/>
                <w:b w:val="0"/>
                <w:color w:val="404040"/>
                <w:sz w:val="17"/>
              </w:rPr>
              <w:t>Communication Pattern</w:t>
            </w:r>
          </w:p>
        </w:tc>
        <w:tc>
          <w:tcPr>
            <w:tcW w:type="dxa" w:w="2232"/>
            <w:shd w:val="clear" w:color="auto" w:fill="FFFFFF"/>
          </w:tcPr>
          <w:p>
            <w:pPr>
              <w:jc w:val="left"/>
            </w:pPr>
            <w:r/>
            <w:r>
              <w:rPr>
                <w:rFonts w:ascii="Calibri" w:hAnsi="Calibri"/>
                <w:b w:val="0"/>
                <w:color w:val="404040"/>
                <w:sz w:val="17"/>
              </w:rPr>
              <w:t>HTTP/1.1, JSON, OpenAPI 3.1</w:t>
            </w:r>
          </w:p>
        </w:tc>
        <w:tc>
          <w:tcPr>
            <w:tcW w:type="dxa" w:w="2232"/>
            <w:shd w:val="clear" w:color="auto" w:fill="FFFFFF"/>
          </w:tcPr>
          <w:p>
            <w:pPr>
              <w:jc w:val="left"/>
            </w:pPr>
            <w:r/>
            <w:r>
              <w:rPr>
                <w:rFonts w:ascii="Calibri" w:hAnsi="Calibri"/>
                <w:b w:val="0"/>
                <w:color w:val="404040"/>
                <w:sz w:val="17"/>
              </w:rPr>
              <w:t>All domain services</w:t>
            </w:r>
          </w:p>
        </w:tc>
        <w:tc>
          <w:tcPr>
            <w:tcW w:type="dxa" w:w="3168"/>
            <w:shd w:val="clear" w:color="auto" w:fill="FFFFFF"/>
          </w:tcPr>
          <w:p>
            <w:pPr>
              <w:jc w:val="left"/>
            </w:pPr>
            <w:r/>
            <w:r>
              <w:rPr>
                <w:rFonts w:ascii="Calibri" w:hAnsi="Calibri"/>
                <w:b w:val="0"/>
                <w:color w:val="404040"/>
                <w:sz w:val="17"/>
              </w:rPr>
              <w:t>Request-response for real-time queries. Enforced via Kong plugin with schema validation and OpenAPI spec publishing.</w:t>
            </w:r>
          </w:p>
        </w:tc>
      </w:tr>
      <w:tr>
        <w:tc>
          <w:tcPr>
            <w:tcW w:type="dxa" w:w="2160"/>
            <w:shd w:val="clear" w:color="auto" w:fill="EDF2F8"/>
          </w:tcPr>
          <w:p>
            <w:pPr>
              <w:jc w:val="left"/>
            </w:pPr>
            <w:r/>
            <w:r>
              <w:rPr>
                <w:rFonts w:ascii="Calibri" w:hAnsi="Calibri"/>
                <w:b w:val="0"/>
                <w:color w:val="404040"/>
                <w:sz w:val="17"/>
              </w:rPr>
              <w:t>Synchronous gRPC</w:t>
            </w:r>
          </w:p>
        </w:tc>
        <w:tc>
          <w:tcPr>
            <w:tcW w:type="dxa" w:w="1584"/>
            <w:shd w:val="clear" w:color="auto" w:fill="EDF2F8"/>
          </w:tcPr>
          <w:p>
            <w:pPr>
              <w:jc w:val="left"/>
            </w:pPr>
            <w:r/>
            <w:r>
              <w:rPr>
                <w:rFonts w:ascii="Calibri" w:hAnsi="Calibri"/>
                <w:b w:val="0"/>
                <w:color w:val="404040"/>
                <w:sz w:val="17"/>
              </w:rPr>
              <w:t>Communication Pattern</w:t>
            </w:r>
          </w:p>
        </w:tc>
        <w:tc>
          <w:tcPr>
            <w:tcW w:type="dxa" w:w="2232"/>
            <w:shd w:val="clear" w:color="auto" w:fill="EDF2F8"/>
          </w:tcPr>
          <w:p>
            <w:pPr>
              <w:jc w:val="left"/>
            </w:pPr>
            <w:r/>
            <w:r>
              <w:rPr>
                <w:rFonts w:ascii="Calibri" w:hAnsi="Calibri"/>
                <w:b w:val="0"/>
                <w:color w:val="404040"/>
                <w:sz w:val="17"/>
              </w:rPr>
              <w:t>HTTP/2, Protocol Buffers 3</w:t>
            </w:r>
          </w:p>
        </w:tc>
        <w:tc>
          <w:tcPr>
            <w:tcW w:type="dxa" w:w="2232"/>
            <w:shd w:val="clear" w:color="auto" w:fill="EDF2F8"/>
          </w:tcPr>
          <w:p>
            <w:pPr>
              <w:jc w:val="left"/>
            </w:pPr>
            <w:r/>
            <w:r>
              <w:rPr>
                <w:rFonts w:ascii="Calibri" w:hAnsi="Calibri"/>
                <w:b w:val="0"/>
                <w:color w:val="404040"/>
                <w:sz w:val="17"/>
              </w:rPr>
              <w:t>Auth Svc ↔ All, Inventory ↔ Order</w:t>
            </w:r>
          </w:p>
        </w:tc>
        <w:tc>
          <w:tcPr>
            <w:tcW w:type="dxa" w:w="3168"/>
            <w:shd w:val="clear" w:color="auto" w:fill="EDF2F8"/>
          </w:tcPr>
          <w:p>
            <w:pPr>
              <w:jc w:val="left"/>
            </w:pPr>
            <w:r/>
            <w:r>
              <w:rPr>
                <w:rFonts w:ascii="Calibri" w:hAnsi="Calibri"/>
                <w:b w:val="0"/>
                <w:color w:val="404040"/>
                <w:sz w:val="17"/>
              </w:rPr>
              <w:t>Low-latency internal service calls. Protobuf contracts stored in shared registry. Used where sub-10ms latency required.</w:t>
            </w:r>
          </w:p>
        </w:tc>
      </w:tr>
      <w:tr>
        <w:tc>
          <w:tcPr>
            <w:tcW w:type="dxa" w:w="2160"/>
            <w:shd w:val="clear" w:color="auto" w:fill="FFFFFF"/>
          </w:tcPr>
          <w:p>
            <w:pPr>
              <w:jc w:val="left"/>
            </w:pPr>
            <w:r/>
            <w:r>
              <w:rPr>
                <w:rFonts w:ascii="Calibri" w:hAnsi="Calibri"/>
                <w:b w:val="0"/>
                <w:color w:val="404040"/>
                <w:sz w:val="17"/>
              </w:rPr>
              <w:t>Asynchronous Event Streaming</w:t>
            </w:r>
          </w:p>
        </w:tc>
        <w:tc>
          <w:tcPr>
            <w:tcW w:type="dxa" w:w="1584"/>
            <w:shd w:val="clear" w:color="auto" w:fill="FFFFFF"/>
          </w:tcPr>
          <w:p>
            <w:pPr>
              <w:jc w:val="left"/>
            </w:pPr>
            <w:r/>
            <w:r>
              <w:rPr>
                <w:rFonts w:ascii="Calibri" w:hAnsi="Calibri"/>
                <w:b w:val="0"/>
                <w:color w:val="404040"/>
                <w:sz w:val="17"/>
              </w:rPr>
              <w:t>Communication Pattern</w:t>
            </w:r>
          </w:p>
        </w:tc>
        <w:tc>
          <w:tcPr>
            <w:tcW w:type="dxa" w:w="2232"/>
            <w:shd w:val="clear" w:color="auto" w:fill="FFFFFF"/>
          </w:tcPr>
          <w:p>
            <w:pPr>
              <w:jc w:val="left"/>
            </w:pPr>
            <w:r/>
            <w:r>
              <w:rPr>
                <w:rFonts w:ascii="Calibri" w:hAnsi="Calibri"/>
                <w:b w:val="0"/>
                <w:color w:val="404040"/>
                <w:sz w:val="17"/>
              </w:rPr>
              <w:t>Apache Kafka 3.7, Avro</w:t>
            </w:r>
          </w:p>
        </w:tc>
        <w:tc>
          <w:tcPr>
            <w:tcW w:type="dxa" w:w="2232"/>
            <w:shd w:val="clear" w:color="auto" w:fill="FFFFFF"/>
          </w:tcPr>
          <w:p>
            <w:pPr>
              <w:jc w:val="left"/>
            </w:pPr>
            <w:r/>
            <w:r>
              <w:rPr>
                <w:rFonts w:ascii="Calibri" w:hAnsi="Calibri"/>
                <w:b w:val="0"/>
                <w:color w:val="404040"/>
                <w:sz w:val="17"/>
              </w:rPr>
              <w:t>All domain services via Event Bus</w:t>
            </w:r>
          </w:p>
        </w:tc>
        <w:tc>
          <w:tcPr>
            <w:tcW w:type="dxa" w:w="3168"/>
            <w:shd w:val="clear" w:color="auto" w:fill="FFFFFF"/>
          </w:tcPr>
          <w:p>
            <w:pPr>
              <w:jc w:val="left"/>
            </w:pPr>
            <w:r/>
            <w:r>
              <w:rPr>
                <w:rFonts w:ascii="Calibri" w:hAnsi="Calibri"/>
                <w:b w:val="0"/>
                <w:color w:val="404040"/>
                <w:sz w:val="17"/>
              </w:rPr>
              <w:t>Domain event publication and subscription. Topics: orders, inventory, billing, customers, notifications. Retention: 7 days.</w:t>
            </w:r>
          </w:p>
        </w:tc>
      </w:tr>
      <w:tr>
        <w:tc>
          <w:tcPr>
            <w:tcW w:type="dxa" w:w="2160"/>
            <w:shd w:val="clear" w:color="auto" w:fill="EDF2F8"/>
          </w:tcPr>
          <w:p>
            <w:pPr>
              <w:jc w:val="left"/>
            </w:pPr>
            <w:r/>
            <w:r>
              <w:rPr>
                <w:rFonts w:ascii="Calibri" w:hAnsi="Calibri"/>
                <w:b w:val="0"/>
                <w:color w:val="404040"/>
                <w:sz w:val="17"/>
              </w:rPr>
              <w:t>API Gateway – Routing</w:t>
            </w:r>
          </w:p>
        </w:tc>
        <w:tc>
          <w:tcPr>
            <w:tcW w:type="dxa" w:w="1584"/>
            <w:shd w:val="clear" w:color="auto" w:fill="EDF2F8"/>
          </w:tcPr>
          <w:p>
            <w:pPr>
              <w:jc w:val="left"/>
            </w:pPr>
            <w:r/>
            <w:r>
              <w:rPr>
                <w:rFonts w:ascii="Calibri" w:hAnsi="Calibri"/>
                <w:b w:val="0"/>
                <w:color w:val="404040"/>
                <w:sz w:val="17"/>
              </w:rPr>
              <w:t>Gateway Feature</w:t>
            </w:r>
          </w:p>
        </w:tc>
        <w:tc>
          <w:tcPr>
            <w:tcW w:type="dxa" w:w="2232"/>
            <w:shd w:val="clear" w:color="auto" w:fill="EDF2F8"/>
          </w:tcPr>
          <w:p>
            <w:pPr>
              <w:jc w:val="left"/>
            </w:pPr>
            <w:r/>
            <w:r>
              <w:rPr>
                <w:rFonts w:ascii="Calibri" w:hAnsi="Calibri"/>
                <w:b w:val="0"/>
                <w:color w:val="404040"/>
                <w:sz w:val="17"/>
              </w:rPr>
              <w:t>AWS API Gateway + Kong</w:t>
            </w:r>
          </w:p>
        </w:tc>
        <w:tc>
          <w:tcPr>
            <w:tcW w:type="dxa" w:w="2232"/>
            <w:shd w:val="clear" w:color="auto" w:fill="EDF2F8"/>
          </w:tcPr>
          <w:p>
            <w:pPr>
              <w:jc w:val="left"/>
            </w:pPr>
            <w:r/>
            <w:r>
              <w:rPr>
                <w:rFonts w:ascii="Calibri" w:hAnsi="Calibri"/>
                <w:b w:val="0"/>
                <w:color w:val="404040"/>
                <w:sz w:val="17"/>
              </w:rPr>
              <w:t>External clients → All services</w:t>
            </w:r>
          </w:p>
        </w:tc>
        <w:tc>
          <w:tcPr>
            <w:tcW w:type="dxa" w:w="3168"/>
            <w:shd w:val="clear" w:color="auto" w:fill="EDF2F8"/>
          </w:tcPr>
          <w:p>
            <w:pPr>
              <w:jc w:val="left"/>
            </w:pPr>
            <w:r/>
            <w:r>
              <w:rPr>
                <w:rFonts w:ascii="Calibri" w:hAnsi="Calibri"/>
                <w:b w:val="0"/>
                <w:color w:val="404040"/>
                <w:sz w:val="17"/>
              </w:rPr>
              <w:t>URL-based routing rules map /api/v1/orders/* → Order Service. Supports path rewriting and versioning.</w:t>
            </w:r>
          </w:p>
        </w:tc>
      </w:tr>
      <w:tr>
        <w:tc>
          <w:tcPr>
            <w:tcW w:type="dxa" w:w="2160"/>
            <w:shd w:val="clear" w:color="auto" w:fill="FFFFFF"/>
          </w:tcPr>
          <w:p>
            <w:pPr>
              <w:jc w:val="left"/>
            </w:pPr>
            <w:r/>
            <w:r>
              <w:rPr>
                <w:rFonts w:ascii="Calibri" w:hAnsi="Calibri"/>
                <w:b w:val="0"/>
                <w:color w:val="404040"/>
                <w:sz w:val="17"/>
              </w:rPr>
              <w:t>API Gateway – Auth</w:t>
            </w:r>
          </w:p>
        </w:tc>
        <w:tc>
          <w:tcPr>
            <w:tcW w:type="dxa" w:w="1584"/>
            <w:shd w:val="clear" w:color="auto" w:fill="FFFFFF"/>
          </w:tcPr>
          <w:p>
            <w:pPr>
              <w:jc w:val="left"/>
            </w:pPr>
            <w:r/>
            <w:r>
              <w:rPr>
                <w:rFonts w:ascii="Calibri" w:hAnsi="Calibri"/>
                <w:b w:val="0"/>
                <w:color w:val="404040"/>
                <w:sz w:val="17"/>
              </w:rPr>
              <w:t>Gateway Feature</w:t>
            </w:r>
          </w:p>
        </w:tc>
        <w:tc>
          <w:tcPr>
            <w:tcW w:type="dxa" w:w="2232"/>
            <w:shd w:val="clear" w:color="auto" w:fill="FFFFFF"/>
          </w:tcPr>
          <w:p>
            <w:pPr>
              <w:jc w:val="left"/>
            </w:pPr>
            <w:r/>
            <w:r>
              <w:rPr>
                <w:rFonts w:ascii="Calibri" w:hAnsi="Calibri"/>
                <w:b w:val="0"/>
                <w:color w:val="404040"/>
                <w:sz w:val="17"/>
              </w:rPr>
              <w:t>Kong JWT Plugin, Auth Service</w:t>
            </w:r>
          </w:p>
        </w:tc>
        <w:tc>
          <w:tcPr>
            <w:tcW w:type="dxa" w:w="2232"/>
            <w:shd w:val="clear" w:color="auto" w:fill="FFFFFF"/>
          </w:tcPr>
          <w:p>
            <w:pPr>
              <w:jc w:val="left"/>
            </w:pPr>
            <w:r/>
            <w:r>
              <w:rPr>
                <w:rFonts w:ascii="Calibri" w:hAnsi="Calibri"/>
                <w:b w:val="0"/>
                <w:color w:val="404040"/>
                <w:sz w:val="17"/>
              </w:rPr>
              <w:t>All inbound API requests</w:t>
            </w:r>
          </w:p>
        </w:tc>
        <w:tc>
          <w:tcPr>
            <w:tcW w:type="dxa" w:w="3168"/>
            <w:shd w:val="clear" w:color="auto" w:fill="FFFFFF"/>
          </w:tcPr>
          <w:p>
            <w:pPr>
              <w:jc w:val="left"/>
            </w:pPr>
            <w:r/>
            <w:r>
              <w:rPr>
                <w:rFonts w:ascii="Calibri" w:hAnsi="Calibri"/>
                <w:b w:val="0"/>
                <w:color w:val="404040"/>
                <w:sz w:val="17"/>
              </w:rPr>
              <w:t>JWT validation at gateway edge before forwarding to upstream. Token introspection for third-party OAuth flows.</w:t>
            </w:r>
          </w:p>
        </w:tc>
      </w:tr>
      <w:tr>
        <w:tc>
          <w:tcPr>
            <w:tcW w:type="dxa" w:w="2160"/>
            <w:shd w:val="clear" w:color="auto" w:fill="EDF2F8"/>
          </w:tcPr>
          <w:p>
            <w:pPr>
              <w:jc w:val="left"/>
            </w:pPr>
            <w:r/>
            <w:r>
              <w:rPr>
                <w:rFonts w:ascii="Calibri" w:hAnsi="Calibri"/>
                <w:b w:val="0"/>
                <w:color w:val="404040"/>
                <w:sz w:val="17"/>
              </w:rPr>
              <w:t>API Gateway – Rate Limiting</w:t>
            </w:r>
          </w:p>
        </w:tc>
        <w:tc>
          <w:tcPr>
            <w:tcW w:type="dxa" w:w="1584"/>
            <w:shd w:val="clear" w:color="auto" w:fill="EDF2F8"/>
          </w:tcPr>
          <w:p>
            <w:pPr>
              <w:jc w:val="left"/>
            </w:pPr>
            <w:r/>
            <w:r>
              <w:rPr>
                <w:rFonts w:ascii="Calibri" w:hAnsi="Calibri"/>
                <w:b w:val="0"/>
                <w:color w:val="404040"/>
                <w:sz w:val="17"/>
              </w:rPr>
              <w:t>Gateway Feature</w:t>
            </w:r>
          </w:p>
        </w:tc>
        <w:tc>
          <w:tcPr>
            <w:tcW w:type="dxa" w:w="2232"/>
            <w:shd w:val="clear" w:color="auto" w:fill="EDF2F8"/>
          </w:tcPr>
          <w:p>
            <w:pPr>
              <w:jc w:val="left"/>
            </w:pPr>
            <w:r/>
            <w:r>
              <w:rPr>
                <w:rFonts w:ascii="Calibri" w:hAnsi="Calibri"/>
                <w:b w:val="0"/>
                <w:color w:val="404040"/>
                <w:sz w:val="17"/>
              </w:rPr>
              <w:t>Kong Rate Limiting Advanced Plugin</w:t>
            </w:r>
          </w:p>
        </w:tc>
        <w:tc>
          <w:tcPr>
            <w:tcW w:type="dxa" w:w="2232"/>
            <w:shd w:val="clear" w:color="auto" w:fill="EDF2F8"/>
          </w:tcPr>
          <w:p>
            <w:pPr>
              <w:jc w:val="left"/>
            </w:pPr>
            <w:r/>
            <w:r>
              <w:rPr>
                <w:rFonts w:ascii="Calibri" w:hAnsi="Calibri"/>
                <w:b w:val="0"/>
                <w:color w:val="404040"/>
                <w:sz w:val="17"/>
              </w:rPr>
              <w:t>All public API consumers</w:t>
            </w:r>
          </w:p>
        </w:tc>
        <w:tc>
          <w:tcPr>
            <w:tcW w:type="dxa" w:w="3168"/>
            <w:shd w:val="clear" w:color="auto" w:fill="EDF2F8"/>
          </w:tcPr>
          <w:p>
            <w:pPr>
              <w:jc w:val="left"/>
            </w:pPr>
            <w:r/>
            <w:r>
              <w:rPr>
                <w:rFonts w:ascii="Calibri" w:hAnsi="Calibri"/>
                <w:b w:val="0"/>
                <w:color w:val="404040"/>
                <w:sz w:val="17"/>
              </w:rPr>
              <w:t>Tiered rate limits: Free tier 100 req/min; Premium 1000 req/min; Internal 10,000 req/min.</w:t>
            </w:r>
          </w:p>
        </w:tc>
      </w:tr>
      <w:tr>
        <w:tc>
          <w:tcPr>
            <w:tcW w:type="dxa" w:w="2160"/>
            <w:shd w:val="clear" w:color="auto" w:fill="FFFFFF"/>
          </w:tcPr>
          <w:p>
            <w:pPr>
              <w:jc w:val="left"/>
            </w:pPr>
            <w:r/>
            <w:r>
              <w:rPr>
                <w:rFonts w:ascii="Calibri" w:hAnsi="Calibri"/>
                <w:b w:val="0"/>
                <w:color w:val="404040"/>
                <w:sz w:val="17"/>
              </w:rPr>
              <w:t>API Gateway – Circuit Breaker</w:t>
            </w:r>
          </w:p>
        </w:tc>
        <w:tc>
          <w:tcPr>
            <w:tcW w:type="dxa" w:w="1584"/>
            <w:shd w:val="clear" w:color="auto" w:fill="FFFFFF"/>
          </w:tcPr>
          <w:p>
            <w:pPr>
              <w:jc w:val="left"/>
            </w:pPr>
            <w:r/>
            <w:r>
              <w:rPr>
                <w:rFonts w:ascii="Calibri" w:hAnsi="Calibri"/>
                <w:b w:val="0"/>
                <w:color w:val="404040"/>
                <w:sz w:val="17"/>
              </w:rPr>
              <w:t>Gateway Feature</w:t>
            </w:r>
          </w:p>
        </w:tc>
        <w:tc>
          <w:tcPr>
            <w:tcW w:type="dxa" w:w="2232"/>
            <w:shd w:val="clear" w:color="auto" w:fill="FFFFFF"/>
          </w:tcPr>
          <w:p>
            <w:pPr>
              <w:jc w:val="left"/>
            </w:pPr>
            <w:r/>
            <w:r>
              <w:rPr>
                <w:rFonts w:ascii="Calibri" w:hAnsi="Calibri"/>
                <w:b w:val="0"/>
                <w:color w:val="404040"/>
                <w:sz w:val="17"/>
              </w:rPr>
              <w:t>Kong, Istio (Envoy)</w:t>
            </w:r>
          </w:p>
        </w:tc>
        <w:tc>
          <w:tcPr>
            <w:tcW w:type="dxa" w:w="2232"/>
            <w:shd w:val="clear" w:color="auto" w:fill="FFFFFF"/>
          </w:tcPr>
          <w:p>
            <w:pPr>
              <w:jc w:val="left"/>
            </w:pPr>
            <w:r/>
            <w:r>
              <w:rPr>
                <w:rFonts w:ascii="Calibri" w:hAnsi="Calibri"/>
                <w:b w:val="0"/>
                <w:color w:val="404040"/>
                <w:sz w:val="17"/>
              </w:rPr>
              <w:t>All upstream services</w:t>
            </w:r>
          </w:p>
        </w:tc>
        <w:tc>
          <w:tcPr>
            <w:tcW w:type="dxa" w:w="3168"/>
            <w:shd w:val="clear" w:color="auto" w:fill="FFFFFF"/>
          </w:tcPr>
          <w:p>
            <w:pPr>
              <w:jc w:val="left"/>
            </w:pPr>
            <w:r/>
            <w:r>
              <w:rPr>
                <w:rFonts w:ascii="Calibri" w:hAnsi="Calibri"/>
                <w:b w:val="0"/>
                <w:color w:val="404040"/>
                <w:sz w:val="17"/>
              </w:rPr>
              <w:t>Configures 50% error threshold circuit breaker with 30-second open window before half-open retry.</w:t>
            </w:r>
          </w:p>
        </w:tc>
      </w:tr>
      <w:tr>
        <w:tc>
          <w:tcPr>
            <w:tcW w:type="dxa" w:w="2160"/>
            <w:shd w:val="clear" w:color="auto" w:fill="EDF2F8"/>
          </w:tcPr>
          <w:p>
            <w:pPr>
              <w:jc w:val="left"/>
            </w:pPr>
            <w:r/>
            <w:r>
              <w:rPr>
                <w:rFonts w:ascii="Calibri" w:hAnsi="Calibri"/>
                <w:b w:val="0"/>
                <w:color w:val="404040"/>
                <w:sz w:val="17"/>
              </w:rPr>
              <w:t>Service Mesh mTLS</w:t>
            </w:r>
          </w:p>
        </w:tc>
        <w:tc>
          <w:tcPr>
            <w:tcW w:type="dxa" w:w="1584"/>
            <w:shd w:val="clear" w:color="auto" w:fill="EDF2F8"/>
          </w:tcPr>
          <w:p>
            <w:pPr>
              <w:jc w:val="left"/>
            </w:pPr>
            <w:r/>
            <w:r>
              <w:rPr>
                <w:rFonts w:ascii="Calibri" w:hAnsi="Calibri"/>
                <w:b w:val="0"/>
                <w:color w:val="404040"/>
                <w:sz w:val="17"/>
              </w:rPr>
              <w:t>Security Pattern</w:t>
            </w:r>
          </w:p>
        </w:tc>
        <w:tc>
          <w:tcPr>
            <w:tcW w:type="dxa" w:w="2232"/>
            <w:shd w:val="clear" w:color="auto" w:fill="EDF2F8"/>
          </w:tcPr>
          <w:p>
            <w:pPr>
              <w:jc w:val="left"/>
            </w:pPr>
            <w:r/>
            <w:r>
              <w:rPr>
                <w:rFonts w:ascii="Calibri" w:hAnsi="Calibri"/>
                <w:b w:val="0"/>
                <w:color w:val="404040"/>
                <w:sz w:val="17"/>
              </w:rPr>
              <w:t>Istio, Envoy, SPIFFE/SPIRE</w:t>
            </w:r>
          </w:p>
        </w:tc>
        <w:tc>
          <w:tcPr>
            <w:tcW w:type="dxa" w:w="2232"/>
            <w:shd w:val="clear" w:color="auto" w:fill="EDF2F8"/>
          </w:tcPr>
          <w:p>
            <w:pPr>
              <w:jc w:val="left"/>
            </w:pPr>
            <w:r/>
            <w:r>
              <w:rPr>
                <w:rFonts w:ascii="Calibri" w:hAnsi="Calibri"/>
                <w:b w:val="0"/>
                <w:color w:val="404040"/>
                <w:sz w:val="17"/>
              </w:rPr>
              <w:t>All pod-to-pod communication</w:t>
            </w:r>
          </w:p>
        </w:tc>
        <w:tc>
          <w:tcPr>
            <w:tcW w:type="dxa" w:w="3168"/>
            <w:shd w:val="clear" w:color="auto" w:fill="EDF2F8"/>
          </w:tcPr>
          <w:p>
            <w:pPr>
              <w:jc w:val="left"/>
            </w:pPr>
            <w:r/>
            <w:r>
              <w:rPr>
                <w:rFonts w:ascii="Calibri" w:hAnsi="Calibri"/>
                <w:b w:val="0"/>
                <w:color w:val="404040"/>
                <w:sz w:val="17"/>
              </w:rPr>
              <w:t>Mutual TLS enforced for all east-west traffic within the cluster. Certificates rotated every 24 hours automatically.</w:t>
            </w:r>
          </w:p>
        </w:tc>
      </w:tr>
      <w:tr>
        <w:tc>
          <w:tcPr>
            <w:tcW w:type="dxa" w:w="2160"/>
            <w:shd w:val="clear" w:color="auto" w:fill="FFFFFF"/>
          </w:tcPr>
          <w:p>
            <w:pPr>
              <w:jc w:val="left"/>
            </w:pPr>
            <w:r/>
            <w:r>
              <w:rPr>
                <w:rFonts w:ascii="Calibri" w:hAnsi="Calibri"/>
                <w:b w:val="0"/>
                <w:color w:val="404040"/>
                <w:sz w:val="17"/>
              </w:rPr>
              <w:t>Saga Pattern (Choreography)</w:t>
            </w:r>
          </w:p>
        </w:tc>
        <w:tc>
          <w:tcPr>
            <w:tcW w:type="dxa" w:w="1584"/>
            <w:shd w:val="clear" w:color="auto" w:fill="FFFFFF"/>
          </w:tcPr>
          <w:p>
            <w:pPr>
              <w:jc w:val="left"/>
            </w:pPr>
            <w:r/>
            <w:r>
              <w:rPr>
                <w:rFonts w:ascii="Calibri" w:hAnsi="Calibri"/>
                <w:b w:val="0"/>
                <w:color w:val="404040"/>
                <w:sz w:val="17"/>
              </w:rPr>
              <w:t>Communication Pattern</w:t>
            </w:r>
          </w:p>
        </w:tc>
        <w:tc>
          <w:tcPr>
            <w:tcW w:type="dxa" w:w="2232"/>
            <w:shd w:val="clear" w:color="auto" w:fill="FFFFFF"/>
          </w:tcPr>
          <w:p>
            <w:pPr>
              <w:jc w:val="left"/>
            </w:pPr>
            <w:r/>
            <w:r>
              <w:rPr>
                <w:rFonts w:ascii="Calibri" w:hAnsi="Calibri"/>
                <w:b w:val="0"/>
                <w:color w:val="404040"/>
                <w:sz w:val="17"/>
              </w:rPr>
              <w:t>Apache Kafka, Compensating Txns</w:t>
            </w:r>
          </w:p>
        </w:tc>
        <w:tc>
          <w:tcPr>
            <w:tcW w:type="dxa" w:w="2232"/>
            <w:shd w:val="clear" w:color="auto" w:fill="FFFFFF"/>
          </w:tcPr>
          <w:p>
            <w:pPr>
              <w:jc w:val="left"/>
            </w:pPr>
            <w:r/>
            <w:r>
              <w:rPr>
                <w:rFonts w:ascii="Calibri" w:hAnsi="Calibri"/>
                <w:b w:val="0"/>
                <w:color w:val="404040"/>
                <w:sz w:val="17"/>
              </w:rPr>
              <w:t>Order, Billing, Inventory services</w:t>
            </w:r>
          </w:p>
        </w:tc>
        <w:tc>
          <w:tcPr>
            <w:tcW w:type="dxa" w:w="3168"/>
            <w:shd w:val="clear" w:color="auto" w:fill="FFFFFF"/>
          </w:tcPr>
          <w:p>
            <w:pPr>
              <w:jc w:val="left"/>
            </w:pPr>
            <w:r/>
            <w:r>
              <w:rPr>
                <w:rFonts w:ascii="Calibri" w:hAnsi="Calibri"/>
                <w:b w:val="0"/>
                <w:color w:val="404040"/>
                <w:sz w:val="17"/>
              </w:rPr>
              <w:t>Distributed transaction management for order fulfilment flow. Each service publishes success/failure events to trigger next step or compensating action.</w:t>
            </w:r>
          </w:p>
        </w:tc>
      </w:tr>
      <w:tr>
        <w:tc>
          <w:tcPr>
            <w:tcW w:type="dxa" w:w="2160"/>
            <w:shd w:val="clear" w:color="auto" w:fill="EDF2F8"/>
          </w:tcPr>
          <w:p>
            <w:pPr>
              <w:jc w:val="left"/>
            </w:pPr>
            <w:r/>
            <w:r>
              <w:rPr>
                <w:rFonts w:ascii="Calibri" w:hAnsi="Calibri"/>
                <w:b w:val="0"/>
                <w:color w:val="404040"/>
                <w:sz w:val="17"/>
              </w:rPr>
              <w:t>CQRS</w:t>
            </w:r>
          </w:p>
        </w:tc>
        <w:tc>
          <w:tcPr>
            <w:tcW w:type="dxa" w:w="1584"/>
            <w:shd w:val="clear" w:color="auto" w:fill="EDF2F8"/>
          </w:tcPr>
          <w:p>
            <w:pPr>
              <w:jc w:val="left"/>
            </w:pPr>
            <w:r/>
            <w:r>
              <w:rPr>
                <w:rFonts w:ascii="Calibri" w:hAnsi="Calibri"/>
                <w:b w:val="0"/>
                <w:color w:val="404040"/>
                <w:sz w:val="17"/>
              </w:rPr>
              <w:t>Data Pattern</w:t>
            </w:r>
          </w:p>
        </w:tc>
        <w:tc>
          <w:tcPr>
            <w:tcW w:type="dxa" w:w="2232"/>
            <w:shd w:val="clear" w:color="auto" w:fill="EDF2F8"/>
          </w:tcPr>
          <w:p>
            <w:pPr>
              <w:jc w:val="left"/>
            </w:pPr>
            <w:r/>
            <w:r>
              <w:rPr>
                <w:rFonts w:ascii="Calibri" w:hAnsi="Calibri"/>
                <w:b w:val="0"/>
                <w:color w:val="404040"/>
                <w:sz w:val="17"/>
              </w:rPr>
              <w:t>Kafka, Elasticsearch, MongoDB</w:t>
            </w:r>
          </w:p>
        </w:tc>
        <w:tc>
          <w:tcPr>
            <w:tcW w:type="dxa" w:w="2232"/>
            <w:shd w:val="clear" w:color="auto" w:fill="EDF2F8"/>
          </w:tcPr>
          <w:p>
            <w:pPr>
              <w:jc w:val="left"/>
            </w:pPr>
            <w:r/>
            <w:r>
              <w:rPr>
                <w:rFonts w:ascii="Calibri" w:hAnsi="Calibri"/>
                <w:b w:val="0"/>
                <w:color w:val="404040"/>
                <w:sz w:val="17"/>
              </w:rPr>
              <w:t>Order Svc, Search Svc, Reporting Svc</w:t>
            </w:r>
          </w:p>
        </w:tc>
        <w:tc>
          <w:tcPr>
            <w:tcW w:type="dxa" w:w="3168"/>
            <w:shd w:val="clear" w:color="auto" w:fill="EDF2F8"/>
          </w:tcPr>
          <w:p>
            <w:pPr>
              <w:jc w:val="left"/>
            </w:pPr>
            <w:r/>
            <w:r>
              <w:rPr>
                <w:rFonts w:ascii="Calibri" w:hAnsi="Calibri"/>
                <w:b w:val="0"/>
                <w:color w:val="404040"/>
                <w:sz w:val="17"/>
              </w:rPr>
              <w:t>Command (write) operations go to PostgreSQL; queries served from Elasticsearch or MongoDB read models updated via Kafka.</w:t>
            </w:r>
          </w:p>
        </w:tc>
      </w:tr>
      <w:tr>
        <w:tc>
          <w:tcPr>
            <w:tcW w:type="dxa" w:w="2160"/>
            <w:shd w:val="clear" w:color="auto" w:fill="FFFFFF"/>
          </w:tcPr>
          <w:p>
            <w:pPr>
              <w:jc w:val="left"/>
            </w:pPr>
            <w:r/>
            <w:r>
              <w:rPr>
                <w:rFonts w:ascii="Calibri" w:hAnsi="Calibri"/>
                <w:b w:val="0"/>
                <w:color w:val="404040"/>
                <w:sz w:val="17"/>
              </w:rPr>
              <w:t>Webhook Callbacks</w:t>
            </w:r>
          </w:p>
        </w:tc>
        <w:tc>
          <w:tcPr>
            <w:tcW w:type="dxa" w:w="1584"/>
            <w:shd w:val="clear" w:color="auto" w:fill="FFFFFF"/>
          </w:tcPr>
          <w:p>
            <w:pPr>
              <w:jc w:val="left"/>
            </w:pPr>
            <w:r/>
            <w:r>
              <w:rPr>
                <w:rFonts w:ascii="Calibri" w:hAnsi="Calibri"/>
                <w:b w:val="0"/>
                <w:color w:val="404040"/>
                <w:sz w:val="17"/>
              </w:rPr>
              <w:t>Integration Pattern</w:t>
            </w:r>
          </w:p>
        </w:tc>
        <w:tc>
          <w:tcPr>
            <w:tcW w:type="dxa" w:w="2232"/>
            <w:shd w:val="clear" w:color="auto" w:fill="FFFFFF"/>
          </w:tcPr>
          <w:p>
            <w:pPr>
              <w:jc w:val="left"/>
            </w:pPr>
            <w:r/>
            <w:r>
              <w:rPr>
                <w:rFonts w:ascii="Calibri" w:hAnsi="Calibri"/>
                <w:b w:val="0"/>
                <w:color w:val="404040"/>
                <w:sz w:val="17"/>
              </w:rPr>
              <w:t>HTTPS, HMAC Signature Verification</w:t>
            </w:r>
          </w:p>
        </w:tc>
        <w:tc>
          <w:tcPr>
            <w:tcW w:type="dxa" w:w="2232"/>
            <w:shd w:val="clear" w:color="auto" w:fill="FFFFFF"/>
          </w:tcPr>
          <w:p>
            <w:pPr>
              <w:jc w:val="left"/>
            </w:pPr>
            <w:r/>
            <w:r>
              <w:rPr>
                <w:rFonts w:ascii="Calibri" w:hAnsi="Calibri"/>
                <w:b w:val="0"/>
                <w:color w:val="404040"/>
                <w:sz w:val="17"/>
              </w:rPr>
              <w:t>Billing Svc ↔ Payment Gateway</w:t>
            </w:r>
          </w:p>
        </w:tc>
        <w:tc>
          <w:tcPr>
            <w:tcW w:type="dxa" w:w="3168"/>
            <w:shd w:val="clear" w:color="auto" w:fill="FFFFFF"/>
          </w:tcPr>
          <w:p>
            <w:pPr>
              <w:jc w:val="left"/>
            </w:pPr>
            <w:r/>
            <w:r>
              <w:rPr>
                <w:rFonts w:ascii="Calibri" w:hAnsi="Calibri"/>
                <w:b w:val="0"/>
                <w:color w:val="404040"/>
                <w:sz w:val="17"/>
              </w:rPr>
              <w:t>Payment gateway notifies Billing Service of transaction outcomes via signed webhook. Idempotency key enforced.</w:t>
            </w:r>
          </w:p>
        </w:tc>
      </w:tr>
      <w:tr>
        <w:tc>
          <w:tcPr>
            <w:tcW w:type="dxa" w:w="2160"/>
            <w:shd w:val="clear" w:color="auto" w:fill="EDF2F8"/>
          </w:tcPr>
          <w:p>
            <w:pPr>
              <w:jc w:val="left"/>
            </w:pPr>
            <w:r/>
            <w:r>
              <w:rPr>
                <w:rFonts w:ascii="Calibri" w:hAnsi="Calibri"/>
                <w:b w:val="0"/>
                <w:color w:val="404040"/>
                <w:sz w:val="17"/>
              </w:rPr>
              <w:t>BFF (Backend for Frontend)</w:t>
            </w:r>
          </w:p>
        </w:tc>
        <w:tc>
          <w:tcPr>
            <w:tcW w:type="dxa" w:w="1584"/>
            <w:shd w:val="clear" w:color="auto" w:fill="EDF2F8"/>
          </w:tcPr>
          <w:p>
            <w:pPr>
              <w:jc w:val="left"/>
            </w:pPr>
            <w:r/>
            <w:r>
              <w:rPr>
                <w:rFonts w:ascii="Calibri" w:hAnsi="Calibri"/>
                <w:b w:val="0"/>
                <w:color w:val="404040"/>
                <w:sz w:val="17"/>
              </w:rPr>
              <w:t>Architecture Pattern</w:t>
            </w:r>
          </w:p>
        </w:tc>
        <w:tc>
          <w:tcPr>
            <w:tcW w:type="dxa" w:w="2232"/>
            <w:shd w:val="clear" w:color="auto" w:fill="EDF2F8"/>
          </w:tcPr>
          <w:p>
            <w:pPr>
              <w:jc w:val="left"/>
            </w:pPr>
            <w:r/>
            <w:r>
              <w:rPr>
                <w:rFonts w:ascii="Calibri" w:hAnsi="Calibri"/>
                <w:b w:val="0"/>
                <w:color w:val="404040"/>
                <w:sz w:val="17"/>
              </w:rPr>
              <w:t>Node.js, GraphQL</w:t>
            </w:r>
          </w:p>
        </w:tc>
        <w:tc>
          <w:tcPr>
            <w:tcW w:type="dxa" w:w="2232"/>
            <w:shd w:val="clear" w:color="auto" w:fill="EDF2F8"/>
          </w:tcPr>
          <w:p>
            <w:pPr>
              <w:jc w:val="left"/>
            </w:pPr>
            <w:r/>
            <w:r>
              <w:rPr>
                <w:rFonts w:ascii="Calibri" w:hAnsi="Calibri"/>
                <w:b w:val="0"/>
                <w:color w:val="404040"/>
                <w:sz w:val="17"/>
              </w:rPr>
              <w:t>Web UI, Mobile App → Domain Services</w:t>
            </w:r>
          </w:p>
        </w:tc>
        <w:tc>
          <w:tcPr>
            <w:tcW w:type="dxa" w:w="3168"/>
            <w:shd w:val="clear" w:color="auto" w:fill="EDF2F8"/>
          </w:tcPr>
          <w:p>
            <w:pPr>
              <w:jc w:val="left"/>
            </w:pPr>
            <w:r/>
            <w:r>
              <w:rPr>
                <w:rFonts w:ascii="Calibri" w:hAnsi="Calibri"/>
                <w:b w:val="0"/>
                <w:color w:val="404040"/>
                <w:sz w:val="17"/>
              </w:rPr>
              <w:t>Separate BFF aggregates for web (GraphQL) and mobile (REST) clients. Reduces over-fetching and simplifies frontend logic.</w:t>
            </w:r>
          </w:p>
        </w:tc>
      </w:tr>
    </w:tbl>
    <w:p>
      <w:pPr>
        <w:spacing w:after="80"/>
      </w:pPr>
    </w:p>
    <w:p>
      <w:pPr>
        <w:spacing w:before="40" w:after="160"/>
      </w:pPr>
      <w:r>
        <w:rPr>
          <w:rFonts w:ascii="Calibri" w:hAnsi="Calibri"/>
          <w:i/>
          <w:color w:val="2E75B6"/>
          <w:sz w:val="17"/>
        </w:rPr>
        <w:t>Table 3.3 – Integration Patterns and API Gateway Design</w:t>
      </w:r>
    </w:p>
    <w:p>
      <w:pPr>
        <w:pStyle w:val="Heading2"/>
        <w:spacing w:before="200" w:after="120"/>
      </w:pPr>
      <w:r>
        <w:rPr>
          <w:rFonts w:ascii="Calibri" w:hAnsi="Calibri"/>
          <w:color w:val="2E75B6"/>
          <w:sz w:val="26"/>
        </w:rPr>
        <w:t>3.4  Data Architecture and Database Strategy</w:t>
      </w:r>
    </w:p>
    <w:p>
      <w:pPr>
        <w:spacing w:after="120" w:before="40"/>
      </w:pPr>
      <w:r>
        <w:rPr>
          <w:rFonts w:ascii="Calibri" w:hAnsi="Calibri"/>
          <w:b w:val="0"/>
          <w:i w:val="0"/>
          <w:color w:val="404040"/>
          <w:sz w:val="20"/>
        </w:rPr>
        <w:t>The Database-per-Service pattern is the cornerstone of the data architecture. Each service owns its schema and no other service may query it directly. Cross-service data needs are satisfied via APIs or event-driven read models.</w:t>
      </w:r>
    </w:p>
    <w:tbl>
      <w:tblPr>
        <w:tblStyle w:val="TableGrid"/>
        <w:tblW w:type="auto" w:w="0"/>
        <w:jc w:val="center"/>
        <w:tblLook w:firstColumn="1" w:firstRow="1" w:lastColumn="0" w:lastRow="0" w:noHBand="0" w:noVBand="1" w:val="04A0"/>
      </w:tblPr>
      <w:tblGrid>
        <w:gridCol w:w="1488"/>
        <w:gridCol w:w="1488"/>
        <w:gridCol w:w="1488"/>
        <w:gridCol w:w="1488"/>
        <w:gridCol w:w="1488"/>
        <w:gridCol w:w="1488"/>
      </w:tblGrid>
      <w:tr>
        <w:tc>
          <w:tcPr>
            <w:tcW w:type="dxa" w:w="1800"/>
            <w:shd w:val="clear" w:color="auto" w:fill="1F3964"/>
          </w:tcPr>
          <w:p>
            <w:pPr>
              <w:jc w:val="center"/>
            </w:pPr>
            <w:r/>
            <w:r>
              <w:rPr>
                <w:rFonts w:ascii="Calibri" w:hAnsi="Calibri"/>
                <w:b/>
                <w:color w:val="FFFFFF"/>
                <w:sz w:val="18"/>
              </w:rPr>
              <w:t>Service</w:t>
            </w:r>
          </w:p>
        </w:tc>
        <w:tc>
          <w:tcPr>
            <w:tcW w:type="dxa" w:w="2232"/>
            <w:shd w:val="clear" w:color="auto" w:fill="1F3964"/>
          </w:tcPr>
          <w:p>
            <w:pPr>
              <w:jc w:val="center"/>
            </w:pPr>
            <w:r/>
            <w:r>
              <w:rPr>
                <w:rFonts w:ascii="Calibri" w:hAnsi="Calibri"/>
                <w:b/>
                <w:color w:val="FFFFFF"/>
                <w:sz w:val="18"/>
              </w:rPr>
              <w:t>Database Technology</w:t>
            </w:r>
          </w:p>
        </w:tc>
        <w:tc>
          <w:tcPr>
            <w:tcW w:type="dxa" w:w="1440"/>
            <w:shd w:val="clear" w:color="auto" w:fill="1F3964"/>
          </w:tcPr>
          <w:p>
            <w:pPr>
              <w:jc w:val="center"/>
            </w:pPr>
            <w:r/>
            <w:r>
              <w:rPr>
                <w:rFonts w:ascii="Calibri" w:hAnsi="Calibri"/>
                <w:b/>
                <w:color w:val="FFFFFF"/>
                <w:sz w:val="18"/>
              </w:rPr>
              <w:t>Database Type</w:t>
            </w:r>
          </w:p>
        </w:tc>
        <w:tc>
          <w:tcPr>
            <w:tcW w:type="dxa" w:w="2304"/>
            <w:shd w:val="clear" w:color="auto" w:fill="1F3964"/>
          </w:tcPr>
          <w:p>
            <w:pPr>
              <w:jc w:val="center"/>
            </w:pPr>
            <w:r/>
            <w:r>
              <w:rPr>
                <w:rFonts w:ascii="Calibri" w:hAnsi="Calibri"/>
                <w:b/>
                <w:color w:val="FFFFFF"/>
                <w:sz w:val="18"/>
              </w:rPr>
              <w:t>Data Isolation Strategy</w:t>
            </w:r>
          </w:p>
        </w:tc>
        <w:tc>
          <w:tcPr>
            <w:tcW w:type="dxa" w:w="2448"/>
            <w:shd w:val="clear" w:color="auto" w:fill="1F3964"/>
          </w:tcPr>
          <w:p>
            <w:pPr>
              <w:jc w:val="center"/>
            </w:pPr>
            <w:r/>
            <w:r>
              <w:rPr>
                <w:rFonts w:ascii="Calibri" w:hAnsi="Calibri"/>
                <w:b/>
                <w:color w:val="FFFFFF"/>
                <w:sz w:val="18"/>
              </w:rPr>
              <w:t>Migration Approach</w:t>
            </w:r>
          </w:p>
        </w:tc>
        <w:tc>
          <w:tcPr>
            <w:tcW w:type="dxa" w:w="1872"/>
            <w:shd w:val="clear" w:color="auto" w:fill="1F3964"/>
          </w:tcPr>
          <w:p>
            <w:pPr>
              <w:jc w:val="center"/>
            </w:pPr>
            <w:r/>
            <w:r>
              <w:rPr>
                <w:rFonts w:ascii="Calibri" w:hAnsi="Calibri"/>
                <w:b/>
                <w:color w:val="FFFFFF"/>
                <w:sz w:val="18"/>
              </w:rPr>
              <w:t>Estimated Data Volume</w:t>
            </w:r>
          </w:p>
        </w:tc>
      </w:tr>
      <w:tr>
        <w:tc>
          <w:tcPr>
            <w:tcW w:type="dxa" w:w="1800"/>
            <w:shd w:val="clear" w:color="auto" w:fill="FFFFFF"/>
          </w:tcPr>
          <w:p>
            <w:pPr>
              <w:jc w:val="left"/>
            </w:pPr>
            <w:r/>
            <w:r>
              <w:rPr>
                <w:rFonts w:ascii="Calibri" w:hAnsi="Calibri"/>
                <w:b w:val="0"/>
                <w:color w:val="404040"/>
                <w:sz w:val="17"/>
              </w:rPr>
              <w:t>Order Service</w:t>
            </w:r>
          </w:p>
        </w:tc>
        <w:tc>
          <w:tcPr>
            <w:tcW w:type="dxa" w:w="2232"/>
            <w:shd w:val="clear" w:color="auto" w:fill="FFFFFF"/>
          </w:tcPr>
          <w:p>
            <w:pPr>
              <w:jc w:val="left"/>
            </w:pPr>
            <w:r/>
            <w:r>
              <w:rPr>
                <w:rFonts w:ascii="Calibri" w:hAnsi="Calibri"/>
                <w:b w:val="0"/>
                <w:color w:val="404040"/>
                <w:sz w:val="17"/>
              </w:rPr>
              <w:t>PostgreSQL 15 (AWS RDS)</w:t>
            </w:r>
          </w:p>
        </w:tc>
        <w:tc>
          <w:tcPr>
            <w:tcW w:type="dxa" w:w="1440"/>
            <w:shd w:val="clear" w:color="auto" w:fill="FFFFFF"/>
          </w:tcPr>
          <w:p>
            <w:pPr>
              <w:jc w:val="left"/>
            </w:pPr>
            <w:r/>
            <w:r>
              <w:rPr>
                <w:rFonts w:ascii="Calibri" w:hAnsi="Calibri"/>
                <w:b w:val="0"/>
                <w:color w:val="404040"/>
                <w:sz w:val="17"/>
              </w:rPr>
              <w:t>Relational</w:t>
            </w:r>
          </w:p>
        </w:tc>
        <w:tc>
          <w:tcPr>
            <w:tcW w:type="dxa" w:w="2304"/>
            <w:shd w:val="clear" w:color="auto" w:fill="FFFFFF"/>
          </w:tcPr>
          <w:p>
            <w:pPr>
              <w:jc w:val="left"/>
            </w:pPr>
            <w:r/>
            <w:r>
              <w:rPr>
                <w:rFonts w:ascii="Calibri" w:hAnsi="Calibri"/>
                <w:b w:val="0"/>
                <w:color w:val="404040"/>
                <w:sz w:val="17"/>
              </w:rPr>
              <w:t>Dedicated RDS instance; no shared schema</w:t>
            </w:r>
          </w:p>
        </w:tc>
        <w:tc>
          <w:tcPr>
            <w:tcW w:type="dxa" w:w="2448"/>
            <w:shd w:val="clear" w:color="auto" w:fill="FFFFFF"/>
          </w:tcPr>
          <w:p>
            <w:pPr>
              <w:jc w:val="left"/>
            </w:pPr>
            <w:r/>
            <w:r>
              <w:rPr>
                <w:rFonts w:ascii="Calibri" w:hAnsi="Calibri"/>
                <w:b w:val="0"/>
                <w:color w:val="404040"/>
                <w:sz w:val="17"/>
              </w:rPr>
              <w:t>Extract from Oracle using AWS DMS; dual-write during transition</w:t>
            </w:r>
          </w:p>
        </w:tc>
        <w:tc>
          <w:tcPr>
            <w:tcW w:type="dxa" w:w="1872"/>
            <w:shd w:val="clear" w:color="auto" w:fill="FFFFFF"/>
          </w:tcPr>
          <w:p>
            <w:pPr>
              <w:jc w:val="left"/>
            </w:pPr>
            <w:r/>
            <w:r>
              <w:rPr>
                <w:rFonts w:ascii="Calibri" w:hAnsi="Calibri"/>
                <w:b w:val="0"/>
                <w:color w:val="404040"/>
                <w:sz w:val="17"/>
              </w:rPr>
              <w:t>~120 GB; 50K orders/day</w:t>
            </w:r>
          </w:p>
        </w:tc>
      </w:tr>
      <w:tr>
        <w:tc>
          <w:tcPr>
            <w:tcW w:type="dxa" w:w="1800"/>
            <w:shd w:val="clear" w:color="auto" w:fill="EDF2F8"/>
          </w:tcPr>
          <w:p>
            <w:pPr>
              <w:jc w:val="left"/>
            </w:pPr>
            <w:r/>
            <w:r>
              <w:rPr>
                <w:rFonts w:ascii="Calibri" w:hAnsi="Calibri"/>
                <w:b w:val="0"/>
                <w:color w:val="404040"/>
                <w:sz w:val="17"/>
              </w:rPr>
              <w:t>Inventory Service</w:t>
            </w:r>
          </w:p>
        </w:tc>
        <w:tc>
          <w:tcPr>
            <w:tcW w:type="dxa" w:w="2232"/>
            <w:shd w:val="clear" w:color="auto" w:fill="EDF2F8"/>
          </w:tcPr>
          <w:p>
            <w:pPr>
              <w:jc w:val="left"/>
            </w:pPr>
            <w:r/>
            <w:r>
              <w:rPr>
                <w:rFonts w:ascii="Calibri" w:hAnsi="Calibri"/>
                <w:b w:val="0"/>
                <w:color w:val="404040"/>
                <w:sz w:val="17"/>
              </w:rPr>
              <w:t>PostgreSQL 15 (AWS RDS) + Redis 7</w:t>
            </w:r>
          </w:p>
        </w:tc>
        <w:tc>
          <w:tcPr>
            <w:tcW w:type="dxa" w:w="1440"/>
            <w:shd w:val="clear" w:color="auto" w:fill="EDF2F8"/>
          </w:tcPr>
          <w:p>
            <w:pPr>
              <w:jc w:val="left"/>
            </w:pPr>
            <w:r/>
            <w:r>
              <w:rPr>
                <w:rFonts w:ascii="Calibri" w:hAnsi="Calibri"/>
                <w:b w:val="0"/>
                <w:color w:val="404040"/>
                <w:sz w:val="17"/>
              </w:rPr>
              <w:t>Relational + Cache</w:t>
            </w:r>
          </w:p>
        </w:tc>
        <w:tc>
          <w:tcPr>
            <w:tcW w:type="dxa" w:w="2304"/>
            <w:shd w:val="clear" w:color="auto" w:fill="EDF2F8"/>
          </w:tcPr>
          <w:p>
            <w:pPr>
              <w:jc w:val="left"/>
            </w:pPr>
            <w:r/>
            <w:r>
              <w:rPr>
                <w:rFonts w:ascii="Calibri" w:hAnsi="Calibri"/>
                <w:b w:val="0"/>
                <w:color w:val="404040"/>
                <w:sz w:val="17"/>
              </w:rPr>
              <w:t>Dedicated RDS + ElastiCache cluster</w:t>
            </w:r>
          </w:p>
        </w:tc>
        <w:tc>
          <w:tcPr>
            <w:tcW w:type="dxa" w:w="2448"/>
            <w:shd w:val="clear" w:color="auto" w:fill="EDF2F8"/>
          </w:tcPr>
          <w:p>
            <w:pPr>
              <w:jc w:val="left"/>
            </w:pPr>
            <w:r/>
            <w:r>
              <w:rPr>
                <w:rFonts w:ascii="Calibri" w:hAnsi="Calibri"/>
                <w:b w:val="0"/>
                <w:color w:val="404040"/>
                <w:sz w:val="17"/>
              </w:rPr>
              <w:t>Oracle DMS extract; Redis seeded from PostgreSQL warm-up job</w:t>
            </w:r>
          </w:p>
        </w:tc>
        <w:tc>
          <w:tcPr>
            <w:tcW w:type="dxa" w:w="1872"/>
            <w:shd w:val="clear" w:color="auto" w:fill="EDF2F8"/>
          </w:tcPr>
          <w:p>
            <w:pPr>
              <w:jc w:val="left"/>
            </w:pPr>
            <w:r/>
            <w:r>
              <w:rPr>
                <w:rFonts w:ascii="Calibri" w:hAnsi="Calibri"/>
                <w:b w:val="0"/>
                <w:color w:val="404040"/>
                <w:sz w:val="17"/>
              </w:rPr>
              <w:t>~45 GB; Redis TTL 300s</w:t>
            </w:r>
          </w:p>
        </w:tc>
      </w:tr>
      <w:tr>
        <w:tc>
          <w:tcPr>
            <w:tcW w:type="dxa" w:w="1800"/>
            <w:shd w:val="clear" w:color="auto" w:fill="FFFFFF"/>
          </w:tcPr>
          <w:p>
            <w:pPr>
              <w:jc w:val="left"/>
            </w:pPr>
            <w:r/>
            <w:r>
              <w:rPr>
                <w:rFonts w:ascii="Calibri" w:hAnsi="Calibri"/>
                <w:b w:val="0"/>
                <w:color w:val="404040"/>
                <w:sz w:val="17"/>
              </w:rPr>
              <w:t>Customer Service</w:t>
            </w:r>
          </w:p>
        </w:tc>
        <w:tc>
          <w:tcPr>
            <w:tcW w:type="dxa" w:w="2232"/>
            <w:shd w:val="clear" w:color="auto" w:fill="FFFFFF"/>
          </w:tcPr>
          <w:p>
            <w:pPr>
              <w:jc w:val="left"/>
            </w:pPr>
            <w:r/>
            <w:r>
              <w:rPr>
                <w:rFonts w:ascii="Calibri" w:hAnsi="Calibri"/>
                <w:b w:val="0"/>
                <w:color w:val="404040"/>
                <w:sz w:val="17"/>
              </w:rPr>
              <w:t>PostgreSQL 15 (AWS RDS)</w:t>
            </w:r>
          </w:p>
        </w:tc>
        <w:tc>
          <w:tcPr>
            <w:tcW w:type="dxa" w:w="1440"/>
            <w:shd w:val="clear" w:color="auto" w:fill="FFFFFF"/>
          </w:tcPr>
          <w:p>
            <w:pPr>
              <w:jc w:val="left"/>
            </w:pPr>
            <w:r/>
            <w:r>
              <w:rPr>
                <w:rFonts w:ascii="Calibri" w:hAnsi="Calibri"/>
                <w:b w:val="0"/>
                <w:color w:val="404040"/>
                <w:sz w:val="17"/>
              </w:rPr>
              <w:t>Relational</w:t>
            </w:r>
          </w:p>
        </w:tc>
        <w:tc>
          <w:tcPr>
            <w:tcW w:type="dxa" w:w="2304"/>
            <w:shd w:val="clear" w:color="auto" w:fill="FFFFFF"/>
          </w:tcPr>
          <w:p>
            <w:pPr>
              <w:jc w:val="left"/>
            </w:pPr>
            <w:r/>
            <w:r>
              <w:rPr>
                <w:rFonts w:ascii="Calibri" w:hAnsi="Calibri"/>
                <w:b w:val="0"/>
                <w:color w:val="404040"/>
                <w:sz w:val="17"/>
              </w:rPr>
              <w:t>Dedicated RDS Multi-AZ; row-level encryption</w:t>
            </w:r>
          </w:p>
        </w:tc>
        <w:tc>
          <w:tcPr>
            <w:tcW w:type="dxa" w:w="2448"/>
            <w:shd w:val="clear" w:color="auto" w:fill="FFFFFF"/>
          </w:tcPr>
          <w:p>
            <w:pPr>
              <w:jc w:val="left"/>
            </w:pPr>
            <w:r/>
            <w:r>
              <w:rPr>
                <w:rFonts w:ascii="Calibri" w:hAnsi="Calibri"/>
                <w:b w:val="0"/>
                <w:color w:val="404040"/>
                <w:sz w:val="17"/>
              </w:rPr>
              <w:t>Oracle DMS extract; PII fields re-encrypted with AWS KMS</w:t>
            </w:r>
          </w:p>
        </w:tc>
        <w:tc>
          <w:tcPr>
            <w:tcW w:type="dxa" w:w="1872"/>
            <w:shd w:val="clear" w:color="auto" w:fill="FFFFFF"/>
          </w:tcPr>
          <w:p>
            <w:pPr>
              <w:jc w:val="left"/>
            </w:pPr>
            <w:r/>
            <w:r>
              <w:rPr>
                <w:rFonts w:ascii="Calibri" w:hAnsi="Calibri"/>
                <w:b w:val="0"/>
                <w:color w:val="404040"/>
                <w:sz w:val="17"/>
              </w:rPr>
              <w:t>~30 GB; 2M customer records</w:t>
            </w:r>
          </w:p>
        </w:tc>
      </w:tr>
      <w:tr>
        <w:tc>
          <w:tcPr>
            <w:tcW w:type="dxa" w:w="1800"/>
            <w:shd w:val="clear" w:color="auto" w:fill="EDF2F8"/>
          </w:tcPr>
          <w:p>
            <w:pPr>
              <w:jc w:val="left"/>
            </w:pPr>
            <w:r/>
            <w:r>
              <w:rPr>
                <w:rFonts w:ascii="Calibri" w:hAnsi="Calibri"/>
                <w:b w:val="0"/>
                <w:color w:val="404040"/>
                <w:sz w:val="17"/>
              </w:rPr>
              <w:t>Billing Service</w:t>
            </w:r>
          </w:p>
        </w:tc>
        <w:tc>
          <w:tcPr>
            <w:tcW w:type="dxa" w:w="2232"/>
            <w:shd w:val="clear" w:color="auto" w:fill="EDF2F8"/>
          </w:tcPr>
          <w:p>
            <w:pPr>
              <w:jc w:val="left"/>
            </w:pPr>
            <w:r/>
            <w:r>
              <w:rPr>
                <w:rFonts w:ascii="Calibri" w:hAnsi="Calibri"/>
                <w:b w:val="0"/>
                <w:color w:val="404040"/>
                <w:sz w:val="17"/>
              </w:rPr>
              <w:t>PostgreSQL 15 (AWS RDS)</w:t>
            </w:r>
          </w:p>
        </w:tc>
        <w:tc>
          <w:tcPr>
            <w:tcW w:type="dxa" w:w="1440"/>
            <w:shd w:val="clear" w:color="auto" w:fill="EDF2F8"/>
          </w:tcPr>
          <w:p>
            <w:pPr>
              <w:jc w:val="left"/>
            </w:pPr>
            <w:r/>
            <w:r>
              <w:rPr>
                <w:rFonts w:ascii="Calibri" w:hAnsi="Calibri"/>
                <w:b w:val="0"/>
                <w:color w:val="404040"/>
                <w:sz w:val="17"/>
              </w:rPr>
              <w:t>Relational</w:t>
            </w:r>
          </w:p>
        </w:tc>
        <w:tc>
          <w:tcPr>
            <w:tcW w:type="dxa" w:w="2304"/>
            <w:shd w:val="clear" w:color="auto" w:fill="EDF2F8"/>
          </w:tcPr>
          <w:p>
            <w:pPr>
              <w:jc w:val="left"/>
            </w:pPr>
            <w:r/>
            <w:r>
              <w:rPr>
                <w:rFonts w:ascii="Calibri" w:hAnsi="Calibri"/>
                <w:b w:val="0"/>
                <w:color w:val="404040"/>
                <w:sz w:val="17"/>
              </w:rPr>
              <w:t>Dedicated RDS; financial audit trail preserved</w:t>
            </w:r>
          </w:p>
        </w:tc>
        <w:tc>
          <w:tcPr>
            <w:tcW w:type="dxa" w:w="2448"/>
            <w:shd w:val="clear" w:color="auto" w:fill="EDF2F8"/>
          </w:tcPr>
          <w:p>
            <w:pPr>
              <w:jc w:val="left"/>
            </w:pPr>
            <w:r/>
            <w:r>
              <w:rPr>
                <w:rFonts w:ascii="Calibri" w:hAnsi="Calibri"/>
                <w:b w:val="0"/>
                <w:color w:val="404040"/>
                <w:sz w:val="17"/>
              </w:rPr>
              <w:t>Oracle DMS extract; reconciliation job validates totals</w:t>
            </w:r>
          </w:p>
        </w:tc>
        <w:tc>
          <w:tcPr>
            <w:tcW w:type="dxa" w:w="1872"/>
            <w:shd w:val="clear" w:color="auto" w:fill="EDF2F8"/>
          </w:tcPr>
          <w:p>
            <w:pPr>
              <w:jc w:val="left"/>
            </w:pPr>
            <w:r/>
            <w:r>
              <w:rPr>
                <w:rFonts w:ascii="Calibri" w:hAnsi="Calibri"/>
                <w:b w:val="0"/>
                <w:color w:val="404040"/>
                <w:sz w:val="17"/>
              </w:rPr>
              <w:t>~200 GB; 7-year retention</w:t>
            </w:r>
          </w:p>
        </w:tc>
      </w:tr>
      <w:tr>
        <w:tc>
          <w:tcPr>
            <w:tcW w:type="dxa" w:w="1800"/>
            <w:shd w:val="clear" w:color="auto" w:fill="FFFFFF"/>
          </w:tcPr>
          <w:p>
            <w:pPr>
              <w:jc w:val="left"/>
            </w:pPr>
            <w:r/>
            <w:r>
              <w:rPr>
                <w:rFonts w:ascii="Calibri" w:hAnsi="Calibri"/>
                <w:b w:val="0"/>
                <w:color w:val="404040"/>
                <w:sz w:val="17"/>
              </w:rPr>
              <w:t>Notification Service</w:t>
            </w:r>
          </w:p>
        </w:tc>
        <w:tc>
          <w:tcPr>
            <w:tcW w:type="dxa" w:w="2232"/>
            <w:shd w:val="clear" w:color="auto" w:fill="FFFFFF"/>
          </w:tcPr>
          <w:p>
            <w:pPr>
              <w:jc w:val="left"/>
            </w:pPr>
            <w:r/>
            <w:r>
              <w:rPr>
                <w:rFonts w:ascii="Calibri" w:hAnsi="Calibri"/>
                <w:b w:val="0"/>
                <w:color w:val="404040"/>
                <w:sz w:val="17"/>
              </w:rPr>
              <w:t>MongoDB 7 (DocumentDB)</w:t>
            </w:r>
          </w:p>
        </w:tc>
        <w:tc>
          <w:tcPr>
            <w:tcW w:type="dxa" w:w="1440"/>
            <w:shd w:val="clear" w:color="auto" w:fill="FFFFFF"/>
          </w:tcPr>
          <w:p>
            <w:pPr>
              <w:jc w:val="left"/>
            </w:pPr>
            <w:r/>
            <w:r>
              <w:rPr>
                <w:rFonts w:ascii="Calibri" w:hAnsi="Calibri"/>
                <w:b w:val="0"/>
                <w:color w:val="404040"/>
                <w:sz w:val="17"/>
              </w:rPr>
              <w:t>Document</w:t>
            </w:r>
          </w:p>
        </w:tc>
        <w:tc>
          <w:tcPr>
            <w:tcW w:type="dxa" w:w="2304"/>
            <w:shd w:val="clear" w:color="auto" w:fill="FFFFFF"/>
          </w:tcPr>
          <w:p>
            <w:pPr>
              <w:jc w:val="left"/>
            </w:pPr>
            <w:r/>
            <w:r>
              <w:rPr>
                <w:rFonts w:ascii="Calibri" w:hAnsi="Calibri"/>
                <w:b w:val="0"/>
                <w:color w:val="404040"/>
                <w:sz w:val="17"/>
              </w:rPr>
              <w:t>DocumentDB cluster; TTL index on log docs</w:t>
            </w:r>
          </w:p>
        </w:tc>
        <w:tc>
          <w:tcPr>
            <w:tcW w:type="dxa" w:w="2448"/>
            <w:shd w:val="clear" w:color="auto" w:fill="FFFFFF"/>
          </w:tcPr>
          <w:p>
            <w:pPr>
              <w:jc w:val="left"/>
            </w:pPr>
            <w:r/>
            <w:r>
              <w:rPr>
                <w:rFonts w:ascii="Calibri" w:hAnsi="Calibri"/>
                <w:b w:val="0"/>
                <w:color w:val="404040"/>
                <w:sz w:val="17"/>
              </w:rPr>
              <w:t>No migration; fresh start with event replay from Kafka</w:t>
            </w:r>
          </w:p>
        </w:tc>
        <w:tc>
          <w:tcPr>
            <w:tcW w:type="dxa" w:w="1872"/>
            <w:shd w:val="clear" w:color="auto" w:fill="FFFFFF"/>
          </w:tcPr>
          <w:p>
            <w:pPr>
              <w:jc w:val="left"/>
            </w:pPr>
            <w:r/>
            <w:r>
              <w:rPr>
                <w:rFonts w:ascii="Calibri" w:hAnsi="Calibri"/>
                <w:b w:val="0"/>
                <w:color w:val="404040"/>
                <w:sz w:val="17"/>
              </w:rPr>
              <w:t>~10 GB growing; TTL 90 days</w:t>
            </w:r>
          </w:p>
        </w:tc>
      </w:tr>
      <w:tr>
        <w:tc>
          <w:tcPr>
            <w:tcW w:type="dxa" w:w="1800"/>
            <w:shd w:val="clear" w:color="auto" w:fill="EDF2F8"/>
          </w:tcPr>
          <w:p>
            <w:pPr>
              <w:jc w:val="left"/>
            </w:pPr>
            <w:r/>
            <w:r>
              <w:rPr>
                <w:rFonts w:ascii="Calibri" w:hAnsi="Calibri"/>
                <w:b w:val="0"/>
                <w:color w:val="404040"/>
                <w:sz w:val="17"/>
              </w:rPr>
              <w:t>Auth Service</w:t>
            </w:r>
          </w:p>
        </w:tc>
        <w:tc>
          <w:tcPr>
            <w:tcW w:type="dxa" w:w="2232"/>
            <w:shd w:val="clear" w:color="auto" w:fill="EDF2F8"/>
          </w:tcPr>
          <w:p>
            <w:pPr>
              <w:jc w:val="left"/>
            </w:pPr>
            <w:r/>
            <w:r>
              <w:rPr>
                <w:rFonts w:ascii="Calibri" w:hAnsi="Calibri"/>
                <w:b w:val="0"/>
                <w:color w:val="404040"/>
                <w:sz w:val="17"/>
              </w:rPr>
              <w:t>PostgreSQL 15 + Redis 7</w:t>
            </w:r>
          </w:p>
        </w:tc>
        <w:tc>
          <w:tcPr>
            <w:tcW w:type="dxa" w:w="1440"/>
            <w:shd w:val="clear" w:color="auto" w:fill="EDF2F8"/>
          </w:tcPr>
          <w:p>
            <w:pPr>
              <w:jc w:val="left"/>
            </w:pPr>
            <w:r/>
            <w:r>
              <w:rPr>
                <w:rFonts w:ascii="Calibri" w:hAnsi="Calibri"/>
                <w:b w:val="0"/>
                <w:color w:val="404040"/>
                <w:sz w:val="17"/>
              </w:rPr>
              <w:t>Relational + Cache</w:t>
            </w:r>
          </w:p>
        </w:tc>
        <w:tc>
          <w:tcPr>
            <w:tcW w:type="dxa" w:w="2304"/>
            <w:shd w:val="clear" w:color="auto" w:fill="EDF2F8"/>
          </w:tcPr>
          <w:p>
            <w:pPr>
              <w:jc w:val="left"/>
            </w:pPr>
            <w:r/>
            <w:r>
              <w:rPr>
                <w:rFonts w:ascii="Calibri" w:hAnsi="Calibri"/>
                <w:b w:val="0"/>
                <w:color w:val="404040"/>
                <w:sz w:val="17"/>
              </w:rPr>
              <w:t>Dedicated RDS; Redis for token store</w:t>
            </w:r>
          </w:p>
        </w:tc>
        <w:tc>
          <w:tcPr>
            <w:tcW w:type="dxa" w:w="2448"/>
            <w:shd w:val="clear" w:color="auto" w:fill="EDF2F8"/>
          </w:tcPr>
          <w:p>
            <w:pPr>
              <w:jc w:val="left"/>
            </w:pPr>
            <w:r/>
            <w:r>
              <w:rPr>
                <w:rFonts w:ascii="Calibri" w:hAnsi="Calibri"/>
                <w:b w:val="0"/>
                <w:color w:val="404040"/>
                <w:sz w:val="17"/>
              </w:rPr>
              <w:t>LDAP → PostgreSQL user sync; password re-hash at first login</w:t>
            </w:r>
          </w:p>
        </w:tc>
        <w:tc>
          <w:tcPr>
            <w:tcW w:type="dxa" w:w="1872"/>
            <w:shd w:val="clear" w:color="auto" w:fill="EDF2F8"/>
          </w:tcPr>
          <w:p>
            <w:pPr>
              <w:jc w:val="left"/>
            </w:pPr>
            <w:r/>
            <w:r>
              <w:rPr>
                <w:rFonts w:ascii="Calibri" w:hAnsi="Calibri"/>
                <w:b w:val="0"/>
                <w:color w:val="404040"/>
                <w:sz w:val="17"/>
              </w:rPr>
              <w:t>~5 GB; 500K user records</w:t>
            </w:r>
          </w:p>
        </w:tc>
      </w:tr>
      <w:tr>
        <w:tc>
          <w:tcPr>
            <w:tcW w:type="dxa" w:w="1800"/>
            <w:shd w:val="clear" w:color="auto" w:fill="FFFFFF"/>
          </w:tcPr>
          <w:p>
            <w:pPr>
              <w:jc w:val="left"/>
            </w:pPr>
            <w:r/>
            <w:r>
              <w:rPr>
                <w:rFonts w:ascii="Calibri" w:hAnsi="Calibri"/>
                <w:b w:val="0"/>
                <w:color w:val="404040"/>
                <w:sz w:val="17"/>
              </w:rPr>
              <w:t>Supplier Service</w:t>
            </w:r>
          </w:p>
        </w:tc>
        <w:tc>
          <w:tcPr>
            <w:tcW w:type="dxa" w:w="2232"/>
            <w:shd w:val="clear" w:color="auto" w:fill="FFFFFF"/>
          </w:tcPr>
          <w:p>
            <w:pPr>
              <w:jc w:val="left"/>
            </w:pPr>
            <w:r/>
            <w:r>
              <w:rPr>
                <w:rFonts w:ascii="Calibri" w:hAnsi="Calibri"/>
                <w:b w:val="0"/>
                <w:color w:val="404040"/>
                <w:sz w:val="17"/>
              </w:rPr>
              <w:t>PostgreSQL 15 (AWS RDS)</w:t>
            </w:r>
          </w:p>
        </w:tc>
        <w:tc>
          <w:tcPr>
            <w:tcW w:type="dxa" w:w="1440"/>
            <w:shd w:val="clear" w:color="auto" w:fill="FFFFFF"/>
          </w:tcPr>
          <w:p>
            <w:pPr>
              <w:jc w:val="left"/>
            </w:pPr>
            <w:r/>
            <w:r>
              <w:rPr>
                <w:rFonts w:ascii="Calibri" w:hAnsi="Calibri"/>
                <w:b w:val="0"/>
                <w:color w:val="404040"/>
                <w:sz w:val="17"/>
              </w:rPr>
              <w:t>Relational</w:t>
            </w:r>
          </w:p>
        </w:tc>
        <w:tc>
          <w:tcPr>
            <w:tcW w:type="dxa" w:w="2304"/>
            <w:shd w:val="clear" w:color="auto" w:fill="FFFFFF"/>
          </w:tcPr>
          <w:p>
            <w:pPr>
              <w:jc w:val="left"/>
            </w:pPr>
            <w:r/>
            <w:r>
              <w:rPr>
                <w:rFonts w:ascii="Calibri" w:hAnsi="Calibri"/>
                <w:b w:val="0"/>
                <w:color w:val="404040"/>
                <w:sz w:val="17"/>
              </w:rPr>
              <w:t>Dedicated RDS; S3 for binary documents</w:t>
            </w:r>
          </w:p>
        </w:tc>
        <w:tc>
          <w:tcPr>
            <w:tcW w:type="dxa" w:w="2448"/>
            <w:shd w:val="clear" w:color="auto" w:fill="FFFFFF"/>
          </w:tcPr>
          <w:p>
            <w:pPr>
              <w:jc w:val="left"/>
            </w:pPr>
            <w:r/>
            <w:r>
              <w:rPr>
                <w:rFonts w:ascii="Calibri" w:hAnsi="Calibri"/>
                <w:b w:val="0"/>
                <w:color w:val="404040"/>
                <w:sz w:val="17"/>
              </w:rPr>
              <w:t>Oracle DMS extract; S3 migration of file attachments</w:t>
            </w:r>
          </w:p>
        </w:tc>
        <w:tc>
          <w:tcPr>
            <w:tcW w:type="dxa" w:w="1872"/>
            <w:shd w:val="clear" w:color="auto" w:fill="FFFFFF"/>
          </w:tcPr>
          <w:p>
            <w:pPr>
              <w:jc w:val="left"/>
            </w:pPr>
            <w:r/>
            <w:r>
              <w:rPr>
                <w:rFonts w:ascii="Calibri" w:hAnsi="Calibri"/>
                <w:b w:val="0"/>
                <w:color w:val="404040"/>
                <w:sz w:val="17"/>
              </w:rPr>
              <w:t>~25 GB DB; ~500 GB S3</w:t>
            </w:r>
          </w:p>
        </w:tc>
      </w:tr>
      <w:tr>
        <w:tc>
          <w:tcPr>
            <w:tcW w:type="dxa" w:w="1800"/>
            <w:shd w:val="clear" w:color="auto" w:fill="EDF2F8"/>
          </w:tcPr>
          <w:p>
            <w:pPr>
              <w:jc w:val="left"/>
            </w:pPr>
            <w:r/>
            <w:r>
              <w:rPr>
                <w:rFonts w:ascii="Calibri" w:hAnsi="Calibri"/>
                <w:b w:val="0"/>
                <w:color w:val="404040"/>
                <w:sz w:val="17"/>
              </w:rPr>
              <w:t>Reporting Service</w:t>
            </w:r>
          </w:p>
        </w:tc>
        <w:tc>
          <w:tcPr>
            <w:tcW w:type="dxa" w:w="2232"/>
            <w:shd w:val="clear" w:color="auto" w:fill="EDF2F8"/>
          </w:tcPr>
          <w:p>
            <w:pPr>
              <w:jc w:val="left"/>
            </w:pPr>
            <w:r/>
            <w:r>
              <w:rPr>
                <w:rFonts w:ascii="Calibri" w:hAnsi="Calibri"/>
                <w:b w:val="0"/>
                <w:color w:val="404040"/>
                <w:sz w:val="17"/>
              </w:rPr>
              <w:t>MongoDB 7 (DocumentDB) + S3</w:t>
            </w:r>
          </w:p>
        </w:tc>
        <w:tc>
          <w:tcPr>
            <w:tcW w:type="dxa" w:w="1440"/>
            <w:shd w:val="clear" w:color="auto" w:fill="EDF2F8"/>
          </w:tcPr>
          <w:p>
            <w:pPr>
              <w:jc w:val="left"/>
            </w:pPr>
            <w:r/>
            <w:r>
              <w:rPr>
                <w:rFonts w:ascii="Calibri" w:hAnsi="Calibri"/>
                <w:b w:val="0"/>
                <w:color w:val="404040"/>
                <w:sz w:val="17"/>
              </w:rPr>
              <w:t>Document + Object</w:t>
            </w:r>
          </w:p>
        </w:tc>
        <w:tc>
          <w:tcPr>
            <w:tcW w:type="dxa" w:w="2304"/>
            <w:shd w:val="clear" w:color="auto" w:fill="EDF2F8"/>
          </w:tcPr>
          <w:p>
            <w:pPr>
              <w:jc w:val="left"/>
            </w:pPr>
            <w:r/>
            <w:r>
              <w:rPr>
                <w:rFonts w:ascii="Calibri" w:hAnsi="Calibri"/>
                <w:b w:val="0"/>
                <w:color w:val="404040"/>
                <w:sz w:val="17"/>
              </w:rPr>
              <w:t>Read-only replicas + S3 data lake</w:t>
            </w:r>
          </w:p>
        </w:tc>
        <w:tc>
          <w:tcPr>
            <w:tcW w:type="dxa" w:w="2448"/>
            <w:shd w:val="clear" w:color="auto" w:fill="EDF2F8"/>
          </w:tcPr>
          <w:p>
            <w:pPr>
              <w:jc w:val="left"/>
            </w:pPr>
            <w:r/>
            <w:r>
              <w:rPr>
                <w:rFonts w:ascii="Calibri" w:hAnsi="Calibri"/>
                <w:b w:val="0"/>
                <w:color w:val="404040"/>
                <w:sz w:val="17"/>
              </w:rPr>
              <w:t>Rebuild from Kafka event replay + historical Oracle snapshot</w:t>
            </w:r>
          </w:p>
        </w:tc>
        <w:tc>
          <w:tcPr>
            <w:tcW w:type="dxa" w:w="1872"/>
            <w:shd w:val="clear" w:color="auto" w:fill="EDF2F8"/>
          </w:tcPr>
          <w:p>
            <w:pPr>
              <w:jc w:val="left"/>
            </w:pPr>
            <w:r/>
            <w:r>
              <w:rPr>
                <w:rFonts w:ascii="Calibri" w:hAnsi="Calibri"/>
                <w:b w:val="0"/>
                <w:color w:val="404040"/>
                <w:sz w:val="17"/>
              </w:rPr>
              <w:t>~1 TB S3; 50 GB MongoDB</w:t>
            </w:r>
          </w:p>
        </w:tc>
      </w:tr>
      <w:tr>
        <w:tc>
          <w:tcPr>
            <w:tcW w:type="dxa" w:w="1800"/>
            <w:shd w:val="clear" w:color="auto" w:fill="FFFFFF"/>
          </w:tcPr>
          <w:p>
            <w:pPr>
              <w:jc w:val="left"/>
            </w:pPr>
            <w:r/>
            <w:r>
              <w:rPr>
                <w:rFonts w:ascii="Calibri" w:hAnsi="Calibri"/>
                <w:b w:val="0"/>
                <w:color w:val="404040"/>
                <w:sz w:val="17"/>
              </w:rPr>
              <w:t>Search Service</w:t>
            </w:r>
          </w:p>
        </w:tc>
        <w:tc>
          <w:tcPr>
            <w:tcW w:type="dxa" w:w="2232"/>
            <w:shd w:val="clear" w:color="auto" w:fill="FFFFFF"/>
          </w:tcPr>
          <w:p>
            <w:pPr>
              <w:jc w:val="left"/>
            </w:pPr>
            <w:r/>
            <w:r>
              <w:rPr>
                <w:rFonts w:ascii="Calibri" w:hAnsi="Calibri"/>
                <w:b w:val="0"/>
                <w:color w:val="404040"/>
                <w:sz w:val="17"/>
              </w:rPr>
              <w:t>Elasticsearch 8 (AWS OpenSearch)</w:t>
            </w:r>
          </w:p>
        </w:tc>
        <w:tc>
          <w:tcPr>
            <w:tcW w:type="dxa" w:w="1440"/>
            <w:shd w:val="clear" w:color="auto" w:fill="FFFFFF"/>
          </w:tcPr>
          <w:p>
            <w:pPr>
              <w:jc w:val="left"/>
            </w:pPr>
            <w:r/>
            <w:r>
              <w:rPr>
                <w:rFonts w:ascii="Calibri" w:hAnsi="Calibri"/>
                <w:b w:val="0"/>
                <w:color w:val="404040"/>
                <w:sz w:val="17"/>
              </w:rPr>
              <w:t>Search Index</w:t>
            </w:r>
          </w:p>
        </w:tc>
        <w:tc>
          <w:tcPr>
            <w:tcW w:type="dxa" w:w="2304"/>
            <w:shd w:val="clear" w:color="auto" w:fill="FFFFFF"/>
          </w:tcPr>
          <w:p>
            <w:pPr>
              <w:jc w:val="left"/>
            </w:pPr>
            <w:r/>
            <w:r>
              <w:rPr>
                <w:rFonts w:ascii="Calibri" w:hAnsi="Calibri"/>
                <w:b w:val="0"/>
                <w:color w:val="404040"/>
                <w:sz w:val="17"/>
              </w:rPr>
              <w:t>Dedicated domain; index-per-entity model</w:t>
            </w:r>
          </w:p>
        </w:tc>
        <w:tc>
          <w:tcPr>
            <w:tcW w:type="dxa" w:w="2448"/>
            <w:shd w:val="clear" w:color="auto" w:fill="FFFFFF"/>
          </w:tcPr>
          <w:p>
            <w:pPr>
              <w:jc w:val="left"/>
            </w:pPr>
            <w:r/>
            <w:r>
              <w:rPr>
                <w:rFonts w:ascii="Calibri" w:hAnsi="Calibri"/>
                <w:b w:val="0"/>
                <w:color w:val="404040"/>
                <w:sz w:val="17"/>
              </w:rPr>
              <w:t>Bulk index from source services post-migration; Kafka ongoing</w:t>
            </w:r>
          </w:p>
        </w:tc>
        <w:tc>
          <w:tcPr>
            <w:tcW w:type="dxa" w:w="1872"/>
            <w:shd w:val="clear" w:color="auto" w:fill="FFFFFF"/>
          </w:tcPr>
          <w:p>
            <w:pPr>
              <w:jc w:val="left"/>
            </w:pPr>
            <w:r/>
            <w:r>
              <w:rPr>
                <w:rFonts w:ascii="Calibri" w:hAnsi="Calibri"/>
                <w:b w:val="0"/>
                <w:color w:val="404040"/>
                <w:sz w:val="17"/>
              </w:rPr>
              <w:t>~80 GB index</w:t>
            </w:r>
          </w:p>
        </w:tc>
      </w:tr>
      <w:tr>
        <w:tc>
          <w:tcPr>
            <w:tcW w:type="dxa" w:w="1800"/>
            <w:shd w:val="clear" w:color="auto" w:fill="EDF2F8"/>
          </w:tcPr>
          <w:p>
            <w:pPr>
              <w:jc w:val="left"/>
            </w:pPr>
            <w:r/>
            <w:r>
              <w:rPr>
                <w:rFonts w:ascii="Calibri" w:hAnsi="Calibri"/>
                <w:b w:val="0"/>
                <w:color w:val="404040"/>
                <w:sz w:val="17"/>
              </w:rPr>
              <w:t>Shared Event Store</w:t>
            </w:r>
          </w:p>
        </w:tc>
        <w:tc>
          <w:tcPr>
            <w:tcW w:type="dxa" w:w="2232"/>
            <w:shd w:val="clear" w:color="auto" w:fill="EDF2F8"/>
          </w:tcPr>
          <w:p>
            <w:pPr>
              <w:jc w:val="left"/>
            </w:pPr>
            <w:r/>
            <w:r>
              <w:rPr>
                <w:rFonts w:ascii="Calibri" w:hAnsi="Calibri"/>
                <w:b w:val="0"/>
                <w:color w:val="404040"/>
                <w:sz w:val="17"/>
              </w:rPr>
              <w:t>Apache Kafka 3.7 (MSK)</w:t>
            </w:r>
          </w:p>
        </w:tc>
        <w:tc>
          <w:tcPr>
            <w:tcW w:type="dxa" w:w="1440"/>
            <w:shd w:val="clear" w:color="auto" w:fill="EDF2F8"/>
          </w:tcPr>
          <w:p>
            <w:pPr>
              <w:jc w:val="left"/>
            </w:pPr>
            <w:r/>
            <w:r>
              <w:rPr>
                <w:rFonts w:ascii="Calibri" w:hAnsi="Calibri"/>
                <w:b w:val="0"/>
                <w:color w:val="404040"/>
                <w:sz w:val="17"/>
              </w:rPr>
              <w:t>Event Log</w:t>
            </w:r>
          </w:p>
        </w:tc>
        <w:tc>
          <w:tcPr>
            <w:tcW w:type="dxa" w:w="2304"/>
            <w:shd w:val="clear" w:color="auto" w:fill="EDF2F8"/>
          </w:tcPr>
          <w:p>
            <w:pPr>
              <w:jc w:val="left"/>
            </w:pPr>
            <w:r/>
            <w:r>
              <w:rPr>
                <w:rFonts w:ascii="Calibri" w:hAnsi="Calibri"/>
                <w:b w:val="0"/>
                <w:color w:val="404040"/>
                <w:sz w:val="17"/>
              </w:rPr>
              <w:t>Topic-per-domain; RBAC on consumer groups</w:t>
            </w:r>
          </w:p>
        </w:tc>
        <w:tc>
          <w:tcPr>
            <w:tcW w:type="dxa" w:w="2448"/>
            <w:shd w:val="clear" w:color="auto" w:fill="EDF2F8"/>
          </w:tcPr>
          <w:p>
            <w:pPr>
              <w:jc w:val="left"/>
            </w:pPr>
            <w:r/>
            <w:r>
              <w:rPr>
                <w:rFonts w:ascii="Calibri" w:hAnsi="Calibri"/>
                <w:b w:val="0"/>
                <w:color w:val="404040"/>
                <w:sz w:val="17"/>
              </w:rPr>
              <w:t>New deployment; historical events backfilled from Oracle CDC</w:t>
            </w:r>
          </w:p>
        </w:tc>
        <w:tc>
          <w:tcPr>
            <w:tcW w:type="dxa" w:w="1872"/>
            <w:shd w:val="clear" w:color="auto" w:fill="EDF2F8"/>
          </w:tcPr>
          <w:p>
            <w:pPr>
              <w:jc w:val="left"/>
            </w:pPr>
            <w:r/>
            <w:r>
              <w:rPr>
                <w:rFonts w:ascii="Calibri" w:hAnsi="Calibri"/>
                <w:b w:val="0"/>
                <w:color w:val="404040"/>
                <w:sz w:val="17"/>
              </w:rPr>
              <w:t>7-day retention; ~2 TB peak</w:t>
            </w:r>
          </w:p>
        </w:tc>
      </w:tr>
    </w:tbl>
    <w:p>
      <w:pPr>
        <w:spacing w:after="80"/>
      </w:pPr>
    </w:p>
    <w:p>
      <w:pPr>
        <w:spacing w:before="40" w:after="160"/>
      </w:pPr>
      <w:r>
        <w:rPr>
          <w:rFonts w:ascii="Calibri" w:hAnsi="Calibri"/>
          <w:i/>
          <w:color w:val="2E75B6"/>
          <w:sz w:val="17"/>
        </w:rPr>
        <w:t>Table 3.4 – Data Architecture and Database Strategy per Service</w:t>
      </w:r>
    </w:p>
    <w:p>
      <w:r>
        <w:br w:type="page"/>
      </w:r>
    </w:p>
    <w:p>
      <w:pPr>
        <w:pStyle w:val="Heading1"/>
        <w:spacing w:before="280" w:after="120"/>
      </w:pPr>
      <w:r>
        <w:rPr>
          <w:rFonts w:ascii="Calibri" w:hAnsi="Calibri"/>
          <w:color w:val="1F3964"/>
          <w:sz w:val="32"/>
        </w:rPr>
        <w:t>4. Migration Strategy</w:t>
      </w:r>
    </w:p>
    <w:p>
      <w:pPr>
        <w:pStyle w:val="Heading2"/>
        <w:spacing w:before="200" w:after="120"/>
      </w:pPr>
      <w:r>
        <w:rPr>
          <w:rFonts w:ascii="Calibri" w:hAnsi="Calibri"/>
          <w:color w:val="2E75B6"/>
          <w:sz w:val="26"/>
        </w:rPr>
        <w:t>4.1  Decomposition Approach – Strangler Fig Pattern</w:t>
      </w:r>
    </w:p>
    <w:p>
      <w:pPr>
        <w:spacing w:after="120" w:before="40"/>
      </w:pPr>
      <w:r>
        <w:rPr>
          <w:rFonts w:ascii="Calibri" w:hAnsi="Calibri"/>
          <w:b w:val="0"/>
          <w:i w:val="0"/>
          <w:color w:val="404040"/>
          <w:sz w:val="20"/>
        </w:rPr>
        <w:t>The migration adopts the Strangler Fig Pattern — progressively routing traffic away from the monolith to newly deployed microservices while keeping the legacy system operational as a fallback. A feature flag and traffic-splitting layer (via the API Gateway) controls the percentage of traffic directed to each new service, enabling gradual cut-over with immediate rollback capability.</w:t>
      </w:r>
    </w:p>
    <w:p>
      <w:pPr>
        <w:pStyle w:val="Heading2"/>
        <w:spacing w:before="200" w:after="120"/>
      </w:pPr>
      <w:r>
        <w:rPr>
          <w:rFonts w:ascii="Calibri" w:hAnsi="Calibri"/>
          <w:color w:val="2E75B6"/>
          <w:sz w:val="26"/>
        </w:rPr>
        <w:t>4.2  Service Identification and Bounded Contexts</w:t>
      </w:r>
    </w:p>
    <w:p>
      <w:pPr>
        <w:spacing w:after="120" w:before="40"/>
      </w:pPr>
      <w:r>
        <w:rPr>
          <w:rFonts w:ascii="Calibri" w:hAnsi="Calibri"/>
          <w:b w:val="0"/>
          <w:i w:val="0"/>
          <w:color w:val="404040"/>
          <w:sz w:val="20"/>
        </w:rPr>
        <w:t>Services are identified using Domain-Driven Design (DDD) Event Storming workshops. Each bounded context maps to exactly one microservice. The following principles guide service boundary definitions:</w:t>
      </w:r>
    </w:p>
    <w:p>
      <w:pPr>
        <w:pStyle w:val="ListBullet"/>
        <w:spacing w:after="60"/>
        <w:ind w:left="360"/>
      </w:pPr>
      <w:r>
        <w:rPr>
          <w:rFonts w:ascii="Calibri" w:hAnsi="Calibri"/>
          <w:color w:val="404040"/>
          <w:sz w:val="19"/>
        </w:rPr>
        <w:t>Single Responsibility: Each service encapsulates one and only one business capability.</w:t>
      </w:r>
    </w:p>
    <w:p>
      <w:pPr>
        <w:pStyle w:val="ListBullet"/>
        <w:spacing w:after="60"/>
        <w:ind w:left="360"/>
      </w:pPr>
      <w:r>
        <w:rPr>
          <w:rFonts w:ascii="Calibri" w:hAnsi="Calibri"/>
          <w:color w:val="404040"/>
          <w:sz w:val="19"/>
        </w:rPr>
        <w:t>High Cohesion / Loose Coupling: Services share no database tables and communicate only via API or events.</w:t>
      </w:r>
    </w:p>
    <w:p>
      <w:pPr>
        <w:pStyle w:val="ListBullet"/>
        <w:spacing w:after="60"/>
        <w:ind w:left="360"/>
      </w:pPr>
      <w:r>
        <w:rPr>
          <w:rFonts w:ascii="Calibri" w:hAnsi="Calibri"/>
          <w:color w:val="404040"/>
          <w:sz w:val="19"/>
        </w:rPr>
        <w:t>Team Alignment (Conway's Law): Service boundaries align to autonomous squad ownership (2-pizza rule).</w:t>
      </w:r>
    </w:p>
    <w:p>
      <w:pPr>
        <w:pStyle w:val="ListBullet"/>
        <w:spacing w:after="60"/>
        <w:ind w:left="360"/>
      </w:pPr>
      <w:r>
        <w:rPr>
          <w:rFonts w:ascii="Calibri" w:hAnsi="Calibri"/>
          <w:color w:val="404040"/>
          <w:sz w:val="19"/>
        </w:rPr>
        <w:t>Independent Deployability: Any service can be deployed, scaled, or rolled back without affecting others.</w:t>
      </w:r>
    </w:p>
    <w:p>
      <w:pPr>
        <w:pStyle w:val="ListBullet"/>
        <w:spacing w:after="60"/>
        <w:ind w:left="360"/>
      </w:pPr>
      <w:r>
        <w:rPr>
          <w:rFonts w:ascii="Calibri" w:hAnsi="Calibri"/>
          <w:color w:val="404040"/>
          <w:sz w:val="19"/>
        </w:rPr>
        <w:t>Data Ownership: Each service is the sole writer of its own data store.</w:t>
      </w:r>
    </w:p>
    <w:p>
      <w:pPr>
        <w:pStyle w:val="Heading2"/>
        <w:spacing w:before="200" w:after="120"/>
      </w:pPr>
      <w:r>
        <w:rPr>
          <w:rFonts w:ascii="Calibri" w:hAnsi="Calibri"/>
          <w:color w:val="2E75B6"/>
          <w:sz w:val="26"/>
        </w:rPr>
        <w:t>4.3  Phased Decomposition Sequence</w:t>
      </w:r>
    </w:p>
    <w:p>
      <w:pPr>
        <w:spacing w:after="120" w:before="40"/>
      </w:pPr>
      <w:r>
        <w:rPr>
          <w:rFonts w:ascii="Calibri" w:hAnsi="Calibri"/>
          <w:b w:val="0"/>
          <w:i w:val="0"/>
          <w:color w:val="404040"/>
          <w:sz w:val="20"/>
        </w:rPr>
        <w:t>Services are migrated in the following priority order based on blast radius, data coupling complexity, and business value:</w:t>
      </w:r>
    </w:p>
    <w:tbl>
      <w:tblPr>
        <w:tblStyle w:val="TableGrid"/>
        <w:tblW w:type="auto" w:w="0"/>
        <w:jc w:val="center"/>
        <w:tblLook w:firstColumn="1" w:firstRow="1" w:lastColumn="0" w:lastRow="0" w:noHBand="0" w:noVBand="1" w:val="04A0"/>
      </w:tblPr>
      <w:tblGrid>
        <w:gridCol w:w="2976"/>
        <w:gridCol w:w="2976"/>
        <w:gridCol w:w="2976"/>
      </w:tblGrid>
      <w:tr>
        <w:tc>
          <w:tcPr>
            <w:tcW w:type="dxa" w:w="2160"/>
            <w:shd w:val="clear" w:color="auto" w:fill="1F3964"/>
          </w:tcPr>
          <w:p>
            <w:pPr>
              <w:jc w:val="center"/>
            </w:pPr>
            <w:r/>
            <w:r>
              <w:rPr>
                <w:rFonts w:ascii="Calibri" w:hAnsi="Calibri"/>
                <w:b/>
                <w:color w:val="FFFFFF"/>
                <w:sz w:val="18"/>
              </w:rPr>
              <w:t>Phase</w:t>
            </w:r>
          </w:p>
        </w:tc>
        <w:tc>
          <w:tcPr>
            <w:tcW w:type="dxa" w:w="4032"/>
            <w:shd w:val="clear" w:color="auto" w:fill="1F3964"/>
          </w:tcPr>
          <w:p>
            <w:pPr>
              <w:jc w:val="center"/>
            </w:pPr>
            <w:r/>
            <w:r>
              <w:rPr>
                <w:rFonts w:ascii="Calibri" w:hAnsi="Calibri"/>
                <w:b/>
                <w:color w:val="FFFFFF"/>
                <w:sz w:val="18"/>
              </w:rPr>
              <w:t>Services Migrated</w:t>
            </w:r>
          </w:p>
        </w:tc>
        <w:tc>
          <w:tcPr>
            <w:tcW w:type="dxa" w:w="5904"/>
            <w:shd w:val="clear" w:color="auto" w:fill="1F3964"/>
          </w:tcPr>
          <w:p>
            <w:pPr>
              <w:jc w:val="center"/>
            </w:pPr>
            <w:r/>
            <w:r>
              <w:rPr>
                <w:rFonts w:ascii="Calibri" w:hAnsi="Calibri"/>
                <w:b/>
                <w:color w:val="FFFFFF"/>
                <w:sz w:val="18"/>
              </w:rPr>
              <w:t>Rationale</w:t>
            </w:r>
          </w:p>
        </w:tc>
      </w:tr>
      <w:tr>
        <w:tc>
          <w:tcPr>
            <w:tcW w:type="dxa" w:w="2160"/>
            <w:shd w:val="clear" w:color="auto" w:fill="FFFFFF"/>
          </w:tcPr>
          <w:p>
            <w:pPr>
              <w:jc w:val="left"/>
            </w:pPr>
            <w:r/>
            <w:r>
              <w:rPr>
                <w:rFonts w:ascii="Calibri" w:hAnsi="Calibri"/>
                <w:b w:val="0"/>
                <w:color w:val="404040"/>
                <w:sz w:val="17"/>
              </w:rPr>
              <w:t>Phase 1 – Foundation</w:t>
            </w:r>
          </w:p>
        </w:tc>
        <w:tc>
          <w:tcPr>
            <w:tcW w:type="dxa" w:w="4032"/>
            <w:shd w:val="clear" w:color="auto" w:fill="FFFFFF"/>
          </w:tcPr>
          <w:p>
            <w:pPr>
              <w:jc w:val="left"/>
            </w:pPr>
            <w:r/>
            <w:r>
              <w:rPr>
                <w:rFonts w:ascii="Calibri" w:hAnsi="Calibri"/>
                <w:b w:val="0"/>
                <w:color w:val="404040"/>
                <w:sz w:val="17"/>
              </w:rPr>
              <w:t>Auth Service, API Gateway, Event Bus, Service Mesh, Observability Stack</w:t>
            </w:r>
          </w:p>
        </w:tc>
        <w:tc>
          <w:tcPr>
            <w:tcW w:type="dxa" w:w="5904"/>
            <w:shd w:val="clear" w:color="auto" w:fill="FFFFFF"/>
          </w:tcPr>
          <w:p>
            <w:pPr>
              <w:jc w:val="left"/>
            </w:pPr>
            <w:r/>
            <w:r>
              <w:rPr>
                <w:rFonts w:ascii="Calibri" w:hAnsi="Calibri"/>
                <w:b w:val="0"/>
                <w:color w:val="404040"/>
                <w:sz w:val="17"/>
              </w:rPr>
              <w:t>Low blast radius; enables secure scaffolding for subsequent services.</w:t>
            </w:r>
          </w:p>
        </w:tc>
      </w:tr>
      <w:tr>
        <w:tc>
          <w:tcPr>
            <w:tcW w:type="dxa" w:w="2160"/>
            <w:shd w:val="clear" w:color="auto" w:fill="EDF2F8"/>
          </w:tcPr>
          <w:p>
            <w:pPr>
              <w:jc w:val="left"/>
            </w:pPr>
            <w:r/>
            <w:r>
              <w:rPr>
                <w:rFonts w:ascii="Calibri" w:hAnsi="Calibri"/>
                <w:b w:val="0"/>
                <w:color w:val="404040"/>
                <w:sz w:val="17"/>
              </w:rPr>
              <w:t>Phase 2 – Customer Core</w:t>
            </w:r>
          </w:p>
        </w:tc>
        <w:tc>
          <w:tcPr>
            <w:tcW w:type="dxa" w:w="4032"/>
            <w:shd w:val="clear" w:color="auto" w:fill="EDF2F8"/>
          </w:tcPr>
          <w:p>
            <w:pPr>
              <w:jc w:val="left"/>
            </w:pPr>
            <w:r/>
            <w:r>
              <w:rPr>
                <w:rFonts w:ascii="Calibri" w:hAnsi="Calibri"/>
                <w:b w:val="0"/>
                <w:color w:val="404040"/>
                <w:sz w:val="17"/>
              </w:rPr>
              <w:t>Customer Service, Notification Service</w:t>
            </w:r>
          </w:p>
        </w:tc>
        <w:tc>
          <w:tcPr>
            <w:tcW w:type="dxa" w:w="5904"/>
            <w:shd w:val="clear" w:color="auto" w:fill="EDF2F8"/>
          </w:tcPr>
          <w:p>
            <w:pPr>
              <w:jc w:val="left"/>
            </w:pPr>
            <w:r/>
            <w:r>
              <w:rPr>
                <w:rFonts w:ascii="Calibri" w:hAnsi="Calibri"/>
                <w:b w:val="0"/>
                <w:color w:val="404040"/>
                <w:sz w:val="17"/>
              </w:rPr>
              <w:t>Relatively low data coupling; high business value for personalisation roadmap.</w:t>
            </w:r>
          </w:p>
        </w:tc>
      </w:tr>
      <w:tr>
        <w:tc>
          <w:tcPr>
            <w:tcW w:type="dxa" w:w="2160"/>
            <w:shd w:val="clear" w:color="auto" w:fill="FFFFFF"/>
          </w:tcPr>
          <w:p>
            <w:pPr>
              <w:jc w:val="left"/>
            </w:pPr>
            <w:r/>
            <w:r>
              <w:rPr>
                <w:rFonts w:ascii="Calibri" w:hAnsi="Calibri"/>
                <w:b w:val="0"/>
                <w:color w:val="404040"/>
                <w:sz w:val="17"/>
              </w:rPr>
              <w:t>Phase 3 – Commerce Core</w:t>
            </w:r>
          </w:p>
        </w:tc>
        <w:tc>
          <w:tcPr>
            <w:tcW w:type="dxa" w:w="4032"/>
            <w:shd w:val="clear" w:color="auto" w:fill="FFFFFF"/>
          </w:tcPr>
          <w:p>
            <w:pPr>
              <w:jc w:val="left"/>
            </w:pPr>
            <w:r/>
            <w:r>
              <w:rPr>
                <w:rFonts w:ascii="Calibri" w:hAnsi="Calibri"/>
                <w:b w:val="0"/>
                <w:color w:val="404040"/>
                <w:sz w:val="17"/>
              </w:rPr>
              <w:t>Order Service, Inventory Service</w:t>
            </w:r>
          </w:p>
        </w:tc>
        <w:tc>
          <w:tcPr>
            <w:tcW w:type="dxa" w:w="5904"/>
            <w:shd w:val="clear" w:color="auto" w:fill="FFFFFF"/>
          </w:tcPr>
          <w:p>
            <w:pPr>
              <w:jc w:val="left"/>
            </w:pPr>
            <w:r/>
            <w:r>
              <w:rPr>
                <w:rFonts w:ascii="Calibri" w:hAnsi="Calibri"/>
                <w:b w:val="0"/>
                <w:color w:val="404040"/>
                <w:sz w:val="17"/>
              </w:rPr>
              <w:t>Highest transaction volume; requires Saga pattern implementation for consistency.</w:t>
            </w:r>
          </w:p>
        </w:tc>
      </w:tr>
      <w:tr>
        <w:tc>
          <w:tcPr>
            <w:tcW w:type="dxa" w:w="2160"/>
            <w:shd w:val="clear" w:color="auto" w:fill="EDF2F8"/>
          </w:tcPr>
          <w:p>
            <w:pPr>
              <w:jc w:val="left"/>
            </w:pPr>
            <w:r/>
            <w:r>
              <w:rPr>
                <w:rFonts w:ascii="Calibri" w:hAnsi="Calibri"/>
                <w:b w:val="0"/>
                <w:color w:val="404040"/>
                <w:sz w:val="17"/>
              </w:rPr>
              <w:t>Phase 4 – Financial</w:t>
            </w:r>
          </w:p>
        </w:tc>
        <w:tc>
          <w:tcPr>
            <w:tcW w:type="dxa" w:w="4032"/>
            <w:shd w:val="clear" w:color="auto" w:fill="EDF2F8"/>
          </w:tcPr>
          <w:p>
            <w:pPr>
              <w:jc w:val="left"/>
            </w:pPr>
            <w:r/>
            <w:r>
              <w:rPr>
                <w:rFonts w:ascii="Calibri" w:hAnsi="Calibri"/>
                <w:b w:val="0"/>
                <w:color w:val="404040"/>
                <w:sz w:val="17"/>
              </w:rPr>
              <w:t>Billing Service, Supplier Service</w:t>
            </w:r>
          </w:p>
        </w:tc>
        <w:tc>
          <w:tcPr>
            <w:tcW w:type="dxa" w:w="5904"/>
            <w:shd w:val="clear" w:color="auto" w:fill="EDF2F8"/>
          </w:tcPr>
          <w:p>
            <w:pPr>
              <w:jc w:val="left"/>
            </w:pPr>
            <w:r/>
            <w:r>
              <w:rPr>
                <w:rFonts w:ascii="Calibri" w:hAnsi="Calibri"/>
                <w:b w:val="0"/>
                <w:color w:val="404040"/>
                <w:sz w:val="17"/>
              </w:rPr>
              <w:t>Complex financial data migration; requires dual-write reconciliation period.</w:t>
            </w:r>
          </w:p>
        </w:tc>
      </w:tr>
      <w:tr>
        <w:tc>
          <w:tcPr>
            <w:tcW w:type="dxa" w:w="2160"/>
            <w:shd w:val="clear" w:color="auto" w:fill="FFFFFF"/>
          </w:tcPr>
          <w:p>
            <w:pPr>
              <w:jc w:val="left"/>
            </w:pPr>
            <w:r/>
            <w:r>
              <w:rPr>
                <w:rFonts w:ascii="Calibri" w:hAnsi="Calibri"/>
                <w:b w:val="0"/>
                <w:color w:val="404040"/>
                <w:sz w:val="17"/>
              </w:rPr>
              <w:t>Phase 5 – Intelligence</w:t>
            </w:r>
          </w:p>
        </w:tc>
        <w:tc>
          <w:tcPr>
            <w:tcW w:type="dxa" w:w="4032"/>
            <w:shd w:val="clear" w:color="auto" w:fill="FFFFFF"/>
          </w:tcPr>
          <w:p>
            <w:pPr>
              <w:jc w:val="left"/>
            </w:pPr>
            <w:r/>
            <w:r>
              <w:rPr>
                <w:rFonts w:ascii="Calibri" w:hAnsi="Calibri"/>
                <w:b w:val="0"/>
                <w:color w:val="404040"/>
                <w:sz w:val="17"/>
              </w:rPr>
              <w:t>Reporting Service, Search Service</w:t>
            </w:r>
          </w:p>
        </w:tc>
        <w:tc>
          <w:tcPr>
            <w:tcW w:type="dxa" w:w="5904"/>
            <w:shd w:val="clear" w:color="auto" w:fill="FFFFFF"/>
          </w:tcPr>
          <w:p>
            <w:pPr>
              <w:jc w:val="left"/>
            </w:pPr>
            <w:r/>
            <w:r>
              <w:rPr>
                <w:rFonts w:ascii="Calibri" w:hAnsi="Calibri"/>
                <w:b w:val="0"/>
                <w:color w:val="404040"/>
                <w:sz w:val="17"/>
              </w:rPr>
              <w:t>Read-only workloads; can be rebuilt from event replay with no data loss risk.</w:t>
            </w:r>
          </w:p>
        </w:tc>
      </w:tr>
      <w:tr>
        <w:tc>
          <w:tcPr>
            <w:tcW w:type="dxa" w:w="2160"/>
            <w:shd w:val="clear" w:color="auto" w:fill="EDF2F8"/>
          </w:tcPr>
          <w:p>
            <w:pPr>
              <w:jc w:val="left"/>
            </w:pPr>
            <w:r/>
            <w:r>
              <w:rPr>
                <w:rFonts w:ascii="Calibri" w:hAnsi="Calibri"/>
                <w:b w:val="0"/>
                <w:color w:val="404040"/>
                <w:sz w:val="17"/>
              </w:rPr>
              <w:t>Phase 6 – Decommission</w:t>
            </w:r>
          </w:p>
        </w:tc>
        <w:tc>
          <w:tcPr>
            <w:tcW w:type="dxa" w:w="4032"/>
            <w:shd w:val="clear" w:color="auto" w:fill="EDF2F8"/>
          </w:tcPr>
          <w:p>
            <w:pPr>
              <w:jc w:val="left"/>
            </w:pPr>
            <w:r/>
            <w:r>
              <w:rPr>
                <w:rFonts w:ascii="Calibri" w:hAnsi="Calibri"/>
                <w:b w:val="0"/>
                <w:color w:val="404040"/>
                <w:sz w:val="17"/>
              </w:rPr>
              <w:t>Legacy Monolith, Oracle ESB, WebLogic Cluster</w:t>
            </w:r>
          </w:p>
        </w:tc>
        <w:tc>
          <w:tcPr>
            <w:tcW w:type="dxa" w:w="5904"/>
            <w:shd w:val="clear" w:color="auto" w:fill="EDF2F8"/>
          </w:tcPr>
          <w:p>
            <w:pPr>
              <w:jc w:val="left"/>
            </w:pPr>
            <w:r/>
            <w:r>
              <w:rPr>
                <w:rFonts w:ascii="Calibri" w:hAnsi="Calibri"/>
                <w:b w:val="0"/>
                <w:color w:val="404040"/>
                <w:sz w:val="17"/>
              </w:rPr>
              <w:t>Final traffic cut-over, decommission of legacy systems, and Oracle DB archival.</w:t>
            </w:r>
          </w:p>
        </w:tc>
      </w:tr>
    </w:tbl>
    <w:p>
      <w:pPr>
        <w:spacing w:after="80"/>
      </w:pPr>
    </w:p>
    <w:p>
      <w:pPr>
        <w:spacing w:before="40" w:after="160"/>
      </w:pPr>
      <w:r>
        <w:rPr>
          <w:rFonts w:ascii="Calibri" w:hAnsi="Calibri"/>
          <w:i/>
          <w:color w:val="2E75B6"/>
          <w:sz w:val="17"/>
        </w:rPr>
        <w:t>Table 4.1 – Phased Service Decomposition Sequence</w:t>
      </w:r>
    </w:p>
    <w:p>
      <w:pPr>
        <w:pStyle w:val="Heading2"/>
        <w:spacing w:before="200" w:after="120"/>
      </w:pPr>
      <w:r>
        <w:rPr>
          <w:rFonts w:ascii="Calibri" w:hAnsi="Calibri"/>
          <w:color w:val="2E75B6"/>
          <w:sz w:val="26"/>
        </w:rPr>
        <w:t>4.4  Data Migration Approach</w:t>
      </w:r>
    </w:p>
    <w:p>
      <w:pPr>
        <w:pStyle w:val="ListBullet"/>
        <w:spacing w:after="60"/>
        <w:ind w:left="360"/>
      </w:pPr>
      <w:r>
        <w:rPr>
          <w:rFonts w:ascii="Calibri" w:hAnsi="Calibri"/>
          <w:color w:val="404040"/>
          <w:sz w:val="19"/>
        </w:rPr>
        <w:t>Schema Extraction: Oracle schema analysed with AWS Schema Conversion Tool (SCT) to identify target schemas per service.</w:t>
      </w:r>
    </w:p>
    <w:p>
      <w:pPr>
        <w:pStyle w:val="ListBullet"/>
        <w:spacing w:after="60"/>
        <w:ind w:left="360"/>
      </w:pPr>
      <w:r>
        <w:rPr>
          <w:rFonts w:ascii="Calibri" w:hAnsi="Calibri"/>
          <w:color w:val="404040"/>
          <w:sz w:val="19"/>
        </w:rPr>
        <w:t>Data Replication: AWS Database Migration Service (DMS) used for initial full-load and ongoing CDC replication.</w:t>
      </w:r>
    </w:p>
    <w:p>
      <w:pPr>
        <w:pStyle w:val="ListBullet"/>
        <w:spacing w:after="60"/>
        <w:ind w:left="360"/>
      </w:pPr>
      <w:r>
        <w:rPr>
          <w:rFonts w:ascii="Calibri" w:hAnsi="Calibri"/>
          <w:color w:val="404040"/>
          <w:sz w:val="19"/>
        </w:rPr>
        <w:t>Dual-Write Period: New services write to both old Oracle tables and new PostgreSQL schemas during transition to ensure consistency.</w:t>
      </w:r>
    </w:p>
    <w:p>
      <w:pPr>
        <w:pStyle w:val="ListBullet"/>
        <w:spacing w:after="60"/>
        <w:ind w:left="360"/>
      </w:pPr>
      <w:r>
        <w:rPr>
          <w:rFonts w:ascii="Calibri" w:hAnsi="Calibri"/>
          <w:color w:val="404040"/>
          <w:sz w:val="19"/>
        </w:rPr>
        <w:t>Data Validation: Automated reconciliation jobs compare row counts, checksums, and financial totals between source and target.</w:t>
      </w:r>
    </w:p>
    <w:p>
      <w:pPr>
        <w:pStyle w:val="ListBullet"/>
        <w:spacing w:after="60"/>
        <w:ind w:left="360"/>
      </w:pPr>
      <w:r>
        <w:rPr>
          <w:rFonts w:ascii="Calibri" w:hAnsi="Calibri"/>
          <w:color w:val="404040"/>
          <w:sz w:val="19"/>
        </w:rPr>
        <w:t>Cut-Over: Traffic switched to new service once validation passes. Old Oracle tables become read-only for 30-day audit window.</w:t>
      </w:r>
    </w:p>
    <w:p>
      <w:pPr>
        <w:pStyle w:val="ListBullet"/>
        <w:spacing w:after="60"/>
        <w:ind w:left="360"/>
      </w:pPr>
      <w:r>
        <w:rPr>
          <w:rFonts w:ascii="Calibri" w:hAnsi="Calibri"/>
          <w:color w:val="404040"/>
          <w:sz w:val="19"/>
        </w:rPr>
        <w:t>PII Handling: All Personally Identifiable Information re-encrypted using AWS KMS customer-managed keys during migration.</w:t>
      </w:r>
    </w:p>
    <w:p>
      <w:pPr>
        <w:pStyle w:val="ListBullet"/>
        <w:spacing w:after="60"/>
        <w:ind w:left="360"/>
      </w:pPr>
      <w:r>
        <w:rPr>
          <w:rFonts w:ascii="Calibri" w:hAnsi="Calibri"/>
          <w:color w:val="404040"/>
          <w:sz w:val="19"/>
        </w:rPr>
        <w:t>Rollback: DMS reverse replication configured to allow rollback within 72 hours of cut-over at each phase.</w:t>
      </w:r>
    </w:p>
    <w:p>
      <w:pPr>
        <w:pStyle w:val="Heading2"/>
        <w:spacing w:before="200" w:after="120"/>
      </w:pPr>
      <w:r>
        <w:rPr>
          <w:rFonts w:ascii="Calibri" w:hAnsi="Calibri"/>
          <w:color w:val="2E75B6"/>
          <w:sz w:val="26"/>
        </w:rPr>
        <w:t>4.5  Testing Strategy</w:t>
      </w:r>
    </w:p>
    <w:tbl>
      <w:tblPr>
        <w:tblStyle w:val="TableGrid"/>
        <w:tblW w:type="auto" w:w="0"/>
        <w:jc w:val="center"/>
        <w:tblLook w:firstColumn="1" w:firstRow="1" w:lastColumn="0" w:lastRow="0" w:noHBand="0" w:noVBand="1" w:val="04A0"/>
      </w:tblPr>
      <w:tblGrid>
        <w:gridCol w:w="2232"/>
        <w:gridCol w:w="2232"/>
        <w:gridCol w:w="2232"/>
        <w:gridCol w:w="2232"/>
      </w:tblGrid>
      <w:tr>
        <w:tc>
          <w:tcPr>
            <w:tcW w:type="dxa" w:w="2016"/>
            <w:shd w:val="clear" w:color="auto" w:fill="1F3964"/>
          </w:tcPr>
          <w:p>
            <w:pPr>
              <w:jc w:val="center"/>
            </w:pPr>
            <w:r/>
            <w:r>
              <w:rPr>
                <w:rFonts w:ascii="Calibri" w:hAnsi="Calibri"/>
                <w:b/>
                <w:color w:val="FFFFFF"/>
                <w:sz w:val="18"/>
              </w:rPr>
              <w:t>Test Type</w:t>
            </w:r>
          </w:p>
        </w:tc>
        <w:tc>
          <w:tcPr>
            <w:tcW w:type="dxa" w:w="1872"/>
            <w:shd w:val="clear" w:color="auto" w:fill="1F3964"/>
          </w:tcPr>
          <w:p>
            <w:pPr>
              <w:jc w:val="center"/>
            </w:pPr>
            <w:r/>
            <w:r>
              <w:rPr>
                <w:rFonts w:ascii="Calibri" w:hAnsi="Calibri"/>
                <w:b/>
                <w:color w:val="FFFFFF"/>
                <w:sz w:val="18"/>
              </w:rPr>
              <w:t>Scope</w:t>
            </w:r>
          </w:p>
        </w:tc>
        <w:tc>
          <w:tcPr>
            <w:tcW w:type="dxa" w:w="2592"/>
            <w:shd w:val="clear" w:color="auto" w:fill="1F3964"/>
          </w:tcPr>
          <w:p>
            <w:pPr>
              <w:jc w:val="center"/>
            </w:pPr>
            <w:r/>
            <w:r>
              <w:rPr>
                <w:rFonts w:ascii="Calibri" w:hAnsi="Calibri"/>
                <w:b/>
                <w:color w:val="FFFFFF"/>
                <w:sz w:val="18"/>
              </w:rPr>
              <w:t>Tooling</w:t>
            </w:r>
          </w:p>
        </w:tc>
        <w:tc>
          <w:tcPr>
            <w:tcW w:type="dxa" w:w="5760"/>
            <w:shd w:val="clear" w:color="auto" w:fill="1F3964"/>
          </w:tcPr>
          <w:p>
            <w:pPr>
              <w:jc w:val="center"/>
            </w:pPr>
            <w:r/>
            <w:r>
              <w:rPr>
                <w:rFonts w:ascii="Calibri" w:hAnsi="Calibri"/>
                <w:b/>
                <w:color w:val="FFFFFF"/>
                <w:sz w:val="18"/>
              </w:rPr>
              <w:t>Approach &amp; Criteria</w:t>
            </w:r>
          </w:p>
        </w:tc>
      </w:tr>
      <w:tr>
        <w:tc>
          <w:tcPr>
            <w:tcW w:type="dxa" w:w="2016"/>
            <w:shd w:val="clear" w:color="auto" w:fill="FFFFFF"/>
          </w:tcPr>
          <w:p>
            <w:pPr>
              <w:jc w:val="left"/>
            </w:pPr>
            <w:r/>
            <w:r>
              <w:rPr>
                <w:rFonts w:ascii="Calibri" w:hAnsi="Calibri"/>
                <w:b w:val="0"/>
                <w:color w:val="404040"/>
                <w:sz w:val="17"/>
              </w:rPr>
              <w:t>Unit Testing</w:t>
            </w:r>
          </w:p>
        </w:tc>
        <w:tc>
          <w:tcPr>
            <w:tcW w:type="dxa" w:w="1872"/>
            <w:shd w:val="clear" w:color="auto" w:fill="FFFFFF"/>
          </w:tcPr>
          <w:p>
            <w:pPr>
              <w:jc w:val="left"/>
            </w:pPr>
            <w:r/>
            <w:r>
              <w:rPr>
                <w:rFonts w:ascii="Calibri" w:hAnsi="Calibri"/>
                <w:b w:val="0"/>
                <w:color w:val="404040"/>
                <w:sz w:val="17"/>
              </w:rPr>
              <w:t>Each service</w:t>
            </w:r>
          </w:p>
        </w:tc>
        <w:tc>
          <w:tcPr>
            <w:tcW w:type="dxa" w:w="2592"/>
            <w:shd w:val="clear" w:color="auto" w:fill="FFFFFF"/>
          </w:tcPr>
          <w:p>
            <w:pPr>
              <w:jc w:val="left"/>
            </w:pPr>
            <w:r/>
            <w:r>
              <w:rPr>
                <w:rFonts w:ascii="Calibri" w:hAnsi="Calibri"/>
                <w:b w:val="0"/>
                <w:color w:val="404040"/>
                <w:sz w:val="17"/>
              </w:rPr>
              <w:t>JUnit 5, pytest, Jest</w:t>
            </w:r>
          </w:p>
        </w:tc>
        <w:tc>
          <w:tcPr>
            <w:tcW w:type="dxa" w:w="5760"/>
            <w:shd w:val="clear" w:color="auto" w:fill="FFFFFF"/>
          </w:tcPr>
          <w:p>
            <w:pPr>
              <w:jc w:val="left"/>
            </w:pPr>
            <w:r/>
            <w:r>
              <w:rPr>
                <w:rFonts w:ascii="Calibri" w:hAnsi="Calibri"/>
                <w:b w:val="0"/>
                <w:color w:val="404040"/>
                <w:sz w:val="17"/>
              </w:rPr>
              <w:t>&gt;80% code coverage; automated in CI pipeline on every commit.</w:t>
            </w:r>
          </w:p>
        </w:tc>
      </w:tr>
      <w:tr>
        <w:tc>
          <w:tcPr>
            <w:tcW w:type="dxa" w:w="2016"/>
            <w:shd w:val="clear" w:color="auto" w:fill="EDF2F8"/>
          </w:tcPr>
          <w:p>
            <w:pPr>
              <w:jc w:val="left"/>
            </w:pPr>
            <w:r/>
            <w:r>
              <w:rPr>
                <w:rFonts w:ascii="Calibri" w:hAnsi="Calibri"/>
                <w:b w:val="0"/>
                <w:color w:val="404040"/>
                <w:sz w:val="17"/>
              </w:rPr>
              <w:t>Contract Testing</w:t>
            </w:r>
          </w:p>
        </w:tc>
        <w:tc>
          <w:tcPr>
            <w:tcW w:type="dxa" w:w="1872"/>
            <w:shd w:val="clear" w:color="auto" w:fill="EDF2F8"/>
          </w:tcPr>
          <w:p>
            <w:pPr>
              <w:jc w:val="left"/>
            </w:pPr>
            <w:r/>
            <w:r>
              <w:rPr>
                <w:rFonts w:ascii="Calibri" w:hAnsi="Calibri"/>
                <w:b w:val="0"/>
                <w:color w:val="404040"/>
                <w:sz w:val="17"/>
              </w:rPr>
              <w:t>API boundaries</w:t>
            </w:r>
          </w:p>
        </w:tc>
        <w:tc>
          <w:tcPr>
            <w:tcW w:type="dxa" w:w="2592"/>
            <w:shd w:val="clear" w:color="auto" w:fill="EDF2F8"/>
          </w:tcPr>
          <w:p>
            <w:pPr>
              <w:jc w:val="left"/>
            </w:pPr>
            <w:r/>
            <w:r>
              <w:rPr>
                <w:rFonts w:ascii="Calibri" w:hAnsi="Calibri"/>
                <w:b w:val="0"/>
                <w:color w:val="404040"/>
                <w:sz w:val="17"/>
              </w:rPr>
              <w:t>Pact (Consumer-Driven Contracts)</w:t>
            </w:r>
          </w:p>
        </w:tc>
        <w:tc>
          <w:tcPr>
            <w:tcW w:type="dxa" w:w="5760"/>
            <w:shd w:val="clear" w:color="auto" w:fill="EDF2F8"/>
          </w:tcPr>
          <w:p>
            <w:pPr>
              <w:jc w:val="left"/>
            </w:pPr>
            <w:r/>
            <w:r>
              <w:rPr>
                <w:rFonts w:ascii="Calibri" w:hAnsi="Calibri"/>
                <w:b w:val="0"/>
                <w:color w:val="404040"/>
                <w:sz w:val="17"/>
              </w:rPr>
              <w:t>Consumer-driven contract tests published to Pact Broker; verified on provider side before merge.</w:t>
            </w:r>
          </w:p>
        </w:tc>
      </w:tr>
      <w:tr>
        <w:tc>
          <w:tcPr>
            <w:tcW w:type="dxa" w:w="2016"/>
            <w:shd w:val="clear" w:color="auto" w:fill="FFFFFF"/>
          </w:tcPr>
          <w:p>
            <w:pPr>
              <w:jc w:val="left"/>
            </w:pPr>
            <w:r/>
            <w:r>
              <w:rPr>
                <w:rFonts w:ascii="Calibri" w:hAnsi="Calibri"/>
                <w:b w:val="0"/>
                <w:color w:val="404040"/>
                <w:sz w:val="17"/>
              </w:rPr>
              <w:t>Integration Testing</w:t>
            </w:r>
          </w:p>
        </w:tc>
        <w:tc>
          <w:tcPr>
            <w:tcW w:type="dxa" w:w="1872"/>
            <w:shd w:val="clear" w:color="auto" w:fill="FFFFFF"/>
          </w:tcPr>
          <w:p>
            <w:pPr>
              <w:jc w:val="left"/>
            </w:pPr>
            <w:r/>
            <w:r>
              <w:rPr>
                <w:rFonts w:ascii="Calibri" w:hAnsi="Calibri"/>
                <w:b w:val="0"/>
                <w:color w:val="404040"/>
                <w:sz w:val="17"/>
              </w:rPr>
              <w:t>Service pairs</w:t>
            </w:r>
          </w:p>
        </w:tc>
        <w:tc>
          <w:tcPr>
            <w:tcW w:type="dxa" w:w="2592"/>
            <w:shd w:val="clear" w:color="auto" w:fill="FFFFFF"/>
          </w:tcPr>
          <w:p>
            <w:pPr>
              <w:jc w:val="left"/>
            </w:pPr>
            <w:r/>
            <w:r>
              <w:rPr>
                <w:rFonts w:ascii="Calibri" w:hAnsi="Calibri"/>
                <w:b w:val="0"/>
                <w:color w:val="404040"/>
                <w:sz w:val="17"/>
              </w:rPr>
              <w:t>Testcontainers, Docker Compose</w:t>
            </w:r>
          </w:p>
        </w:tc>
        <w:tc>
          <w:tcPr>
            <w:tcW w:type="dxa" w:w="5760"/>
            <w:shd w:val="clear" w:color="auto" w:fill="FFFFFF"/>
          </w:tcPr>
          <w:p>
            <w:pPr>
              <w:jc w:val="left"/>
            </w:pPr>
            <w:r/>
            <w:r>
              <w:rPr>
                <w:rFonts w:ascii="Calibri" w:hAnsi="Calibri"/>
                <w:b w:val="0"/>
                <w:color w:val="404040"/>
                <w:sz w:val="17"/>
              </w:rPr>
              <w:t>Spin up dependent services as containers; test real API and Kafka interactions.</w:t>
            </w:r>
          </w:p>
        </w:tc>
      </w:tr>
      <w:tr>
        <w:tc>
          <w:tcPr>
            <w:tcW w:type="dxa" w:w="2016"/>
            <w:shd w:val="clear" w:color="auto" w:fill="EDF2F8"/>
          </w:tcPr>
          <w:p>
            <w:pPr>
              <w:jc w:val="left"/>
            </w:pPr>
            <w:r/>
            <w:r>
              <w:rPr>
                <w:rFonts w:ascii="Calibri" w:hAnsi="Calibri"/>
                <w:b w:val="0"/>
                <w:color w:val="404040"/>
                <w:sz w:val="17"/>
              </w:rPr>
              <w:t>End-to-End Testing</w:t>
            </w:r>
          </w:p>
        </w:tc>
        <w:tc>
          <w:tcPr>
            <w:tcW w:type="dxa" w:w="1872"/>
            <w:shd w:val="clear" w:color="auto" w:fill="EDF2F8"/>
          </w:tcPr>
          <w:p>
            <w:pPr>
              <w:jc w:val="left"/>
            </w:pPr>
            <w:r/>
            <w:r>
              <w:rPr>
                <w:rFonts w:ascii="Calibri" w:hAnsi="Calibri"/>
                <w:b w:val="0"/>
                <w:color w:val="404040"/>
                <w:sz w:val="17"/>
              </w:rPr>
              <w:t>Full flow</w:t>
            </w:r>
          </w:p>
        </w:tc>
        <w:tc>
          <w:tcPr>
            <w:tcW w:type="dxa" w:w="2592"/>
            <w:shd w:val="clear" w:color="auto" w:fill="EDF2F8"/>
          </w:tcPr>
          <w:p>
            <w:pPr>
              <w:jc w:val="left"/>
            </w:pPr>
            <w:r/>
            <w:r>
              <w:rPr>
                <w:rFonts w:ascii="Calibri" w:hAnsi="Calibri"/>
                <w:b w:val="0"/>
                <w:color w:val="404040"/>
                <w:sz w:val="17"/>
              </w:rPr>
              <w:t>Cypress, Selenium, k6</w:t>
            </w:r>
          </w:p>
        </w:tc>
        <w:tc>
          <w:tcPr>
            <w:tcW w:type="dxa" w:w="5760"/>
            <w:shd w:val="clear" w:color="auto" w:fill="EDF2F8"/>
          </w:tcPr>
          <w:p>
            <w:pPr>
              <w:jc w:val="left"/>
            </w:pPr>
            <w:r/>
            <w:r>
              <w:rPr>
                <w:rFonts w:ascii="Calibri" w:hAnsi="Calibri"/>
                <w:b w:val="0"/>
                <w:color w:val="404040"/>
                <w:sz w:val="17"/>
              </w:rPr>
              <w:t>Critical user journeys automated in staging environment mirroring production topology.</w:t>
            </w:r>
          </w:p>
        </w:tc>
      </w:tr>
      <w:tr>
        <w:tc>
          <w:tcPr>
            <w:tcW w:type="dxa" w:w="2016"/>
            <w:shd w:val="clear" w:color="auto" w:fill="FFFFFF"/>
          </w:tcPr>
          <w:p>
            <w:pPr>
              <w:jc w:val="left"/>
            </w:pPr>
            <w:r/>
            <w:r>
              <w:rPr>
                <w:rFonts w:ascii="Calibri" w:hAnsi="Calibri"/>
                <w:b w:val="0"/>
                <w:color w:val="404040"/>
                <w:sz w:val="17"/>
              </w:rPr>
              <w:t>Performance Testing</w:t>
            </w:r>
          </w:p>
        </w:tc>
        <w:tc>
          <w:tcPr>
            <w:tcW w:type="dxa" w:w="1872"/>
            <w:shd w:val="clear" w:color="auto" w:fill="FFFFFF"/>
          </w:tcPr>
          <w:p>
            <w:pPr>
              <w:jc w:val="left"/>
            </w:pPr>
            <w:r/>
            <w:r>
              <w:rPr>
                <w:rFonts w:ascii="Calibri" w:hAnsi="Calibri"/>
                <w:b w:val="0"/>
                <w:color w:val="404040"/>
                <w:sz w:val="17"/>
              </w:rPr>
              <w:t>All services</w:t>
            </w:r>
          </w:p>
        </w:tc>
        <w:tc>
          <w:tcPr>
            <w:tcW w:type="dxa" w:w="2592"/>
            <w:shd w:val="clear" w:color="auto" w:fill="FFFFFF"/>
          </w:tcPr>
          <w:p>
            <w:pPr>
              <w:jc w:val="left"/>
            </w:pPr>
            <w:r/>
            <w:r>
              <w:rPr>
                <w:rFonts w:ascii="Calibri" w:hAnsi="Calibri"/>
                <w:b w:val="0"/>
                <w:color w:val="404040"/>
                <w:sz w:val="17"/>
              </w:rPr>
              <w:t>k6, Gatling, AWS Load Testing</w:t>
            </w:r>
          </w:p>
        </w:tc>
        <w:tc>
          <w:tcPr>
            <w:tcW w:type="dxa" w:w="5760"/>
            <w:shd w:val="clear" w:color="auto" w:fill="FFFFFF"/>
          </w:tcPr>
          <w:p>
            <w:pPr>
              <w:jc w:val="left"/>
            </w:pPr>
            <w:r/>
            <w:r>
              <w:rPr>
                <w:rFonts w:ascii="Calibri" w:hAnsi="Calibri"/>
                <w:b w:val="0"/>
                <w:color w:val="404040"/>
                <w:sz w:val="17"/>
              </w:rPr>
              <w:t>Baseline benchmarks established; 2x peak load tests before each phase cut-over.</w:t>
            </w:r>
          </w:p>
        </w:tc>
      </w:tr>
      <w:tr>
        <w:tc>
          <w:tcPr>
            <w:tcW w:type="dxa" w:w="2016"/>
            <w:shd w:val="clear" w:color="auto" w:fill="EDF2F8"/>
          </w:tcPr>
          <w:p>
            <w:pPr>
              <w:jc w:val="left"/>
            </w:pPr>
            <w:r/>
            <w:r>
              <w:rPr>
                <w:rFonts w:ascii="Calibri" w:hAnsi="Calibri"/>
                <w:b w:val="0"/>
                <w:color w:val="404040"/>
                <w:sz w:val="17"/>
              </w:rPr>
              <w:t>Chaos Engineering</w:t>
            </w:r>
          </w:p>
        </w:tc>
        <w:tc>
          <w:tcPr>
            <w:tcW w:type="dxa" w:w="1872"/>
            <w:shd w:val="clear" w:color="auto" w:fill="EDF2F8"/>
          </w:tcPr>
          <w:p>
            <w:pPr>
              <w:jc w:val="left"/>
            </w:pPr>
            <w:r/>
            <w:r>
              <w:rPr>
                <w:rFonts w:ascii="Calibri" w:hAnsi="Calibri"/>
                <w:b w:val="0"/>
                <w:color w:val="404040"/>
                <w:sz w:val="17"/>
              </w:rPr>
              <w:t>Production readiness</w:t>
            </w:r>
          </w:p>
        </w:tc>
        <w:tc>
          <w:tcPr>
            <w:tcW w:type="dxa" w:w="2592"/>
            <w:shd w:val="clear" w:color="auto" w:fill="EDF2F8"/>
          </w:tcPr>
          <w:p>
            <w:pPr>
              <w:jc w:val="left"/>
            </w:pPr>
            <w:r/>
            <w:r>
              <w:rPr>
                <w:rFonts w:ascii="Calibri" w:hAnsi="Calibri"/>
                <w:b w:val="0"/>
                <w:color w:val="404040"/>
                <w:sz w:val="17"/>
              </w:rPr>
              <w:t>Chaos Monkey, Litmus Chaos (K8s)</w:t>
            </w:r>
          </w:p>
        </w:tc>
        <w:tc>
          <w:tcPr>
            <w:tcW w:type="dxa" w:w="5760"/>
            <w:shd w:val="clear" w:color="auto" w:fill="EDF2F8"/>
          </w:tcPr>
          <w:p>
            <w:pPr>
              <w:jc w:val="left"/>
            </w:pPr>
            <w:r/>
            <w:r>
              <w:rPr>
                <w:rFonts w:ascii="Calibri" w:hAnsi="Calibri"/>
                <w:b w:val="0"/>
                <w:color w:val="404040"/>
                <w:sz w:val="17"/>
              </w:rPr>
              <w:t>Inject failure scenarios (pod kill, network partition, DB failover) to validate resilience.</w:t>
            </w:r>
          </w:p>
        </w:tc>
      </w:tr>
      <w:tr>
        <w:tc>
          <w:tcPr>
            <w:tcW w:type="dxa" w:w="2016"/>
            <w:shd w:val="clear" w:color="auto" w:fill="FFFFFF"/>
          </w:tcPr>
          <w:p>
            <w:pPr>
              <w:jc w:val="left"/>
            </w:pPr>
            <w:r/>
            <w:r>
              <w:rPr>
                <w:rFonts w:ascii="Calibri" w:hAnsi="Calibri"/>
                <w:b w:val="0"/>
                <w:color w:val="404040"/>
                <w:sz w:val="17"/>
              </w:rPr>
              <w:t>Security Testing</w:t>
            </w:r>
          </w:p>
        </w:tc>
        <w:tc>
          <w:tcPr>
            <w:tcW w:type="dxa" w:w="1872"/>
            <w:shd w:val="clear" w:color="auto" w:fill="FFFFFF"/>
          </w:tcPr>
          <w:p>
            <w:pPr>
              <w:jc w:val="left"/>
            </w:pPr>
            <w:r/>
            <w:r>
              <w:rPr>
                <w:rFonts w:ascii="Calibri" w:hAnsi="Calibri"/>
                <w:b w:val="0"/>
                <w:color w:val="404040"/>
                <w:sz w:val="17"/>
              </w:rPr>
              <w:t>All services</w:t>
            </w:r>
          </w:p>
        </w:tc>
        <w:tc>
          <w:tcPr>
            <w:tcW w:type="dxa" w:w="2592"/>
            <w:shd w:val="clear" w:color="auto" w:fill="FFFFFF"/>
          </w:tcPr>
          <w:p>
            <w:pPr>
              <w:jc w:val="left"/>
            </w:pPr>
            <w:r/>
            <w:r>
              <w:rPr>
                <w:rFonts w:ascii="Calibri" w:hAnsi="Calibri"/>
                <w:b w:val="0"/>
                <w:color w:val="404040"/>
                <w:sz w:val="17"/>
              </w:rPr>
              <w:t>OWASP ZAP, Trivy, Snyk</w:t>
            </w:r>
          </w:p>
        </w:tc>
        <w:tc>
          <w:tcPr>
            <w:tcW w:type="dxa" w:w="5760"/>
            <w:shd w:val="clear" w:color="auto" w:fill="FFFFFF"/>
          </w:tcPr>
          <w:p>
            <w:pPr>
              <w:jc w:val="left"/>
            </w:pPr>
            <w:r/>
            <w:r>
              <w:rPr>
                <w:rFonts w:ascii="Calibri" w:hAnsi="Calibri"/>
                <w:b w:val="0"/>
                <w:color w:val="404040"/>
                <w:sz w:val="17"/>
              </w:rPr>
              <w:t>DAST, container image scanning, dependency vulnerability scanning in CI/CD pipeline.</w:t>
            </w:r>
          </w:p>
        </w:tc>
      </w:tr>
      <w:tr>
        <w:tc>
          <w:tcPr>
            <w:tcW w:type="dxa" w:w="2016"/>
            <w:shd w:val="clear" w:color="auto" w:fill="EDF2F8"/>
          </w:tcPr>
          <w:p>
            <w:pPr>
              <w:jc w:val="left"/>
            </w:pPr>
            <w:r/>
            <w:r>
              <w:rPr>
                <w:rFonts w:ascii="Calibri" w:hAnsi="Calibri"/>
                <w:b w:val="0"/>
                <w:color w:val="404040"/>
                <w:sz w:val="17"/>
              </w:rPr>
              <w:t>Data Migration Testing</w:t>
            </w:r>
          </w:p>
        </w:tc>
        <w:tc>
          <w:tcPr>
            <w:tcW w:type="dxa" w:w="1872"/>
            <w:shd w:val="clear" w:color="auto" w:fill="EDF2F8"/>
          </w:tcPr>
          <w:p>
            <w:pPr>
              <w:jc w:val="left"/>
            </w:pPr>
            <w:r/>
            <w:r>
              <w:rPr>
                <w:rFonts w:ascii="Calibri" w:hAnsi="Calibri"/>
                <w:b w:val="0"/>
                <w:color w:val="404040"/>
                <w:sz w:val="17"/>
              </w:rPr>
              <w:t>Data layer</w:t>
            </w:r>
          </w:p>
        </w:tc>
        <w:tc>
          <w:tcPr>
            <w:tcW w:type="dxa" w:w="2592"/>
            <w:shd w:val="clear" w:color="auto" w:fill="EDF2F8"/>
          </w:tcPr>
          <w:p>
            <w:pPr>
              <w:jc w:val="left"/>
            </w:pPr>
            <w:r/>
            <w:r>
              <w:rPr>
                <w:rFonts w:ascii="Calibri" w:hAnsi="Calibri"/>
                <w:b w:val="0"/>
                <w:color w:val="404040"/>
                <w:sz w:val="17"/>
              </w:rPr>
              <w:t>Custom reconciliation scripts, DMS</w:t>
            </w:r>
          </w:p>
        </w:tc>
        <w:tc>
          <w:tcPr>
            <w:tcW w:type="dxa" w:w="5760"/>
            <w:shd w:val="clear" w:color="auto" w:fill="EDF2F8"/>
          </w:tcPr>
          <w:p>
            <w:pPr>
              <w:jc w:val="left"/>
            </w:pPr>
            <w:r/>
            <w:r>
              <w:rPr>
                <w:rFonts w:ascii="Calibri" w:hAnsi="Calibri"/>
                <w:b w:val="0"/>
                <w:color w:val="404040"/>
                <w:sz w:val="17"/>
              </w:rPr>
              <w:t>Row count, checksum, and business-rule validation after each DMS migration batch.</w:t>
            </w:r>
          </w:p>
        </w:tc>
      </w:tr>
      <w:tr>
        <w:tc>
          <w:tcPr>
            <w:tcW w:type="dxa" w:w="2016"/>
            <w:shd w:val="clear" w:color="auto" w:fill="FFFFFF"/>
          </w:tcPr>
          <w:p>
            <w:pPr>
              <w:jc w:val="left"/>
            </w:pPr>
            <w:r/>
            <w:r>
              <w:rPr>
                <w:rFonts w:ascii="Calibri" w:hAnsi="Calibri"/>
                <w:b w:val="0"/>
                <w:color w:val="404040"/>
                <w:sz w:val="17"/>
              </w:rPr>
              <w:t>UAT</w:t>
            </w:r>
          </w:p>
        </w:tc>
        <w:tc>
          <w:tcPr>
            <w:tcW w:type="dxa" w:w="1872"/>
            <w:shd w:val="clear" w:color="auto" w:fill="FFFFFF"/>
          </w:tcPr>
          <w:p>
            <w:pPr>
              <w:jc w:val="left"/>
            </w:pPr>
            <w:r/>
            <w:r>
              <w:rPr>
                <w:rFonts w:ascii="Calibri" w:hAnsi="Calibri"/>
                <w:b w:val="0"/>
                <w:color w:val="404040"/>
                <w:sz w:val="17"/>
              </w:rPr>
              <w:t>Business acceptance</w:t>
            </w:r>
          </w:p>
        </w:tc>
        <w:tc>
          <w:tcPr>
            <w:tcW w:type="dxa" w:w="2592"/>
            <w:shd w:val="clear" w:color="auto" w:fill="FFFFFF"/>
          </w:tcPr>
          <w:p>
            <w:pPr>
              <w:jc w:val="left"/>
            </w:pPr>
            <w:r/>
            <w:r>
              <w:rPr>
                <w:rFonts w:ascii="Calibri" w:hAnsi="Calibri"/>
                <w:b w:val="0"/>
                <w:color w:val="404040"/>
                <w:sz w:val="17"/>
              </w:rPr>
              <w:t>Manual + Exploratory Testing</w:t>
            </w:r>
          </w:p>
        </w:tc>
        <w:tc>
          <w:tcPr>
            <w:tcW w:type="dxa" w:w="5760"/>
            <w:shd w:val="clear" w:color="auto" w:fill="FFFFFF"/>
          </w:tcPr>
          <w:p>
            <w:pPr>
              <w:jc w:val="left"/>
            </w:pPr>
            <w:r/>
            <w:r>
              <w:rPr>
                <w:rFonts w:ascii="Calibri" w:hAnsi="Calibri"/>
                <w:b w:val="0"/>
                <w:color w:val="404040"/>
                <w:sz w:val="17"/>
              </w:rPr>
              <w:t>Business stakeholders validate key workflows in staging; sign-off required before production cut-over.</w:t>
            </w:r>
          </w:p>
        </w:tc>
      </w:tr>
    </w:tbl>
    <w:p>
      <w:pPr>
        <w:spacing w:after="80"/>
      </w:pPr>
    </w:p>
    <w:p>
      <w:pPr>
        <w:spacing w:before="40" w:after="160"/>
      </w:pPr>
      <w:r>
        <w:rPr>
          <w:rFonts w:ascii="Calibri" w:hAnsi="Calibri"/>
          <w:i/>
          <w:color w:val="2E75B6"/>
          <w:sz w:val="17"/>
        </w:rPr>
        <w:t>Table 4.2 – Testing Strategy and Tooling</w:t>
      </w:r>
    </w:p>
    <w:p>
      <w:r>
        <w:br w:type="page"/>
      </w:r>
    </w:p>
    <w:p>
      <w:pPr>
        <w:pStyle w:val="Heading1"/>
        <w:spacing w:before="280" w:after="120"/>
      </w:pPr>
      <w:r>
        <w:rPr>
          <w:rFonts w:ascii="Calibri" w:hAnsi="Calibri"/>
          <w:color w:val="1F3964"/>
          <w:sz w:val="32"/>
        </w:rPr>
        <w:t>5. Project Timeline</w:t>
      </w:r>
    </w:p>
    <w:p>
      <w:pPr>
        <w:spacing w:after="120" w:before="40"/>
      </w:pPr>
      <w:r>
        <w:rPr>
          <w:rFonts w:ascii="Calibri" w:hAnsi="Calibri"/>
          <w:b w:val="0"/>
          <w:i w:val="0"/>
          <w:color w:val="404040"/>
          <w:sz w:val="20"/>
        </w:rPr>
        <w:t>The project is structured into six phases spanning 18 months. Each phase concludes with a phase gate review requiring formal sign-off before the next phase commences. Dates are indicative and subject to phase gate approval.</w:t>
      </w:r>
    </w:p>
    <w:tbl>
      <w:tblPr>
        <w:tblStyle w:val="TableGrid"/>
        <w:tblW w:type="auto" w:w="0"/>
        <w:jc w:val="center"/>
        <w:tblLook w:firstColumn="1" w:firstRow="1" w:lastColumn="0" w:lastRow="0" w:noHBand="0" w:noVBand="1" w:val="04A0"/>
      </w:tblPr>
      <w:tblGrid>
        <w:gridCol w:w="1488"/>
        <w:gridCol w:w="1488"/>
        <w:gridCol w:w="1488"/>
        <w:gridCol w:w="1488"/>
        <w:gridCol w:w="1488"/>
        <w:gridCol w:w="1488"/>
      </w:tblGrid>
      <w:tr>
        <w:tc>
          <w:tcPr>
            <w:tcW w:type="dxa" w:w="1872"/>
            <w:shd w:val="clear" w:color="auto" w:fill="1F3964"/>
          </w:tcPr>
          <w:p>
            <w:pPr>
              <w:jc w:val="center"/>
            </w:pPr>
            <w:r/>
            <w:r>
              <w:rPr>
                <w:rFonts w:ascii="Calibri" w:hAnsi="Calibri"/>
                <w:b/>
                <w:color w:val="FFFFFF"/>
                <w:sz w:val="18"/>
              </w:rPr>
              <w:t>Phase</w:t>
            </w:r>
          </w:p>
        </w:tc>
        <w:tc>
          <w:tcPr>
            <w:tcW w:type="dxa" w:w="4608"/>
            <w:shd w:val="clear" w:color="auto" w:fill="1F3964"/>
          </w:tcPr>
          <w:p>
            <w:pPr>
              <w:jc w:val="center"/>
            </w:pPr>
            <w:r/>
            <w:r>
              <w:rPr>
                <w:rFonts w:ascii="Calibri" w:hAnsi="Calibri"/>
                <w:b/>
                <w:color w:val="FFFFFF"/>
                <w:sz w:val="18"/>
              </w:rPr>
              <w:t>Key Activities</w:t>
            </w:r>
          </w:p>
        </w:tc>
        <w:tc>
          <w:tcPr>
            <w:tcW w:type="dxa" w:w="1224"/>
            <w:shd w:val="clear" w:color="auto" w:fill="1F3964"/>
          </w:tcPr>
          <w:p>
            <w:pPr>
              <w:jc w:val="center"/>
            </w:pPr>
            <w:r/>
            <w:r>
              <w:rPr>
                <w:rFonts w:ascii="Calibri" w:hAnsi="Calibri"/>
                <w:b/>
                <w:color w:val="FFFFFF"/>
                <w:sz w:val="18"/>
              </w:rPr>
              <w:t>Duration</w:t>
            </w:r>
          </w:p>
        </w:tc>
        <w:tc>
          <w:tcPr>
            <w:tcW w:type="dxa" w:w="1368"/>
            <w:shd w:val="clear" w:color="auto" w:fill="1F3964"/>
          </w:tcPr>
          <w:p>
            <w:pPr>
              <w:jc w:val="center"/>
            </w:pPr>
            <w:r/>
            <w:r>
              <w:rPr>
                <w:rFonts w:ascii="Calibri" w:hAnsi="Calibri"/>
                <w:b/>
                <w:color w:val="FFFFFF"/>
                <w:sz w:val="18"/>
              </w:rPr>
              <w:t>Start Date</w:t>
            </w:r>
          </w:p>
        </w:tc>
        <w:tc>
          <w:tcPr>
            <w:tcW w:type="dxa" w:w="1368"/>
            <w:shd w:val="clear" w:color="auto" w:fill="1F3964"/>
          </w:tcPr>
          <w:p>
            <w:pPr>
              <w:jc w:val="center"/>
            </w:pPr>
            <w:r/>
            <w:r>
              <w:rPr>
                <w:rFonts w:ascii="Calibri" w:hAnsi="Calibri"/>
                <w:b/>
                <w:color w:val="FFFFFF"/>
                <w:sz w:val="18"/>
              </w:rPr>
              <w:t>End Date</w:t>
            </w:r>
          </w:p>
        </w:tc>
        <w:tc>
          <w:tcPr>
            <w:tcW w:type="dxa" w:w="2376"/>
            <w:shd w:val="clear" w:color="auto" w:fill="1F3964"/>
          </w:tcPr>
          <w:p>
            <w:pPr>
              <w:jc w:val="center"/>
            </w:pPr>
            <w:r/>
            <w:r>
              <w:rPr>
                <w:rFonts w:ascii="Calibri" w:hAnsi="Calibri"/>
                <w:b/>
                <w:color w:val="FFFFFF"/>
                <w:sz w:val="18"/>
              </w:rPr>
              <w:t>Dependencies</w:t>
            </w:r>
          </w:p>
        </w:tc>
      </w:tr>
      <w:tr>
        <w:tc>
          <w:tcPr>
            <w:tcW w:type="dxa" w:w="1872"/>
            <w:shd w:val="clear" w:color="auto" w:fill="FFFFFF"/>
          </w:tcPr>
          <w:p>
            <w:pPr>
              <w:jc w:val="left"/>
            </w:pPr>
            <w:r/>
            <w:r>
              <w:rPr>
                <w:rFonts w:ascii="Calibri" w:hAnsi="Calibri"/>
                <w:b w:val="0"/>
                <w:color w:val="404040"/>
                <w:sz w:val="17"/>
              </w:rPr>
              <w:t>Phase 0</w:t>
              <w:br/>
              <w:t>Initiation &amp;</w:t>
              <w:br/>
              <w:t>Planning</w:t>
            </w:r>
          </w:p>
        </w:tc>
        <w:tc>
          <w:tcPr>
            <w:tcW w:type="dxa" w:w="4608"/>
            <w:shd w:val="clear" w:color="auto" w:fill="FFFFFF"/>
          </w:tcPr>
          <w:p>
            <w:pPr>
              <w:jc w:val="left"/>
            </w:pPr>
            <w:r/>
            <w:r>
              <w:rPr>
                <w:rFonts w:ascii="Calibri" w:hAnsi="Calibri"/>
                <w:b w:val="0"/>
                <w:color w:val="404040"/>
                <w:sz w:val="17"/>
              </w:rPr>
              <w:t>• Stakeholder alignment &amp; sponsor sign-off</w:t>
              <w:br/>
              <w:t>• Detailed scope definition &amp; backlog grooming</w:t>
              <w:br/>
              <w:t>• Team formation &amp; onboarding</w:t>
              <w:br/>
              <w:t>• Vendor selection (AWS, Kong, Confluent)</w:t>
              <w:br/>
              <w:t>• Architecture review board approval</w:t>
              <w:br/>
              <w:t>• Risk register establishment</w:t>
            </w:r>
          </w:p>
        </w:tc>
        <w:tc>
          <w:tcPr>
            <w:tcW w:type="dxa" w:w="1224"/>
            <w:shd w:val="clear" w:color="auto" w:fill="FFFFFF"/>
          </w:tcPr>
          <w:p>
            <w:pPr>
              <w:jc w:val="left"/>
            </w:pPr>
            <w:r/>
            <w:r>
              <w:rPr>
                <w:rFonts w:ascii="Calibri" w:hAnsi="Calibri"/>
                <w:b w:val="0"/>
                <w:color w:val="404040"/>
                <w:sz w:val="17"/>
              </w:rPr>
              <w:t>6 Weeks</w:t>
            </w:r>
          </w:p>
        </w:tc>
        <w:tc>
          <w:tcPr>
            <w:tcW w:type="dxa" w:w="1368"/>
            <w:shd w:val="clear" w:color="auto" w:fill="FFFFFF"/>
          </w:tcPr>
          <w:p>
            <w:pPr>
              <w:jc w:val="left"/>
            </w:pPr>
            <w:r/>
            <w:r>
              <w:rPr>
                <w:rFonts w:ascii="Calibri" w:hAnsi="Calibri"/>
                <w:b w:val="0"/>
                <w:color w:val="404040"/>
                <w:sz w:val="17"/>
              </w:rPr>
              <w:t>Aug 4, 2025</w:t>
            </w:r>
          </w:p>
        </w:tc>
        <w:tc>
          <w:tcPr>
            <w:tcW w:type="dxa" w:w="1368"/>
            <w:shd w:val="clear" w:color="auto" w:fill="FFFFFF"/>
          </w:tcPr>
          <w:p>
            <w:pPr>
              <w:jc w:val="left"/>
            </w:pPr>
            <w:r/>
            <w:r>
              <w:rPr>
                <w:rFonts w:ascii="Calibri" w:hAnsi="Calibri"/>
                <w:b w:val="0"/>
                <w:color w:val="404040"/>
                <w:sz w:val="17"/>
              </w:rPr>
              <w:t>Sep 12, 2025</w:t>
            </w:r>
          </w:p>
        </w:tc>
        <w:tc>
          <w:tcPr>
            <w:tcW w:type="dxa" w:w="2376"/>
            <w:shd w:val="clear" w:color="auto" w:fill="FFFFFF"/>
          </w:tcPr>
          <w:p>
            <w:pPr>
              <w:jc w:val="left"/>
            </w:pPr>
            <w:r/>
            <w:r>
              <w:rPr>
                <w:rFonts w:ascii="Calibri" w:hAnsi="Calibri"/>
                <w:b w:val="0"/>
                <w:color w:val="404040"/>
                <w:sz w:val="17"/>
              </w:rPr>
              <w:t>Executive sponsorship</w:t>
              <w:br/>
              <w:t>Budget approval</w:t>
            </w:r>
          </w:p>
        </w:tc>
      </w:tr>
      <w:tr>
        <w:tc>
          <w:tcPr>
            <w:tcW w:type="dxa" w:w="1872"/>
            <w:shd w:val="clear" w:color="auto" w:fill="EDF2F8"/>
          </w:tcPr>
          <w:p>
            <w:pPr>
              <w:jc w:val="left"/>
            </w:pPr>
            <w:r/>
            <w:r>
              <w:rPr>
                <w:rFonts w:ascii="Calibri" w:hAnsi="Calibri"/>
                <w:b w:val="0"/>
                <w:color w:val="404040"/>
                <w:sz w:val="17"/>
              </w:rPr>
              <w:t>Phase 1</w:t>
              <w:br/>
              <w:t>Foundation &amp;</w:t>
              <w:br/>
              <w:t>Platform Setup</w:t>
            </w:r>
          </w:p>
        </w:tc>
        <w:tc>
          <w:tcPr>
            <w:tcW w:type="dxa" w:w="4608"/>
            <w:shd w:val="clear" w:color="auto" w:fill="EDF2F8"/>
          </w:tcPr>
          <w:p>
            <w:pPr>
              <w:jc w:val="left"/>
            </w:pPr>
            <w:r/>
            <w:r>
              <w:rPr>
                <w:rFonts w:ascii="Calibri" w:hAnsi="Calibri"/>
                <w:b w:val="0"/>
                <w:color w:val="404040"/>
                <w:sz w:val="17"/>
              </w:rPr>
              <w:t>• AWS EKS cluster provisioning (multi-AZ)</w:t>
              <w:br/>
              <w:t>• Istio service mesh deployment</w:t>
              <w:br/>
              <w:t>• Kafka (MSK) cluster setup &amp; topic design</w:t>
              <w:br/>
              <w:t>• API Gateway (Kong) initial configuration</w:t>
              <w:br/>
              <w:t>• Observability stack (Prometheus/Grafana/Jaeger/ELK)</w:t>
              <w:br/>
              <w:t>• HashiCorp Vault deployment</w:t>
              <w:br/>
              <w:t>• CI/CD pipeline scaffolding (GitLab CI + ArgoCD)</w:t>
              <w:br/>
              <w:t>• Base container images &amp; golden path templates</w:t>
            </w:r>
          </w:p>
        </w:tc>
        <w:tc>
          <w:tcPr>
            <w:tcW w:type="dxa" w:w="1224"/>
            <w:shd w:val="clear" w:color="auto" w:fill="EDF2F8"/>
          </w:tcPr>
          <w:p>
            <w:pPr>
              <w:jc w:val="left"/>
            </w:pPr>
            <w:r/>
            <w:r>
              <w:rPr>
                <w:rFonts w:ascii="Calibri" w:hAnsi="Calibri"/>
                <w:b w:val="0"/>
                <w:color w:val="404040"/>
                <w:sz w:val="17"/>
              </w:rPr>
              <w:t>10 Weeks</w:t>
            </w:r>
          </w:p>
        </w:tc>
        <w:tc>
          <w:tcPr>
            <w:tcW w:type="dxa" w:w="1368"/>
            <w:shd w:val="clear" w:color="auto" w:fill="EDF2F8"/>
          </w:tcPr>
          <w:p>
            <w:pPr>
              <w:jc w:val="left"/>
            </w:pPr>
            <w:r/>
            <w:r>
              <w:rPr>
                <w:rFonts w:ascii="Calibri" w:hAnsi="Calibri"/>
                <w:b w:val="0"/>
                <w:color w:val="404040"/>
                <w:sz w:val="17"/>
              </w:rPr>
              <w:t>Sep 15, 2025</w:t>
            </w:r>
          </w:p>
        </w:tc>
        <w:tc>
          <w:tcPr>
            <w:tcW w:type="dxa" w:w="1368"/>
            <w:shd w:val="clear" w:color="auto" w:fill="EDF2F8"/>
          </w:tcPr>
          <w:p>
            <w:pPr>
              <w:jc w:val="left"/>
            </w:pPr>
            <w:r/>
            <w:r>
              <w:rPr>
                <w:rFonts w:ascii="Calibri" w:hAnsi="Calibri"/>
                <w:b w:val="0"/>
                <w:color w:val="404040"/>
                <w:sz w:val="17"/>
              </w:rPr>
              <w:t>Nov 21, 2025</w:t>
            </w:r>
          </w:p>
        </w:tc>
        <w:tc>
          <w:tcPr>
            <w:tcW w:type="dxa" w:w="2376"/>
            <w:shd w:val="clear" w:color="auto" w:fill="EDF2F8"/>
          </w:tcPr>
          <w:p>
            <w:pPr>
              <w:jc w:val="left"/>
            </w:pPr>
            <w:r/>
            <w:r>
              <w:rPr>
                <w:rFonts w:ascii="Calibri" w:hAnsi="Calibri"/>
                <w:b w:val="0"/>
                <w:color w:val="404040"/>
                <w:sz w:val="17"/>
              </w:rPr>
              <w:t>Phase 0 complete</w:t>
              <w:br/>
              <w:t>AWS accounts provisioned</w:t>
              <w:br/>
              <w:t>Network topology approved</w:t>
            </w:r>
          </w:p>
        </w:tc>
      </w:tr>
      <w:tr>
        <w:tc>
          <w:tcPr>
            <w:tcW w:type="dxa" w:w="1872"/>
            <w:shd w:val="clear" w:color="auto" w:fill="FFFFFF"/>
          </w:tcPr>
          <w:p>
            <w:pPr>
              <w:jc w:val="left"/>
            </w:pPr>
            <w:r/>
            <w:r>
              <w:rPr>
                <w:rFonts w:ascii="Calibri" w:hAnsi="Calibri"/>
                <w:b w:val="0"/>
                <w:color w:val="404040"/>
                <w:sz w:val="17"/>
              </w:rPr>
              <w:t>Phase 2</w:t>
              <w:br/>
              <w:t>Auth, Customer &amp;</w:t>
              <w:br/>
              <w:t>Notification Services</w:t>
            </w:r>
          </w:p>
        </w:tc>
        <w:tc>
          <w:tcPr>
            <w:tcW w:type="dxa" w:w="4608"/>
            <w:shd w:val="clear" w:color="auto" w:fill="FFFFFF"/>
          </w:tcPr>
          <w:p>
            <w:pPr>
              <w:jc w:val="left"/>
            </w:pPr>
            <w:r/>
            <w:r>
              <w:rPr>
                <w:rFonts w:ascii="Calibri" w:hAnsi="Calibri"/>
                <w:b w:val="0"/>
                <w:color w:val="404040"/>
                <w:sz w:val="17"/>
              </w:rPr>
              <w:t>• Auth Service build &amp; OAuth2/OIDC implementation</w:t>
              <w:br/>
              <w:t>• LDAP/AD migration to PostgreSQL user store</w:t>
              <w:br/>
              <w:t>• Customer Service build &amp; Oracle DMS extraction</w:t>
              <w:br/>
              <w:t>• Notification Service build (Kafka consumer)</w:t>
              <w:br/>
              <w:t>• API Gateway JWT integration</w:t>
              <w:br/>
              <w:t>• Consumer-driven contract tests established</w:t>
              <w:br/>
              <w:t>• Staging environment validation &amp; UAT</w:t>
              <w:br/>
              <w:t>• Phased traffic cut-over (10% → 50% → 100%)</w:t>
            </w:r>
          </w:p>
        </w:tc>
        <w:tc>
          <w:tcPr>
            <w:tcW w:type="dxa" w:w="1224"/>
            <w:shd w:val="clear" w:color="auto" w:fill="FFFFFF"/>
          </w:tcPr>
          <w:p>
            <w:pPr>
              <w:jc w:val="left"/>
            </w:pPr>
            <w:r/>
            <w:r>
              <w:rPr>
                <w:rFonts w:ascii="Calibri" w:hAnsi="Calibri"/>
                <w:b w:val="0"/>
                <w:color w:val="404040"/>
                <w:sz w:val="17"/>
              </w:rPr>
              <w:t>12 Weeks</w:t>
            </w:r>
          </w:p>
        </w:tc>
        <w:tc>
          <w:tcPr>
            <w:tcW w:type="dxa" w:w="1368"/>
            <w:shd w:val="clear" w:color="auto" w:fill="FFFFFF"/>
          </w:tcPr>
          <w:p>
            <w:pPr>
              <w:jc w:val="left"/>
            </w:pPr>
            <w:r/>
            <w:r>
              <w:rPr>
                <w:rFonts w:ascii="Calibri" w:hAnsi="Calibri"/>
                <w:b w:val="0"/>
                <w:color w:val="404040"/>
                <w:sz w:val="17"/>
              </w:rPr>
              <w:t>Nov 24, 2025</w:t>
            </w:r>
          </w:p>
        </w:tc>
        <w:tc>
          <w:tcPr>
            <w:tcW w:type="dxa" w:w="1368"/>
            <w:shd w:val="clear" w:color="auto" w:fill="FFFFFF"/>
          </w:tcPr>
          <w:p>
            <w:pPr>
              <w:jc w:val="left"/>
            </w:pPr>
            <w:r/>
            <w:r>
              <w:rPr>
                <w:rFonts w:ascii="Calibri" w:hAnsi="Calibri"/>
                <w:b w:val="0"/>
                <w:color w:val="404040"/>
                <w:sz w:val="17"/>
              </w:rPr>
              <w:t>Feb 13, 2026</w:t>
            </w:r>
          </w:p>
        </w:tc>
        <w:tc>
          <w:tcPr>
            <w:tcW w:type="dxa" w:w="2376"/>
            <w:shd w:val="clear" w:color="auto" w:fill="FFFFFF"/>
          </w:tcPr>
          <w:p>
            <w:pPr>
              <w:jc w:val="left"/>
            </w:pPr>
            <w:r/>
            <w:r>
              <w:rPr>
                <w:rFonts w:ascii="Calibri" w:hAnsi="Calibri"/>
                <w:b w:val="0"/>
                <w:color w:val="404040"/>
                <w:sz w:val="17"/>
              </w:rPr>
              <w:t>Phase 1 complete</w:t>
              <w:br/>
              <w:t>DMS access to Oracle</w:t>
              <w:br/>
              <w:t>Customer data PII review</w:t>
            </w:r>
          </w:p>
        </w:tc>
      </w:tr>
      <w:tr>
        <w:tc>
          <w:tcPr>
            <w:tcW w:type="dxa" w:w="1872"/>
            <w:shd w:val="clear" w:color="auto" w:fill="EDF2F8"/>
          </w:tcPr>
          <w:p>
            <w:pPr>
              <w:jc w:val="left"/>
            </w:pPr>
            <w:r/>
            <w:r>
              <w:rPr>
                <w:rFonts w:ascii="Calibri" w:hAnsi="Calibri"/>
                <w:b w:val="0"/>
                <w:color w:val="404040"/>
                <w:sz w:val="17"/>
              </w:rPr>
              <w:t>Phase 3</w:t>
              <w:br/>
              <w:t>Order &amp;</w:t>
              <w:br/>
              <w:t>Inventory Services</w:t>
            </w:r>
          </w:p>
        </w:tc>
        <w:tc>
          <w:tcPr>
            <w:tcW w:type="dxa" w:w="4608"/>
            <w:shd w:val="clear" w:color="auto" w:fill="EDF2F8"/>
          </w:tcPr>
          <w:p>
            <w:pPr>
              <w:jc w:val="left"/>
            </w:pPr>
            <w:r/>
            <w:r>
              <w:rPr>
                <w:rFonts w:ascii="Calibri" w:hAnsi="Calibri"/>
                <w:b w:val="0"/>
                <w:color w:val="404040"/>
                <w:sz w:val="17"/>
              </w:rPr>
              <w:t>• Order Service build (Node.js/TypeScript)</w:t>
              <w:br/>
              <w:t>• Inventory Service build (Python/FastAPI)</w:t>
              <w:br/>
              <w:t>• Saga choreography pattern implementation</w:t>
              <w:br/>
              <w:t>• Redis cache layer setup for Inventory</w:t>
              <w:br/>
              <w:t>• Kafka topic creation: orders, inventory</w:t>
              <w:br/>
              <w:t>• Performance testing (2x peak load)</w:t>
              <w:br/>
              <w:t>• Dual-write period: Oracle + PostgreSQL</w:t>
              <w:br/>
              <w:t>• Data reconciliation &amp; validation</w:t>
              <w:br/>
              <w:t>• Staging UAT &amp; phase gate review</w:t>
              <w:br/>
              <w:t>• Canary deployment: 5% → 25% → 100%</w:t>
            </w:r>
          </w:p>
        </w:tc>
        <w:tc>
          <w:tcPr>
            <w:tcW w:type="dxa" w:w="1224"/>
            <w:shd w:val="clear" w:color="auto" w:fill="EDF2F8"/>
          </w:tcPr>
          <w:p>
            <w:pPr>
              <w:jc w:val="left"/>
            </w:pPr>
            <w:r/>
            <w:r>
              <w:rPr>
                <w:rFonts w:ascii="Calibri" w:hAnsi="Calibri"/>
                <w:b w:val="0"/>
                <w:color w:val="404040"/>
                <w:sz w:val="17"/>
              </w:rPr>
              <w:t>14 Weeks</w:t>
            </w:r>
          </w:p>
        </w:tc>
        <w:tc>
          <w:tcPr>
            <w:tcW w:type="dxa" w:w="1368"/>
            <w:shd w:val="clear" w:color="auto" w:fill="EDF2F8"/>
          </w:tcPr>
          <w:p>
            <w:pPr>
              <w:jc w:val="left"/>
            </w:pPr>
            <w:r/>
            <w:r>
              <w:rPr>
                <w:rFonts w:ascii="Calibri" w:hAnsi="Calibri"/>
                <w:b w:val="0"/>
                <w:color w:val="404040"/>
                <w:sz w:val="17"/>
              </w:rPr>
              <w:t>Feb 16, 2026</w:t>
            </w:r>
          </w:p>
        </w:tc>
        <w:tc>
          <w:tcPr>
            <w:tcW w:type="dxa" w:w="1368"/>
            <w:shd w:val="clear" w:color="auto" w:fill="EDF2F8"/>
          </w:tcPr>
          <w:p>
            <w:pPr>
              <w:jc w:val="left"/>
            </w:pPr>
            <w:r/>
            <w:r>
              <w:rPr>
                <w:rFonts w:ascii="Calibri" w:hAnsi="Calibri"/>
                <w:b w:val="0"/>
                <w:color w:val="404040"/>
                <w:sz w:val="17"/>
              </w:rPr>
              <w:t>May 22, 2026</w:t>
            </w:r>
          </w:p>
        </w:tc>
        <w:tc>
          <w:tcPr>
            <w:tcW w:type="dxa" w:w="2376"/>
            <w:shd w:val="clear" w:color="auto" w:fill="EDF2F8"/>
          </w:tcPr>
          <w:p>
            <w:pPr>
              <w:jc w:val="left"/>
            </w:pPr>
            <w:r/>
            <w:r>
              <w:rPr>
                <w:rFonts w:ascii="Calibri" w:hAnsi="Calibri"/>
                <w:b w:val="0"/>
                <w:color w:val="404040"/>
                <w:sz w:val="17"/>
              </w:rPr>
              <w:t>Phase 2 complete</w:t>
              <w:br/>
              <w:t>Saga pattern approved by architects</w:t>
              <w:br/>
              <w:t>Load test environment ready</w:t>
            </w:r>
          </w:p>
        </w:tc>
      </w:tr>
      <w:tr>
        <w:tc>
          <w:tcPr>
            <w:tcW w:type="dxa" w:w="1872"/>
            <w:shd w:val="clear" w:color="auto" w:fill="FFFFFF"/>
          </w:tcPr>
          <w:p>
            <w:pPr>
              <w:jc w:val="left"/>
            </w:pPr>
            <w:r/>
            <w:r>
              <w:rPr>
                <w:rFonts w:ascii="Calibri" w:hAnsi="Calibri"/>
                <w:b w:val="0"/>
                <w:color w:val="404040"/>
                <w:sz w:val="17"/>
              </w:rPr>
              <w:t>Phase 4</w:t>
              <w:br/>
              <w:t>Billing &amp;</w:t>
              <w:br/>
              <w:t>Supplier Services</w:t>
            </w:r>
          </w:p>
        </w:tc>
        <w:tc>
          <w:tcPr>
            <w:tcW w:type="dxa" w:w="4608"/>
            <w:shd w:val="clear" w:color="auto" w:fill="FFFFFF"/>
          </w:tcPr>
          <w:p>
            <w:pPr>
              <w:jc w:val="left"/>
            </w:pPr>
            <w:r/>
            <w:r>
              <w:rPr>
                <w:rFonts w:ascii="Calibri" w:hAnsi="Calibri"/>
                <w:b w:val="0"/>
                <w:color w:val="404040"/>
                <w:sz w:val="17"/>
              </w:rPr>
              <w:t>• Billing Service build (Spring Boot / Java 21)</w:t>
              <w:br/>
              <w:t>• Payment gateway webhook integration</w:t>
              <w:br/>
              <w:t>• Supplier Service build &amp; S3 document migration</w:t>
              <w:br/>
              <w:t>• Financial data migration with dual-write</w:t>
              <w:br/>
              <w:t>• Audit trail validation &amp; reconciliation</w:t>
              <w:br/>
              <w:t>• PCI-DSS compliance review</w:t>
              <w:br/>
              <w:t>• Supplier portal re-implementation</w:t>
              <w:br/>
              <w:t>• E2E testing of payment flows</w:t>
              <w:br/>
              <w:t>• Phase gate: financial sign-off required</w:t>
            </w:r>
          </w:p>
        </w:tc>
        <w:tc>
          <w:tcPr>
            <w:tcW w:type="dxa" w:w="1224"/>
            <w:shd w:val="clear" w:color="auto" w:fill="FFFFFF"/>
          </w:tcPr>
          <w:p>
            <w:pPr>
              <w:jc w:val="left"/>
            </w:pPr>
            <w:r/>
            <w:r>
              <w:rPr>
                <w:rFonts w:ascii="Calibri" w:hAnsi="Calibri"/>
                <w:b w:val="0"/>
                <w:color w:val="404040"/>
                <w:sz w:val="17"/>
              </w:rPr>
              <w:t>14 Weeks</w:t>
            </w:r>
          </w:p>
        </w:tc>
        <w:tc>
          <w:tcPr>
            <w:tcW w:type="dxa" w:w="1368"/>
            <w:shd w:val="clear" w:color="auto" w:fill="FFFFFF"/>
          </w:tcPr>
          <w:p>
            <w:pPr>
              <w:jc w:val="left"/>
            </w:pPr>
            <w:r/>
            <w:r>
              <w:rPr>
                <w:rFonts w:ascii="Calibri" w:hAnsi="Calibri"/>
                <w:b w:val="0"/>
                <w:color w:val="404040"/>
                <w:sz w:val="17"/>
              </w:rPr>
              <w:t>May 25, 2026</w:t>
            </w:r>
          </w:p>
        </w:tc>
        <w:tc>
          <w:tcPr>
            <w:tcW w:type="dxa" w:w="1368"/>
            <w:shd w:val="clear" w:color="auto" w:fill="FFFFFF"/>
          </w:tcPr>
          <w:p>
            <w:pPr>
              <w:jc w:val="left"/>
            </w:pPr>
            <w:r/>
            <w:r>
              <w:rPr>
                <w:rFonts w:ascii="Calibri" w:hAnsi="Calibri"/>
                <w:b w:val="0"/>
                <w:color w:val="404040"/>
                <w:sz w:val="17"/>
              </w:rPr>
              <w:t>Aug 28, 2026</w:t>
            </w:r>
          </w:p>
        </w:tc>
        <w:tc>
          <w:tcPr>
            <w:tcW w:type="dxa" w:w="2376"/>
            <w:shd w:val="clear" w:color="auto" w:fill="FFFFFF"/>
          </w:tcPr>
          <w:p>
            <w:pPr>
              <w:jc w:val="left"/>
            </w:pPr>
            <w:r/>
            <w:r>
              <w:rPr>
                <w:rFonts w:ascii="Calibri" w:hAnsi="Calibri"/>
                <w:b w:val="0"/>
                <w:color w:val="404040"/>
                <w:sz w:val="17"/>
              </w:rPr>
              <w:t>Phase 3 complete</w:t>
              <w:br/>
              <w:t>PCI-DSS assessment scheduled</w:t>
              <w:br/>
              <w:t>Finance team sign-off process</w:t>
            </w:r>
          </w:p>
        </w:tc>
      </w:tr>
      <w:tr>
        <w:tc>
          <w:tcPr>
            <w:tcW w:type="dxa" w:w="1872"/>
            <w:shd w:val="clear" w:color="auto" w:fill="EDF2F8"/>
          </w:tcPr>
          <w:p>
            <w:pPr>
              <w:jc w:val="left"/>
            </w:pPr>
            <w:r/>
            <w:r>
              <w:rPr>
                <w:rFonts w:ascii="Calibri" w:hAnsi="Calibri"/>
                <w:b w:val="0"/>
                <w:color w:val="404040"/>
                <w:sz w:val="17"/>
              </w:rPr>
              <w:t>Phase 5</w:t>
              <w:br/>
              <w:t>Reporting &amp;</w:t>
              <w:br/>
              <w:t>Search Services</w:t>
            </w:r>
          </w:p>
        </w:tc>
        <w:tc>
          <w:tcPr>
            <w:tcW w:type="dxa" w:w="4608"/>
            <w:shd w:val="clear" w:color="auto" w:fill="EDF2F8"/>
          </w:tcPr>
          <w:p>
            <w:pPr>
              <w:jc w:val="left"/>
            </w:pPr>
            <w:r/>
            <w:r>
              <w:rPr>
                <w:rFonts w:ascii="Calibri" w:hAnsi="Calibri"/>
                <w:b w:val="0"/>
                <w:color w:val="404040"/>
                <w:sz w:val="17"/>
              </w:rPr>
              <w:t>• Reporting Service build (Python/Spark)</w:t>
              <w:br/>
              <w:t>• Historical data backfill from Oracle snapshot</w:t>
              <w:br/>
              <w:t>• Kafka event replay for read model build</w:t>
              <w:br/>
              <w:t>• Search Service (Elasticsearch/OpenSearch) build</w:t>
              <w:br/>
              <w:t>• Bulk indexing from source services</w:t>
              <w:br/>
              <w:t>• Report parity validation with legacy</w:t>
              <w:br/>
              <w:t>• Performance optimisation of Spark jobs</w:t>
              <w:br/>
              <w:t>• Business stakeholder report UAT</w:t>
            </w:r>
          </w:p>
        </w:tc>
        <w:tc>
          <w:tcPr>
            <w:tcW w:type="dxa" w:w="1224"/>
            <w:shd w:val="clear" w:color="auto" w:fill="EDF2F8"/>
          </w:tcPr>
          <w:p>
            <w:pPr>
              <w:jc w:val="left"/>
            </w:pPr>
            <w:r/>
            <w:r>
              <w:rPr>
                <w:rFonts w:ascii="Calibri" w:hAnsi="Calibri"/>
                <w:b w:val="0"/>
                <w:color w:val="404040"/>
                <w:sz w:val="17"/>
              </w:rPr>
              <w:t>10 Weeks</w:t>
            </w:r>
          </w:p>
        </w:tc>
        <w:tc>
          <w:tcPr>
            <w:tcW w:type="dxa" w:w="1368"/>
            <w:shd w:val="clear" w:color="auto" w:fill="EDF2F8"/>
          </w:tcPr>
          <w:p>
            <w:pPr>
              <w:jc w:val="left"/>
            </w:pPr>
            <w:r/>
            <w:r>
              <w:rPr>
                <w:rFonts w:ascii="Calibri" w:hAnsi="Calibri"/>
                <w:b w:val="0"/>
                <w:color w:val="404040"/>
                <w:sz w:val="17"/>
              </w:rPr>
              <w:t>Aug 31, 2026</w:t>
            </w:r>
          </w:p>
        </w:tc>
        <w:tc>
          <w:tcPr>
            <w:tcW w:type="dxa" w:w="1368"/>
            <w:shd w:val="clear" w:color="auto" w:fill="EDF2F8"/>
          </w:tcPr>
          <w:p>
            <w:pPr>
              <w:jc w:val="left"/>
            </w:pPr>
            <w:r/>
            <w:r>
              <w:rPr>
                <w:rFonts w:ascii="Calibri" w:hAnsi="Calibri"/>
                <w:b w:val="0"/>
                <w:color w:val="404040"/>
                <w:sz w:val="17"/>
              </w:rPr>
              <w:t>Nov 6, 2026</w:t>
            </w:r>
          </w:p>
        </w:tc>
        <w:tc>
          <w:tcPr>
            <w:tcW w:type="dxa" w:w="2376"/>
            <w:shd w:val="clear" w:color="auto" w:fill="EDF2F8"/>
          </w:tcPr>
          <w:p>
            <w:pPr>
              <w:jc w:val="left"/>
            </w:pPr>
            <w:r/>
            <w:r>
              <w:rPr>
                <w:rFonts w:ascii="Calibri" w:hAnsi="Calibri"/>
                <w:b w:val="0"/>
                <w:color w:val="404040"/>
                <w:sz w:val="17"/>
              </w:rPr>
              <w:t>Phases 3 &amp; 4 complete</w:t>
              <w:br/>
              <w:t>Historical Oracle snapshot exported</w:t>
              <w:br/>
              <w:t>S3 data lake provisioned</w:t>
            </w:r>
          </w:p>
        </w:tc>
      </w:tr>
      <w:tr>
        <w:tc>
          <w:tcPr>
            <w:tcW w:type="dxa" w:w="1872"/>
            <w:shd w:val="clear" w:color="auto" w:fill="FFFFFF"/>
          </w:tcPr>
          <w:p>
            <w:pPr>
              <w:jc w:val="left"/>
            </w:pPr>
            <w:r/>
            <w:r>
              <w:rPr>
                <w:rFonts w:ascii="Calibri" w:hAnsi="Calibri"/>
                <w:b w:val="0"/>
                <w:color w:val="404040"/>
                <w:sz w:val="17"/>
              </w:rPr>
              <w:t>Phase 6</w:t>
              <w:br/>
              <w:t>Cut-Over &amp;</w:t>
              <w:br/>
              <w:t>Decommission</w:t>
            </w:r>
          </w:p>
        </w:tc>
        <w:tc>
          <w:tcPr>
            <w:tcW w:type="dxa" w:w="4608"/>
            <w:shd w:val="clear" w:color="auto" w:fill="FFFFFF"/>
          </w:tcPr>
          <w:p>
            <w:pPr>
              <w:jc w:val="left"/>
            </w:pPr>
            <w:r/>
            <w:r>
              <w:rPr>
                <w:rFonts w:ascii="Calibri" w:hAnsi="Calibri"/>
                <w:b w:val="0"/>
                <w:color w:val="404040"/>
                <w:sz w:val="17"/>
              </w:rPr>
              <w:t>• Final 100% traffic cut-over to all microservices</w:t>
              <w:br/>
              <w:t>• Oracle DB set to read-only (30-day audit window)</w:t>
              <w:br/>
              <w:t>• WebLogic cluster graceful shutdown</w:t>
              <w:br/>
              <w:t>• Oracle ESB decommission</w:t>
              <w:br/>
              <w:t>• Legacy infrastructure cost reclamation</w:t>
              <w:br/>
              <w:t>• Post-migration monitoring (30-day hyper-care)</w:t>
              <w:br/>
              <w:t>• Final architecture documentation update</w:t>
              <w:br/>
              <w:t>• Lessons learned review</w:t>
              <w:br/>
              <w:t>• Oracle archive to S3 Glacier</w:t>
            </w:r>
          </w:p>
        </w:tc>
        <w:tc>
          <w:tcPr>
            <w:tcW w:type="dxa" w:w="1224"/>
            <w:shd w:val="clear" w:color="auto" w:fill="FFFFFF"/>
          </w:tcPr>
          <w:p>
            <w:pPr>
              <w:jc w:val="left"/>
            </w:pPr>
            <w:r/>
            <w:r>
              <w:rPr>
                <w:rFonts w:ascii="Calibri" w:hAnsi="Calibri"/>
                <w:b w:val="0"/>
                <w:color w:val="404040"/>
                <w:sz w:val="17"/>
              </w:rPr>
              <w:t>8 Weeks</w:t>
            </w:r>
          </w:p>
        </w:tc>
        <w:tc>
          <w:tcPr>
            <w:tcW w:type="dxa" w:w="1368"/>
            <w:shd w:val="clear" w:color="auto" w:fill="FFFFFF"/>
          </w:tcPr>
          <w:p>
            <w:pPr>
              <w:jc w:val="left"/>
            </w:pPr>
            <w:r/>
            <w:r>
              <w:rPr>
                <w:rFonts w:ascii="Calibri" w:hAnsi="Calibri"/>
                <w:b w:val="0"/>
                <w:color w:val="404040"/>
                <w:sz w:val="17"/>
              </w:rPr>
              <w:t>Nov 9, 2026</w:t>
            </w:r>
          </w:p>
        </w:tc>
        <w:tc>
          <w:tcPr>
            <w:tcW w:type="dxa" w:w="1368"/>
            <w:shd w:val="clear" w:color="auto" w:fill="FFFFFF"/>
          </w:tcPr>
          <w:p>
            <w:pPr>
              <w:jc w:val="left"/>
            </w:pPr>
            <w:r/>
            <w:r>
              <w:rPr>
                <w:rFonts w:ascii="Calibri" w:hAnsi="Calibri"/>
                <w:b w:val="0"/>
                <w:color w:val="404040"/>
                <w:sz w:val="17"/>
              </w:rPr>
              <w:t>Jan 1, 2027</w:t>
            </w:r>
          </w:p>
        </w:tc>
        <w:tc>
          <w:tcPr>
            <w:tcW w:type="dxa" w:w="2376"/>
            <w:shd w:val="clear" w:color="auto" w:fill="FFFFFF"/>
          </w:tcPr>
          <w:p>
            <w:pPr>
              <w:jc w:val="left"/>
            </w:pPr>
            <w:r/>
            <w:r>
              <w:rPr>
                <w:rFonts w:ascii="Calibri" w:hAnsi="Calibri"/>
                <w:b w:val="0"/>
                <w:color w:val="404040"/>
                <w:sz w:val="17"/>
              </w:rPr>
              <w:t>All phases complete</w:t>
              <w:br/>
              <w:t>All services at 100% traffic</w:t>
              <w:br/>
              <w:t>Sign-off from all business units</w:t>
            </w:r>
          </w:p>
        </w:tc>
      </w:tr>
    </w:tbl>
    <w:p>
      <w:pPr>
        <w:spacing w:after="80"/>
      </w:pPr>
    </w:p>
    <w:p>
      <w:pPr>
        <w:spacing w:before="40" w:after="160"/>
      </w:pPr>
      <w:r>
        <w:rPr>
          <w:rFonts w:ascii="Calibri" w:hAnsi="Calibri"/>
          <w:i/>
          <w:color w:val="2E75B6"/>
          <w:sz w:val="17"/>
        </w:rPr>
        <w:t>Table 5.1 – Detailed Project Timeline by Phase</w:t>
      </w:r>
    </w:p>
    <w:p>
      <w:r>
        <w:br w:type="page"/>
      </w:r>
    </w:p>
    <w:p>
      <w:pPr>
        <w:pStyle w:val="Heading1"/>
        <w:spacing w:before="280" w:after="120"/>
      </w:pPr>
      <w:r>
        <w:rPr>
          <w:rFonts w:ascii="Calibri" w:hAnsi="Calibri"/>
          <w:color w:val="1F3964"/>
          <w:sz w:val="32"/>
        </w:rPr>
        <w:t>6. Risk Matrix</w:t>
      </w:r>
    </w:p>
    <w:p>
      <w:pPr>
        <w:spacing w:after="120" w:before="40"/>
      </w:pPr>
      <w:r>
        <w:rPr>
          <w:rFonts w:ascii="Calibri" w:hAnsi="Calibri"/>
          <w:b w:val="0"/>
          <w:i w:val="0"/>
          <w:color w:val="404040"/>
          <w:sz w:val="20"/>
        </w:rPr>
        <w:t>The following risk matrix captures identified risks across technical, operational, and business categories. Risk Level is calculated as a combination of Probability and Impact: High × High = Critical; High × Medium or Medium × High = High; Medium × Medium = Medium; Low × any = Low or Medium.</w:t>
      </w:r>
    </w:p>
    <w:tbl>
      <w:tblPr>
        <w:tblStyle w:val="TableGrid"/>
        <w:tblW w:type="auto" w:w="0"/>
        <w:jc w:val="center"/>
        <w:tblLook w:firstColumn="1" w:firstRow="1" w:lastColumn="0" w:lastRow="0" w:noHBand="0" w:noVBand="1" w:val="04A0"/>
      </w:tblPr>
      <w:tblGrid>
        <w:gridCol w:w="1116"/>
        <w:gridCol w:w="1116"/>
        <w:gridCol w:w="1116"/>
        <w:gridCol w:w="1116"/>
        <w:gridCol w:w="1116"/>
        <w:gridCol w:w="1116"/>
        <w:gridCol w:w="1116"/>
        <w:gridCol w:w="1116"/>
      </w:tblGrid>
      <w:tr>
        <w:tc>
          <w:tcPr>
            <w:tcW w:type="dxa" w:w="648"/>
            <w:shd w:val="clear" w:color="auto" w:fill="1F3964"/>
          </w:tcPr>
          <w:p>
            <w:pPr>
              <w:jc w:val="center"/>
            </w:pPr>
            <w:r/>
            <w:r>
              <w:rPr>
                <w:rFonts w:ascii="Calibri" w:hAnsi="Calibri"/>
                <w:b/>
                <w:color w:val="FFFFFF"/>
                <w:sz w:val="16"/>
              </w:rPr>
              <w:t>Risk ID</w:t>
            </w:r>
          </w:p>
        </w:tc>
        <w:tc>
          <w:tcPr>
            <w:tcW w:type="dxa" w:w="2448"/>
            <w:shd w:val="clear" w:color="auto" w:fill="1F3964"/>
          </w:tcPr>
          <w:p>
            <w:pPr>
              <w:jc w:val="center"/>
            </w:pPr>
            <w:r/>
            <w:r>
              <w:rPr>
                <w:rFonts w:ascii="Calibri" w:hAnsi="Calibri"/>
                <w:b/>
                <w:color w:val="FFFFFF"/>
                <w:sz w:val="16"/>
              </w:rPr>
              <w:t>Risk Description</w:t>
            </w:r>
          </w:p>
        </w:tc>
        <w:tc>
          <w:tcPr>
            <w:tcW w:type="dxa" w:w="1224"/>
            <w:shd w:val="clear" w:color="auto" w:fill="1F3964"/>
          </w:tcPr>
          <w:p>
            <w:pPr>
              <w:jc w:val="center"/>
            </w:pPr>
            <w:r/>
            <w:r>
              <w:rPr>
                <w:rFonts w:ascii="Calibri" w:hAnsi="Calibri"/>
                <w:b/>
                <w:color w:val="FFFFFF"/>
                <w:sz w:val="16"/>
              </w:rPr>
              <w:t>Category</w:t>
            </w:r>
          </w:p>
        </w:tc>
        <w:tc>
          <w:tcPr>
            <w:tcW w:type="dxa" w:w="1080"/>
            <w:shd w:val="clear" w:color="auto" w:fill="1F3964"/>
          </w:tcPr>
          <w:p>
            <w:pPr>
              <w:jc w:val="center"/>
            </w:pPr>
            <w:r/>
            <w:r>
              <w:rPr>
                <w:rFonts w:ascii="Calibri" w:hAnsi="Calibri"/>
                <w:b/>
                <w:color w:val="FFFFFF"/>
                <w:sz w:val="16"/>
              </w:rPr>
              <w:t>Probability</w:t>
            </w:r>
          </w:p>
        </w:tc>
        <w:tc>
          <w:tcPr>
            <w:tcW w:type="dxa" w:w="936"/>
            <w:shd w:val="clear" w:color="auto" w:fill="1F3964"/>
          </w:tcPr>
          <w:p>
            <w:pPr>
              <w:jc w:val="center"/>
            </w:pPr>
            <w:r/>
            <w:r>
              <w:rPr>
                <w:rFonts w:ascii="Calibri" w:hAnsi="Calibri"/>
                <w:b/>
                <w:color w:val="FFFFFF"/>
                <w:sz w:val="16"/>
              </w:rPr>
              <w:t>Impact</w:t>
            </w:r>
          </w:p>
        </w:tc>
        <w:tc>
          <w:tcPr>
            <w:tcW w:type="dxa" w:w="1008"/>
            <w:shd w:val="clear" w:color="auto" w:fill="1F3964"/>
          </w:tcPr>
          <w:p>
            <w:pPr>
              <w:jc w:val="center"/>
            </w:pPr>
            <w:r/>
            <w:r>
              <w:rPr>
                <w:rFonts w:ascii="Calibri" w:hAnsi="Calibri"/>
                <w:b/>
                <w:color w:val="FFFFFF"/>
                <w:sz w:val="16"/>
              </w:rPr>
              <w:t>Risk Level</w:t>
            </w:r>
          </w:p>
        </w:tc>
        <w:tc>
          <w:tcPr>
            <w:tcW w:type="dxa" w:w="3600"/>
            <w:shd w:val="clear" w:color="auto" w:fill="1F3964"/>
          </w:tcPr>
          <w:p>
            <w:pPr>
              <w:jc w:val="center"/>
            </w:pPr>
            <w:r/>
            <w:r>
              <w:rPr>
                <w:rFonts w:ascii="Calibri" w:hAnsi="Calibri"/>
                <w:b/>
                <w:color w:val="FFFFFF"/>
                <w:sz w:val="16"/>
              </w:rPr>
              <w:t>Mitigation Strategy</w:t>
            </w:r>
          </w:p>
        </w:tc>
        <w:tc>
          <w:tcPr>
            <w:tcW w:type="dxa" w:w="1224"/>
            <w:shd w:val="clear" w:color="auto" w:fill="1F3964"/>
          </w:tcPr>
          <w:p>
            <w:pPr>
              <w:jc w:val="center"/>
            </w:pPr>
            <w:r/>
            <w:r>
              <w:rPr>
                <w:rFonts w:ascii="Calibri" w:hAnsi="Calibri"/>
                <w:b/>
                <w:color w:val="FFFFFF"/>
                <w:sz w:val="16"/>
              </w:rPr>
              <w:t>Owner</w:t>
            </w:r>
          </w:p>
        </w:tc>
      </w:tr>
      <w:tr>
        <w:tc>
          <w:tcPr>
            <w:tcW w:type="dxa" w:w="648"/>
            <w:shd w:val="clear" w:color="auto" w:fill="FFFFFF"/>
          </w:tcPr>
          <w:p>
            <w:pPr>
              <w:jc w:val="left"/>
            </w:pPr>
            <w:r/>
            <w:r>
              <w:rPr>
                <w:rFonts w:ascii="Calibri" w:hAnsi="Calibri"/>
                <w:b w:val="0"/>
                <w:color w:val="404040"/>
                <w:sz w:val="17"/>
              </w:rPr>
              <w:t>R-01</w:t>
            </w:r>
          </w:p>
        </w:tc>
        <w:tc>
          <w:tcPr>
            <w:tcW w:type="dxa" w:w="2448"/>
            <w:shd w:val="clear" w:color="auto" w:fill="FFFFFF"/>
          </w:tcPr>
          <w:p>
            <w:pPr>
              <w:jc w:val="left"/>
            </w:pPr>
            <w:r/>
            <w:r>
              <w:rPr>
                <w:rFonts w:ascii="Calibri" w:hAnsi="Calibri"/>
                <w:b w:val="0"/>
                <w:color w:val="404040"/>
                <w:sz w:val="17"/>
              </w:rPr>
              <w:t>Data loss or corruption during Oracle to PostgreSQL migration</w:t>
            </w:r>
          </w:p>
        </w:tc>
        <w:tc>
          <w:tcPr>
            <w:tcW w:type="dxa" w:w="1224"/>
            <w:shd w:val="clear" w:color="auto" w:fill="FFFFFF"/>
          </w:tcPr>
          <w:p>
            <w:pPr>
              <w:jc w:val="left"/>
            </w:pPr>
            <w:r/>
            <w:r>
              <w:rPr>
                <w:rFonts w:ascii="Calibri" w:hAnsi="Calibri"/>
                <w:b w:val="0"/>
                <w:color w:val="404040"/>
                <w:sz w:val="17"/>
              </w:rPr>
              <w:t>Technical</w:t>
            </w:r>
          </w:p>
        </w:tc>
        <w:tc>
          <w:tcPr>
            <w:tcW w:type="dxa" w:w="1080"/>
            <w:shd w:val="clear" w:color="auto" w:fill="FFE0E0"/>
          </w:tcPr>
          <w:p>
            <w:pPr>
              <w:jc w:val="center"/>
            </w:pPr>
            <w:r/>
            <w:r>
              <w:rPr>
                <w:rFonts w:ascii="Calibri" w:hAnsi="Calibri"/>
                <w:b/>
                <w:color w:val="C00000"/>
                <w:sz w:val="17"/>
              </w:rPr>
              <w:t>High</w:t>
            </w:r>
          </w:p>
        </w:tc>
        <w:tc>
          <w:tcPr>
            <w:tcW w:type="dxa" w:w="936"/>
            <w:shd w:val="clear" w:color="auto" w:fill="FFE0E0"/>
          </w:tcPr>
          <w:p>
            <w:pPr>
              <w:jc w:val="center"/>
            </w:pPr>
            <w:r/>
            <w:r>
              <w:rPr>
                <w:rFonts w:ascii="Calibri" w:hAnsi="Calibri"/>
                <w:b/>
                <w:color w:val="C00000"/>
                <w:sz w:val="17"/>
              </w:rPr>
              <w:t>High</w:t>
            </w:r>
          </w:p>
        </w:tc>
        <w:tc>
          <w:tcPr>
            <w:tcW w:type="dxa" w:w="1008"/>
            <w:shd w:val="clear" w:color="auto" w:fill="FFE0E0"/>
          </w:tcPr>
          <w:p>
            <w:pPr>
              <w:jc w:val="center"/>
            </w:pPr>
            <w:r/>
            <w:r>
              <w:rPr>
                <w:rFonts w:ascii="Calibri" w:hAnsi="Calibri"/>
                <w:b/>
                <w:color w:val="C00000"/>
                <w:sz w:val="17"/>
              </w:rPr>
              <w:t>Critical</w:t>
            </w:r>
          </w:p>
        </w:tc>
        <w:tc>
          <w:tcPr>
            <w:tcW w:type="dxa" w:w="3600"/>
            <w:shd w:val="clear" w:color="auto" w:fill="FFFFFF"/>
          </w:tcPr>
          <w:p>
            <w:pPr>
              <w:jc w:val="left"/>
            </w:pPr>
            <w:r/>
            <w:r>
              <w:rPr>
                <w:rFonts w:ascii="Calibri" w:hAnsi="Calibri"/>
                <w:b w:val="0"/>
                <w:color w:val="404040"/>
                <w:sz w:val="17"/>
              </w:rPr>
              <w:t>Dual-write pattern; DMS CDC replication; automated reconciliation scripts; 72-hour rollback window; dry-run migration in staging x3 before production.</w:t>
            </w:r>
          </w:p>
        </w:tc>
        <w:tc>
          <w:tcPr>
            <w:tcW w:type="dxa" w:w="1224"/>
            <w:shd w:val="clear" w:color="auto" w:fill="FFFFFF"/>
          </w:tcPr>
          <w:p>
            <w:pPr>
              <w:jc w:val="left"/>
            </w:pPr>
            <w:r/>
            <w:r>
              <w:rPr>
                <w:rFonts w:ascii="Calibri" w:hAnsi="Calibri"/>
                <w:b w:val="0"/>
                <w:color w:val="404040"/>
                <w:sz w:val="17"/>
              </w:rPr>
              <w:t>Data Architect</w:t>
            </w:r>
          </w:p>
        </w:tc>
      </w:tr>
      <w:tr>
        <w:tc>
          <w:tcPr>
            <w:tcW w:type="dxa" w:w="648"/>
            <w:shd w:val="clear" w:color="auto" w:fill="EDF2F8"/>
          </w:tcPr>
          <w:p>
            <w:pPr>
              <w:jc w:val="left"/>
            </w:pPr>
            <w:r/>
            <w:r>
              <w:rPr>
                <w:rFonts w:ascii="Calibri" w:hAnsi="Calibri"/>
                <w:b w:val="0"/>
                <w:color w:val="404040"/>
                <w:sz w:val="17"/>
              </w:rPr>
              <w:t>R-02</w:t>
            </w:r>
          </w:p>
        </w:tc>
        <w:tc>
          <w:tcPr>
            <w:tcW w:type="dxa" w:w="2448"/>
            <w:shd w:val="clear" w:color="auto" w:fill="EDF2F8"/>
          </w:tcPr>
          <w:p>
            <w:pPr>
              <w:jc w:val="left"/>
            </w:pPr>
            <w:r/>
            <w:r>
              <w:rPr>
                <w:rFonts w:ascii="Calibri" w:hAnsi="Calibri"/>
                <w:b w:val="0"/>
                <w:color w:val="404040"/>
                <w:sz w:val="17"/>
              </w:rPr>
              <w:t>Distributed transaction consistency failures across services (Saga failures)</w:t>
            </w:r>
          </w:p>
        </w:tc>
        <w:tc>
          <w:tcPr>
            <w:tcW w:type="dxa" w:w="1224"/>
            <w:shd w:val="clear" w:color="auto" w:fill="EDF2F8"/>
          </w:tcPr>
          <w:p>
            <w:pPr>
              <w:jc w:val="left"/>
            </w:pPr>
            <w:r/>
            <w:r>
              <w:rPr>
                <w:rFonts w:ascii="Calibri" w:hAnsi="Calibri"/>
                <w:b w:val="0"/>
                <w:color w:val="404040"/>
                <w:sz w:val="17"/>
              </w:rPr>
              <w:t>Technical</w:t>
            </w:r>
          </w:p>
        </w:tc>
        <w:tc>
          <w:tcPr>
            <w:tcW w:type="dxa" w:w="1080"/>
            <w:shd w:val="clear" w:color="auto" w:fill="FFF2CC"/>
          </w:tcPr>
          <w:p>
            <w:pPr>
              <w:jc w:val="center"/>
            </w:pPr>
            <w:r/>
            <w:r>
              <w:rPr>
                <w:rFonts w:ascii="Calibri" w:hAnsi="Calibri"/>
                <w:b/>
                <w:color w:val="E26B0A"/>
                <w:sz w:val="17"/>
              </w:rPr>
              <w:t>Medium</w:t>
            </w:r>
          </w:p>
        </w:tc>
        <w:tc>
          <w:tcPr>
            <w:tcW w:type="dxa" w:w="936"/>
            <w:shd w:val="clear" w:color="auto" w:fill="FFE0E0"/>
          </w:tcPr>
          <w:p>
            <w:pPr>
              <w:jc w:val="center"/>
            </w:pPr>
            <w:r/>
            <w:r>
              <w:rPr>
                <w:rFonts w:ascii="Calibri" w:hAnsi="Calibri"/>
                <w:b/>
                <w:color w:val="C00000"/>
                <w:sz w:val="17"/>
              </w:rPr>
              <w:t>High</w:t>
            </w:r>
          </w:p>
        </w:tc>
        <w:tc>
          <w:tcPr>
            <w:tcW w:type="dxa" w:w="1008"/>
            <w:shd w:val="clear" w:color="auto" w:fill="FFE0E0"/>
          </w:tcPr>
          <w:p>
            <w:pPr>
              <w:jc w:val="center"/>
            </w:pPr>
            <w:r/>
            <w:r>
              <w:rPr>
                <w:rFonts w:ascii="Calibri" w:hAnsi="Calibri"/>
                <w:b/>
                <w:color w:val="C00000"/>
                <w:sz w:val="17"/>
              </w:rPr>
              <w:t>High</w:t>
            </w:r>
          </w:p>
        </w:tc>
        <w:tc>
          <w:tcPr>
            <w:tcW w:type="dxa" w:w="3600"/>
            <w:shd w:val="clear" w:color="auto" w:fill="EDF2F8"/>
          </w:tcPr>
          <w:p>
            <w:pPr>
              <w:jc w:val="left"/>
            </w:pPr>
            <w:r/>
            <w:r>
              <w:rPr>
                <w:rFonts w:ascii="Calibri" w:hAnsi="Calibri"/>
                <w:b w:val="0"/>
                <w:color w:val="404040"/>
                <w:sz w:val="17"/>
              </w:rPr>
              <w:t>Implement idempotent compensating transactions; comprehensive Saga integration test suite; chaos engineering tests for partial failure scenarios; dead-letter queue monitoring.</w:t>
            </w:r>
          </w:p>
        </w:tc>
        <w:tc>
          <w:tcPr>
            <w:tcW w:type="dxa" w:w="1224"/>
            <w:shd w:val="clear" w:color="auto" w:fill="EDF2F8"/>
          </w:tcPr>
          <w:p>
            <w:pPr>
              <w:jc w:val="left"/>
            </w:pPr>
            <w:r/>
            <w:r>
              <w:rPr>
                <w:rFonts w:ascii="Calibri" w:hAnsi="Calibri"/>
                <w:b w:val="0"/>
                <w:color w:val="404040"/>
                <w:sz w:val="17"/>
              </w:rPr>
              <w:t>Lead Architect</w:t>
            </w:r>
          </w:p>
        </w:tc>
      </w:tr>
      <w:tr>
        <w:tc>
          <w:tcPr>
            <w:tcW w:type="dxa" w:w="648"/>
            <w:shd w:val="clear" w:color="auto" w:fill="FFFFFF"/>
          </w:tcPr>
          <w:p>
            <w:pPr>
              <w:jc w:val="left"/>
            </w:pPr>
            <w:r/>
            <w:r>
              <w:rPr>
                <w:rFonts w:ascii="Calibri" w:hAnsi="Calibri"/>
                <w:b w:val="0"/>
                <w:color w:val="404040"/>
                <w:sz w:val="17"/>
              </w:rPr>
              <w:t>R-03</w:t>
            </w:r>
          </w:p>
        </w:tc>
        <w:tc>
          <w:tcPr>
            <w:tcW w:type="dxa" w:w="2448"/>
            <w:shd w:val="clear" w:color="auto" w:fill="FFFFFF"/>
          </w:tcPr>
          <w:p>
            <w:pPr>
              <w:jc w:val="left"/>
            </w:pPr>
            <w:r/>
            <w:r>
              <w:rPr>
                <w:rFonts w:ascii="Calibri" w:hAnsi="Calibri"/>
                <w:b w:val="0"/>
                <w:color w:val="404040"/>
                <w:sz w:val="17"/>
              </w:rPr>
              <w:t>Performance degradation due to network latency in service-to-service calls</w:t>
            </w:r>
          </w:p>
        </w:tc>
        <w:tc>
          <w:tcPr>
            <w:tcW w:type="dxa" w:w="1224"/>
            <w:shd w:val="clear" w:color="auto" w:fill="FFFFFF"/>
          </w:tcPr>
          <w:p>
            <w:pPr>
              <w:jc w:val="left"/>
            </w:pPr>
            <w:r/>
            <w:r>
              <w:rPr>
                <w:rFonts w:ascii="Calibri" w:hAnsi="Calibri"/>
                <w:b w:val="0"/>
                <w:color w:val="404040"/>
                <w:sz w:val="17"/>
              </w:rPr>
              <w:t>Technical</w:t>
            </w:r>
          </w:p>
        </w:tc>
        <w:tc>
          <w:tcPr>
            <w:tcW w:type="dxa" w:w="1080"/>
            <w:shd w:val="clear" w:color="auto" w:fill="FFF2CC"/>
          </w:tcPr>
          <w:p>
            <w:pPr>
              <w:jc w:val="center"/>
            </w:pPr>
            <w:r/>
            <w:r>
              <w:rPr>
                <w:rFonts w:ascii="Calibri" w:hAnsi="Calibri"/>
                <w:b/>
                <w:color w:val="E26B0A"/>
                <w:sz w:val="17"/>
              </w:rPr>
              <w:t>Medium</w:t>
            </w:r>
          </w:p>
        </w:tc>
        <w:tc>
          <w:tcPr>
            <w:tcW w:type="dxa" w:w="936"/>
            <w:shd w:val="clear" w:color="auto" w:fill="FFF2CC"/>
          </w:tcPr>
          <w:p>
            <w:pPr>
              <w:jc w:val="center"/>
            </w:pPr>
            <w:r/>
            <w:r>
              <w:rPr>
                <w:rFonts w:ascii="Calibri" w:hAnsi="Calibri"/>
                <w:b/>
                <w:color w:val="E26B0A"/>
                <w:sz w:val="17"/>
              </w:rPr>
              <w:t>Medium</w:t>
            </w:r>
          </w:p>
        </w:tc>
        <w:tc>
          <w:tcPr>
            <w:tcW w:type="dxa" w:w="1008"/>
            <w:shd w:val="clear" w:color="auto" w:fill="FFF2CC"/>
          </w:tcPr>
          <w:p>
            <w:pPr>
              <w:jc w:val="center"/>
            </w:pPr>
            <w:r/>
            <w:r>
              <w:rPr>
                <w:rFonts w:ascii="Calibri" w:hAnsi="Calibri"/>
                <w:b/>
                <w:color w:val="E26B0A"/>
                <w:sz w:val="17"/>
              </w:rPr>
              <w:t>Medium</w:t>
            </w:r>
          </w:p>
        </w:tc>
        <w:tc>
          <w:tcPr>
            <w:tcW w:type="dxa" w:w="3600"/>
            <w:shd w:val="clear" w:color="auto" w:fill="FFFFFF"/>
          </w:tcPr>
          <w:p>
            <w:pPr>
              <w:jc w:val="left"/>
            </w:pPr>
            <w:r/>
            <w:r>
              <w:rPr>
                <w:rFonts w:ascii="Calibri" w:hAnsi="Calibri"/>
                <w:b w:val="0"/>
                <w:color w:val="404040"/>
                <w:sz w:val="17"/>
              </w:rPr>
              <w:t>Adopt gRPC for latency-sensitive paths; implement Redis caching; set P99 latency SLOs per service; continuous performance testing in CI pipeline.</w:t>
            </w:r>
          </w:p>
        </w:tc>
        <w:tc>
          <w:tcPr>
            <w:tcW w:type="dxa" w:w="1224"/>
            <w:shd w:val="clear" w:color="auto" w:fill="FFFFFF"/>
          </w:tcPr>
          <w:p>
            <w:pPr>
              <w:jc w:val="left"/>
            </w:pPr>
            <w:r/>
            <w:r>
              <w:rPr>
                <w:rFonts w:ascii="Calibri" w:hAnsi="Calibri"/>
                <w:b w:val="0"/>
                <w:color w:val="404040"/>
                <w:sz w:val="17"/>
              </w:rPr>
              <w:t>Platform Engineer</w:t>
            </w:r>
          </w:p>
        </w:tc>
      </w:tr>
      <w:tr>
        <w:tc>
          <w:tcPr>
            <w:tcW w:type="dxa" w:w="648"/>
            <w:shd w:val="clear" w:color="auto" w:fill="EDF2F8"/>
          </w:tcPr>
          <w:p>
            <w:pPr>
              <w:jc w:val="left"/>
            </w:pPr>
            <w:r/>
            <w:r>
              <w:rPr>
                <w:rFonts w:ascii="Calibri" w:hAnsi="Calibri"/>
                <w:b w:val="0"/>
                <w:color w:val="404040"/>
                <w:sz w:val="17"/>
              </w:rPr>
              <w:t>R-04</w:t>
            </w:r>
          </w:p>
        </w:tc>
        <w:tc>
          <w:tcPr>
            <w:tcW w:type="dxa" w:w="2448"/>
            <w:shd w:val="clear" w:color="auto" w:fill="EDF2F8"/>
          </w:tcPr>
          <w:p>
            <w:pPr>
              <w:jc w:val="left"/>
            </w:pPr>
            <w:r/>
            <w:r>
              <w:rPr>
                <w:rFonts w:ascii="Calibri" w:hAnsi="Calibri"/>
                <w:b w:val="0"/>
                <w:color w:val="404040"/>
                <w:sz w:val="17"/>
              </w:rPr>
              <w:t>Security vulnerabilities introduced through expanded attack surface</w:t>
            </w:r>
          </w:p>
        </w:tc>
        <w:tc>
          <w:tcPr>
            <w:tcW w:type="dxa" w:w="1224"/>
            <w:shd w:val="clear" w:color="auto" w:fill="EDF2F8"/>
          </w:tcPr>
          <w:p>
            <w:pPr>
              <w:jc w:val="left"/>
            </w:pPr>
            <w:r/>
            <w:r>
              <w:rPr>
                <w:rFonts w:ascii="Calibri" w:hAnsi="Calibri"/>
                <w:b w:val="0"/>
                <w:color w:val="404040"/>
                <w:sz w:val="17"/>
              </w:rPr>
              <w:t>Technical</w:t>
            </w:r>
          </w:p>
        </w:tc>
        <w:tc>
          <w:tcPr>
            <w:tcW w:type="dxa" w:w="1080"/>
            <w:shd w:val="clear" w:color="auto" w:fill="FFF2CC"/>
          </w:tcPr>
          <w:p>
            <w:pPr>
              <w:jc w:val="center"/>
            </w:pPr>
            <w:r/>
            <w:r>
              <w:rPr>
                <w:rFonts w:ascii="Calibri" w:hAnsi="Calibri"/>
                <w:b/>
                <w:color w:val="E26B0A"/>
                <w:sz w:val="17"/>
              </w:rPr>
              <w:t>Medium</w:t>
            </w:r>
          </w:p>
        </w:tc>
        <w:tc>
          <w:tcPr>
            <w:tcW w:type="dxa" w:w="936"/>
            <w:shd w:val="clear" w:color="auto" w:fill="FFE0E0"/>
          </w:tcPr>
          <w:p>
            <w:pPr>
              <w:jc w:val="center"/>
            </w:pPr>
            <w:r/>
            <w:r>
              <w:rPr>
                <w:rFonts w:ascii="Calibri" w:hAnsi="Calibri"/>
                <w:b/>
                <w:color w:val="C00000"/>
                <w:sz w:val="17"/>
              </w:rPr>
              <w:t>High</w:t>
            </w:r>
          </w:p>
        </w:tc>
        <w:tc>
          <w:tcPr>
            <w:tcW w:type="dxa" w:w="1008"/>
            <w:shd w:val="clear" w:color="auto" w:fill="FFE0E0"/>
          </w:tcPr>
          <w:p>
            <w:pPr>
              <w:jc w:val="center"/>
            </w:pPr>
            <w:r/>
            <w:r>
              <w:rPr>
                <w:rFonts w:ascii="Calibri" w:hAnsi="Calibri"/>
                <w:b/>
                <w:color w:val="C00000"/>
                <w:sz w:val="17"/>
              </w:rPr>
              <w:t>High</w:t>
            </w:r>
          </w:p>
        </w:tc>
        <w:tc>
          <w:tcPr>
            <w:tcW w:type="dxa" w:w="3600"/>
            <w:shd w:val="clear" w:color="auto" w:fill="EDF2F8"/>
          </w:tcPr>
          <w:p>
            <w:pPr>
              <w:jc w:val="left"/>
            </w:pPr>
            <w:r/>
            <w:r>
              <w:rPr>
                <w:rFonts w:ascii="Calibri" w:hAnsi="Calibri"/>
                <w:b w:val="0"/>
                <w:color w:val="404040"/>
                <w:sz w:val="17"/>
              </w:rPr>
              <w:t>Zero-trust network policy via Istio mTLS; automated SAST/DAST in CI/CD; container image scanning (Trivy); quarterly penetration testing; secrets managed via Vault.</w:t>
            </w:r>
          </w:p>
        </w:tc>
        <w:tc>
          <w:tcPr>
            <w:tcW w:type="dxa" w:w="1224"/>
            <w:shd w:val="clear" w:color="auto" w:fill="EDF2F8"/>
          </w:tcPr>
          <w:p>
            <w:pPr>
              <w:jc w:val="left"/>
            </w:pPr>
            <w:r/>
            <w:r>
              <w:rPr>
                <w:rFonts w:ascii="Calibri" w:hAnsi="Calibri"/>
                <w:b w:val="0"/>
                <w:color w:val="404040"/>
                <w:sz w:val="17"/>
              </w:rPr>
              <w:t>Security Architect</w:t>
            </w:r>
          </w:p>
        </w:tc>
      </w:tr>
      <w:tr>
        <w:tc>
          <w:tcPr>
            <w:tcW w:type="dxa" w:w="648"/>
            <w:shd w:val="clear" w:color="auto" w:fill="FFFFFF"/>
          </w:tcPr>
          <w:p>
            <w:pPr>
              <w:jc w:val="left"/>
            </w:pPr>
            <w:r/>
            <w:r>
              <w:rPr>
                <w:rFonts w:ascii="Calibri" w:hAnsi="Calibri"/>
                <w:b w:val="0"/>
                <w:color w:val="404040"/>
                <w:sz w:val="17"/>
              </w:rPr>
              <w:t>R-05</w:t>
            </w:r>
          </w:p>
        </w:tc>
        <w:tc>
          <w:tcPr>
            <w:tcW w:type="dxa" w:w="2448"/>
            <w:shd w:val="clear" w:color="auto" w:fill="FFFFFF"/>
          </w:tcPr>
          <w:p>
            <w:pPr>
              <w:jc w:val="left"/>
            </w:pPr>
            <w:r/>
            <w:r>
              <w:rPr>
                <w:rFonts w:ascii="Calibri" w:hAnsi="Calibri"/>
                <w:b w:val="0"/>
                <w:color w:val="404040"/>
                <w:sz w:val="17"/>
              </w:rPr>
              <w:t>Kubernetes cluster instability or misconfiguration causing outages</w:t>
            </w:r>
          </w:p>
        </w:tc>
        <w:tc>
          <w:tcPr>
            <w:tcW w:type="dxa" w:w="1224"/>
            <w:shd w:val="clear" w:color="auto" w:fill="FFFFFF"/>
          </w:tcPr>
          <w:p>
            <w:pPr>
              <w:jc w:val="left"/>
            </w:pPr>
            <w:r/>
            <w:r>
              <w:rPr>
                <w:rFonts w:ascii="Calibri" w:hAnsi="Calibri"/>
                <w:b w:val="0"/>
                <w:color w:val="404040"/>
                <w:sz w:val="17"/>
              </w:rPr>
              <w:t>Technical</w:t>
            </w:r>
          </w:p>
        </w:tc>
        <w:tc>
          <w:tcPr>
            <w:tcW w:type="dxa" w:w="1080"/>
            <w:shd w:val="clear" w:color="auto" w:fill="E2EFDA"/>
          </w:tcPr>
          <w:p>
            <w:pPr>
              <w:jc w:val="center"/>
            </w:pPr>
            <w:r/>
            <w:r>
              <w:rPr>
                <w:rFonts w:ascii="Calibri" w:hAnsi="Calibri"/>
                <w:b/>
                <w:color w:val="378610"/>
                <w:sz w:val="17"/>
              </w:rPr>
              <w:t>Low</w:t>
            </w:r>
          </w:p>
        </w:tc>
        <w:tc>
          <w:tcPr>
            <w:tcW w:type="dxa" w:w="936"/>
            <w:shd w:val="clear" w:color="auto" w:fill="FFE0E0"/>
          </w:tcPr>
          <w:p>
            <w:pPr>
              <w:jc w:val="center"/>
            </w:pPr>
            <w:r/>
            <w:r>
              <w:rPr>
                <w:rFonts w:ascii="Calibri" w:hAnsi="Calibri"/>
                <w:b/>
                <w:color w:val="C00000"/>
                <w:sz w:val="17"/>
              </w:rPr>
              <w:t>High</w:t>
            </w:r>
          </w:p>
        </w:tc>
        <w:tc>
          <w:tcPr>
            <w:tcW w:type="dxa" w:w="1008"/>
            <w:shd w:val="clear" w:color="auto" w:fill="FFF2CC"/>
          </w:tcPr>
          <w:p>
            <w:pPr>
              <w:jc w:val="center"/>
            </w:pPr>
            <w:r/>
            <w:r>
              <w:rPr>
                <w:rFonts w:ascii="Calibri" w:hAnsi="Calibri"/>
                <w:b/>
                <w:color w:val="E26B0A"/>
                <w:sz w:val="17"/>
              </w:rPr>
              <w:t>Medium</w:t>
            </w:r>
          </w:p>
        </w:tc>
        <w:tc>
          <w:tcPr>
            <w:tcW w:type="dxa" w:w="3600"/>
            <w:shd w:val="clear" w:color="auto" w:fill="FFFFFF"/>
          </w:tcPr>
          <w:p>
            <w:pPr>
              <w:jc w:val="left"/>
            </w:pPr>
            <w:r/>
            <w:r>
              <w:rPr>
                <w:rFonts w:ascii="Calibri" w:hAnsi="Calibri"/>
                <w:b w:val="0"/>
                <w:color w:val="404040"/>
                <w:sz w:val="17"/>
              </w:rPr>
              <w:t>Infrastructure-as-Code (Terraform) for all cluster config; multi-AZ node groups; PodDisruptionBudgets; automated runbook for node failure recovery; pre-production rehearsals.</w:t>
            </w:r>
          </w:p>
        </w:tc>
        <w:tc>
          <w:tcPr>
            <w:tcW w:type="dxa" w:w="1224"/>
            <w:shd w:val="clear" w:color="auto" w:fill="FFFFFF"/>
          </w:tcPr>
          <w:p>
            <w:pPr>
              <w:jc w:val="left"/>
            </w:pPr>
            <w:r/>
            <w:r>
              <w:rPr>
                <w:rFonts w:ascii="Calibri" w:hAnsi="Calibri"/>
                <w:b w:val="0"/>
                <w:color w:val="404040"/>
                <w:sz w:val="17"/>
              </w:rPr>
              <w:t>DevOps Lead</w:t>
            </w:r>
          </w:p>
        </w:tc>
      </w:tr>
      <w:tr>
        <w:tc>
          <w:tcPr>
            <w:tcW w:type="dxa" w:w="648"/>
            <w:shd w:val="clear" w:color="auto" w:fill="EDF2F8"/>
          </w:tcPr>
          <w:p>
            <w:pPr>
              <w:jc w:val="left"/>
            </w:pPr>
            <w:r/>
            <w:r>
              <w:rPr>
                <w:rFonts w:ascii="Calibri" w:hAnsi="Calibri"/>
                <w:b w:val="0"/>
                <w:color w:val="404040"/>
                <w:sz w:val="17"/>
              </w:rPr>
              <w:t>R-06</w:t>
            </w:r>
          </w:p>
        </w:tc>
        <w:tc>
          <w:tcPr>
            <w:tcW w:type="dxa" w:w="2448"/>
            <w:shd w:val="clear" w:color="auto" w:fill="EDF2F8"/>
          </w:tcPr>
          <w:p>
            <w:pPr>
              <w:jc w:val="left"/>
            </w:pPr>
            <w:r/>
            <w:r>
              <w:rPr>
                <w:rFonts w:ascii="Calibri" w:hAnsi="Calibri"/>
                <w:b w:val="0"/>
                <w:color w:val="404040"/>
                <w:sz w:val="17"/>
              </w:rPr>
              <w:t>Kafka consumer lag causing delayed order processing and SLA breaches</w:t>
            </w:r>
          </w:p>
        </w:tc>
        <w:tc>
          <w:tcPr>
            <w:tcW w:type="dxa" w:w="1224"/>
            <w:shd w:val="clear" w:color="auto" w:fill="EDF2F8"/>
          </w:tcPr>
          <w:p>
            <w:pPr>
              <w:jc w:val="left"/>
            </w:pPr>
            <w:r/>
            <w:r>
              <w:rPr>
                <w:rFonts w:ascii="Calibri" w:hAnsi="Calibri"/>
                <w:b w:val="0"/>
                <w:color w:val="404040"/>
                <w:sz w:val="17"/>
              </w:rPr>
              <w:t>Technical</w:t>
            </w:r>
          </w:p>
        </w:tc>
        <w:tc>
          <w:tcPr>
            <w:tcW w:type="dxa" w:w="1080"/>
            <w:shd w:val="clear" w:color="auto" w:fill="FFF2CC"/>
          </w:tcPr>
          <w:p>
            <w:pPr>
              <w:jc w:val="center"/>
            </w:pPr>
            <w:r/>
            <w:r>
              <w:rPr>
                <w:rFonts w:ascii="Calibri" w:hAnsi="Calibri"/>
                <w:b/>
                <w:color w:val="E26B0A"/>
                <w:sz w:val="17"/>
              </w:rPr>
              <w:t>Medium</w:t>
            </w:r>
          </w:p>
        </w:tc>
        <w:tc>
          <w:tcPr>
            <w:tcW w:type="dxa" w:w="936"/>
            <w:shd w:val="clear" w:color="auto" w:fill="FFE0E0"/>
          </w:tcPr>
          <w:p>
            <w:pPr>
              <w:jc w:val="center"/>
            </w:pPr>
            <w:r/>
            <w:r>
              <w:rPr>
                <w:rFonts w:ascii="Calibri" w:hAnsi="Calibri"/>
                <w:b/>
                <w:color w:val="C00000"/>
                <w:sz w:val="17"/>
              </w:rPr>
              <w:t>High</w:t>
            </w:r>
          </w:p>
        </w:tc>
        <w:tc>
          <w:tcPr>
            <w:tcW w:type="dxa" w:w="1008"/>
            <w:shd w:val="clear" w:color="auto" w:fill="FFE0E0"/>
          </w:tcPr>
          <w:p>
            <w:pPr>
              <w:jc w:val="center"/>
            </w:pPr>
            <w:r/>
            <w:r>
              <w:rPr>
                <w:rFonts w:ascii="Calibri" w:hAnsi="Calibri"/>
                <w:b/>
                <w:color w:val="C00000"/>
                <w:sz w:val="17"/>
              </w:rPr>
              <w:t>High</w:t>
            </w:r>
          </w:p>
        </w:tc>
        <w:tc>
          <w:tcPr>
            <w:tcW w:type="dxa" w:w="3600"/>
            <w:shd w:val="clear" w:color="auto" w:fill="EDF2F8"/>
          </w:tcPr>
          <w:p>
            <w:pPr>
              <w:jc w:val="left"/>
            </w:pPr>
            <w:r/>
            <w:r>
              <w:rPr>
                <w:rFonts w:ascii="Calibri" w:hAnsi="Calibri"/>
                <w:b w:val="0"/>
                <w:color w:val="404040"/>
                <w:sz w:val="17"/>
              </w:rPr>
              <w:t>Consumer group lag alerting at 10K message threshold; auto-scaling consumer pods via KEDA; dedicated Kafka partitions for high-priority order topics.</w:t>
            </w:r>
          </w:p>
        </w:tc>
        <w:tc>
          <w:tcPr>
            <w:tcW w:type="dxa" w:w="1224"/>
            <w:shd w:val="clear" w:color="auto" w:fill="EDF2F8"/>
          </w:tcPr>
          <w:p>
            <w:pPr>
              <w:jc w:val="left"/>
            </w:pPr>
            <w:r/>
            <w:r>
              <w:rPr>
                <w:rFonts w:ascii="Calibri" w:hAnsi="Calibri"/>
                <w:b w:val="0"/>
                <w:color w:val="404040"/>
                <w:sz w:val="17"/>
              </w:rPr>
              <w:t>Platform Engineer</w:t>
            </w:r>
          </w:p>
        </w:tc>
      </w:tr>
      <w:tr>
        <w:tc>
          <w:tcPr>
            <w:tcW w:type="dxa" w:w="648"/>
            <w:shd w:val="clear" w:color="auto" w:fill="FFFFFF"/>
          </w:tcPr>
          <w:p>
            <w:pPr>
              <w:jc w:val="left"/>
            </w:pPr>
            <w:r/>
            <w:r>
              <w:rPr>
                <w:rFonts w:ascii="Calibri" w:hAnsi="Calibri"/>
                <w:b w:val="0"/>
                <w:color w:val="404040"/>
                <w:sz w:val="17"/>
              </w:rPr>
              <w:t>R-07</w:t>
            </w:r>
          </w:p>
        </w:tc>
        <w:tc>
          <w:tcPr>
            <w:tcW w:type="dxa" w:w="2448"/>
            <w:shd w:val="clear" w:color="auto" w:fill="FFFFFF"/>
          </w:tcPr>
          <w:p>
            <w:pPr>
              <w:jc w:val="left"/>
            </w:pPr>
            <w:r/>
            <w:r>
              <w:rPr>
                <w:rFonts w:ascii="Calibri" w:hAnsi="Calibri"/>
                <w:b w:val="0"/>
                <w:color w:val="404040"/>
                <w:sz w:val="17"/>
              </w:rPr>
              <w:t>Key personnel departure during migration programme</w:t>
            </w:r>
          </w:p>
        </w:tc>
        <w:tc>
          <w:tcPr>
            <w:tcW w:type="dxa" w:w="1224"/>
            <w:shd w:val="clear" w:color="auto" w:fill="FFFFFF"/>
          </w:tcPr>
          <w:p>
            <w:pPr>
              <w:jc w:val="left"/>
            </w:pPr>
            <w:r/>
            <w:r>
              <w:rPr>
                <w:rFonts w:ascii="Calibri" w:hAnsi="Calibri"/>
                <w:b w:val="0"/>
                <w:color w:val="404040"/>
                <w:sz w:val="17"/>
              </w:rPr>
              <w:t>Operational</w:t>
            </w:r>
          </w:p>
        </w:tc>
        <w:tc>
          <w:tcPr>
            <w:tcW w:type="dxa" w:w="1080"/>
            <w:shd w:val="clear" w:color="auto" w:fill="FFF2CC"/>
          </w:tcPr>
          <w:p>
            <w:pPr>
              <w:jc w:val="center"/>
            </w:pPr>
            <w:r/>
            <w:r>
              <w:rPr>
                <w:rFonts w:ascii="Calibri" w:hAnsi="Calibri"/>
                <w:b/>
                <w:color w:val="E26B0A"/>
                <w:sz w:val="17"/>
              </w:rPr>
              <w:t>Medium</w:t>
            </w:r>
          </w:p>
        </w:tc>
        <w:tc>
          <w:tcPr>
            <w:tcW w:type="dxa" w:w="936"/>
            <w:shd w:val="clear" w:color="auto" w:fill="FFE0E0"/>
          </w:tcPr>
          <w:p>
            <w:pPr>
              <w:jc w:val="center"/>
            </w:pPr>
            <w:r/>
            <w:r>
              <w:rPr>
                <w:rFonts w:ascii="Calibri" w:hAnsi="Calibri"/>
                <w:b/>
                <w:color w:val="C00000"/>
                <w:sz w:val="17"/>
              </w:rPr>
              <w:t>High</w:t>
            </w:r>
          </w:p>
        </w:tc>
        <w:tc>
          <w:tcPr>
            <w:tcW w:type="dxa" w:w="1008"/>
            <w:shd w:val="clear" w:color="auto" w:fill="FFE0E0"/>
          </w:tcPr>
          <w:p>
            <w:pPr>
              <w:jc w:val="center"/>
            </w:pPr>
            <w:r/>
            <w:r>
              <w:rPr>
                <w:rFonts w:ascii="Calibri" w:hAnsi="Calibri"/>
                <w:b/>
                <w:color w:val="C00000"/>
                <w:sz w:val="17"/>
              </w:rPr>
              <w:t>High</w:t>
            </w:r>
          </w:p>
        </w:tc>
        <w:tc>
          <w:tcPr>
            <w:tcW w:type="dxa" w:w="3600"/>
            <w:shd w:val="clear" w:color="auto" w:fill="FFFFFF"/>
          </w:tcPr>
          <w:p>
            <w:pPr>
              <w:jc w:val="left"/>
            </w:pPr>
            <w:r/>
            <w:r>
              <w:rPr>
                <w:rFonts w:ascii="Calibri" w:hAnsi="Calibri"/>
                <w:b w:val="0"/>
                <w:color w:val="404040"/>
                <w:sz w:val="17"/>
              </w:rPr>
              <w:t>Cross-training all squad members; comprehensive runbooks and architecture decision records (ADRs); contractor contingency budget approved; no single point of expertise.</w:t>
            </w:r>
          </w:p>
        </w:tc>
        <w:tc>
          <w:tcPr>
            <w:tcW w:type="dxa" w:w="1224"/>
            <w:shd w:val="clear" w:color="auto" w:fill="FFFFFF"/>
          </w:tcPr>
          <w:p>
            <w:pPr>
              <w:jc w:val="left"/>
            </w:pPr>
            <w:r/>
            <w:r>
              <w:rPr>
                <w:rFonts w:ascii="Calibri" w:hAnsi="Calibri"/>
                <w:b w:val="0"/>
                <w:color w:val="404040"/>
                <w:sz w:val="17"/>
              </w:rPr>
              <w:t>Programme Manager</w:t>
            </w:r>
          </w:p>
        </w:tc>
      </w:tr>
      <w:tr>
        <w:tc>
          <w:tcPr>
            <w:tcW w:type="dxa" w:w="648"/>
            <w:shd w:val="clear" w:color="auto" w:fill="EDF2F8"/>
          </w:tcPr>
          <w:p>
            <w:pPr>
              <w:jc w:val="left"/>
            </w:pPr>
            <w:r/>
            <w:r>
              <w:rPr>
                <w:rFonts w:ascii="Calibri" w:hAnsi="Calibri"/>
                <w:b w:val="0"/>
                <w:color w:val="404040"/>
                <w:sz w:val="17"/>
              </w:rPr>
              <w:t>R-08</w:t>
            </w:r>
          </w:p>
        </w:tc>
        <w:tc>
          <w:tcPr>
            <w:tcW w:type="dxa" w:w="2448"/>
            <w:shd w:val="clear" w:color="auto" w:fill="EDF2F8"/>
          </w:tcPr>
          <w:p>
            <w:pPr>
              <w:jc w:val="left"/>
            </w:pPr>
            <w:r/>
            <w:r>
              <w:rPr>
                <w:rFonts w:ascii="Calibri" w:hAnsi="Calibri"/>
                <w:b w:val="0"/>
                <w:color w:val="404040"/>
                <w:sz w:val="17"/>
              </w:rPr>
              <w:t>Scope creep leading to timeline slippage</w:t>
            </w:r>
          </w:p>
        </w:tc>
        <w:tc>
          <w:tcPr>
            <w:tcW w:type="dxa" w:w="1224"/>
            <w:shd w:val="clear" w:color="auto" w:fill="EDF2F8"/>
          </w:tcPr>
          <w:p>
            <w:pPr>
              <w:jc w:val="left"/>
            </w:pPr>
            <w:r/>
            <w:r>
              <w:rPr>
                <w:rFonts w:ascii="Calibri" w:hAnsi="Calibri"/>
                <w:b w:val="0"/>
                <w:color w:val="404040"/>
                <w:sz w:val="17"/>
              </w:rPr>
              <w:t>Operational</w:t>
            </w:r>
          </w:p>
        </w:tc>
        <w:tc>
          <w:tcPr>
            <w:tcW w:type="dxa" w:w="1080"/>
            <w:shd w:val="clear" w:color="auto" w:fill="FFE0E0"/>
          </w:tcPr>
          <w:p>
            <w:pPr>
              <w:jc w:val="center"/>
            </w:pPr>
            <w:r/>
            <w:r>
              <w:rPr>
                <w:rFonts w:ascii="Calibri" w:hAnsi="Calibri"/>
                <w:b/>
                <w:color w:val="C00000"/>
                <w:sz w:val="17"/>
              </w:rPr>
              <w:t>High</w:t>
            </w:r>
          </w:p>
        </w:tc>
        <w:tc>
          <w:tcPr>
            <w:tcW w:type="dxa" w:w="936"/>
            <w:shd w:val="clear" w:color="auto" w:fill="FFF2CC"/>
          </w:tcPr>
          <w:p>
            <w:pPr>
              <w:jc w:val="center"/>
            </w:pPr>
            <w:r/>
            <w:r>
              <w:rPr>
                <w:rFonts w:ascii="Calibri" w:hAnsi="Calibri"/>
                <w:b/>
                <w:color w:val="E26B0A"/>
                <w:sz w:val="17"/>
              </w:rPr>
              <w:t>Medium</w:t>
            </w:r>
          </w:p>
        </w:tc>
        <w:tc>
          <w:tcPr>
            <w:tcW w:type="dxa" w:w="1008"/>
            <w:shd w:val="clear" w:color="auto" w:fill="FFE0E0"/>
          </w:tcPr>
          <w:p>
            <w:pPr>
              <w:jc w:val="center"/>
            </w:pPr>
            <w:r/>
            <w:r>
              <w:rPr>
                <w:rFonts w:ascii="Calibri" w:hAnsi="Calibri"/>
                <w:b/>
                <w:color w:val="C00000"/>
                <w:sz w:val="17"/>
              </w:rPr>
              <w:t>High</w:t>
            </w:r>
          </w:p>
        </w:tc>
        <w:tc>
          <w:tcPr>
            <w:tcW w:type="dxa" w:w="3600"/>
            <w:shd w:val="clear" w:color="auto" w:fill="EDF2F8"/>
          </w:tcPr>
          <w:p>
            <w:pPr>
              <w:jc w:val="left"/>
            </w:pPr>
            <w:r/>
            <w:r>
              <w:rPr>
                <w:rFonts w:ascii="Calibri" w:hAnsi="Calibri"/>
                <w:b w:val="0"/>
                <w:color w:val="404040"/>
                <w:sz w:val="17"/>
              </w:rPr>
              <w:t>Strict change control board process; phase gate reviews with formal scope confirmation; MoSCoW prioritisation applied to all backlog items; monthly steering committee oversight.</w:t>
            </w:r>
          </w:p>
        </w:tc>
        <w:tc>
          <w:tcPr>
            <w:tcW w:type="dxa" w:w="1224"/>
            <w:shd w:val="clear" w:color="auto" w:fill="EDF2F8"/>
          </w:tcPr>
          <w:p>
            <w:pPr>
              <w:jc w:val="left"/>
            </w:pPr>
            <w:r/>
            <w:r>
              <w:rPr>
                <w:rFonts w:ascii="Calibri" w:hAnsi="Calibri"/>
                <w:b w:val="0"/>
                <w:color w:val="404040"/>
                <w:sz w:val="17"/>
              </w:rPr>
              <w:t>Programme Manager</w:t>
            </w:r>
          </w:p>
        </w:tc>
      </w:tr>
      <w:tr>
        <w:tc>
          <w:tcPr>
            <w:tcW w:type="dxa" w:w="648"/>
            <w:shd w:val="clear" w:color="auto" w:fill="FFFFFF"/>
          </w:tcPr>
          <w:p>
            <w:pPr>
              <w:jc w:val="left"/>
            </w:pPr>
            <w:r/>
            <w:r>
              <w:rPr>
                <w:rFonts w:ascii="Calibri" w:hAnsi="Calibri"/>
                <w:b w:val="0"/>
                <w:color w:val="404040"/>
                <w:sz w:val="17"/>
              </w:rPr>
              <w:t>R-09</w:t>
            </w:r>
          </w:p>
        </w:tc>
        <w:tc>
          <w:tcPr>
            <w:tcW w:type="dxa" w:w="2448"/>
            <w:shd w:val="clear" w:color="auto" w:fill="FFFFFF"/>
          </w:tcPr>
          <w:p>
            <w:pPr>
              <w:jc w:val="left"/>
            </w:pPr>
            <w:r/>
            <w:r>
              <w:rPr>
                <w:rFonts w:ascii="Calibri" w:hAnsi="Calibri"/>
                <w:b w:val="0"/>
                <w:color w:val="404040"/>
                <w:sz w:val="17"/>
              </w:rPr>
              <w:t>Third-party vendor delays (AWS, Kong, Confluent licensing)</w:t>
            </w:r>
          </w:p>
        </w:tc>
        <w:tc>
          <w:tcPr>
            <w:tcW w:type="dxa" w:w="1224"/>
            <w:shd w:val="clear" w:color="auto" w:fill="FFFFFF"/>
          </w:tcPr>
          <w:p>
            <w:pPr>
              <w:jc w:val="left"/>
            </w:pPr>
            <w:r/>
            <w:r>
              <w:rPr>
                <w:rFonts w:ascii="Calibri" w:hAnsi="Calibri"/>
                <w:b w:val="0"/>
                <w:color w:val="404040"/>
                <w:sz w:val="17"/>
              </w:rPr>
              <w:t>Operational</w:t>
            </w:r>
          </w:p>
        </w:tc>
        <w:tc>
          <w:tcPr>
            <w:tcW w:type="dxa" w:w="1080"/>
            <w:shd w:val="clear" w:color="auto" w:fill="E2EFDA"/>
          </w:tcPr>
          <w:p>
            <w:pPr>
              <w:jc w:val="center"/>
            </w:pPr>
            <w:r/>
            <w:r>
              <w:rPr>
                <w:rFonts w:ascii="Calibri" w:hAnsi="Calibri"/>
                <w:b/>
                <w:color w:val="378610"/>
                <w:sz w:val="17"/>
              </w:rPr>
              <w:t>Low</w:t>
            </w:r>
          </w:p>
        </w:tc>
        <w:tc>
          <w:tcPr>
            <w:tcW w:type="dxa" w:w="936"/>
            <w:shd w:val="clear" w:color="auto" w:fill="FFF2CC"/>
          </w:tcPr>
          <w:p>
            <w:pPr>
              <w:jc w:val="center"/>
            </w:pPr>
            <w:r/>
            <w:r>
              <w:rPr>
                <w:rFonts w:ascii="Calibri" w:hAnsi="Calibri"/>
                <w:b/>
                <w:color w:val="E26B0A"/>
                <w:sz w:val="17"/>
              </w:rPr>
              <w:t>Medium</w:t>
            </w:r>
          </w:p>
        </w:tc>
        <w:tc>
          <w:tcPr>
            <w:tcW w:type="dxa" w:w="1008"/>
            <w:shd w:val="clear" w:color="auto" w:fill="E2EFDA"/>
          </w:tcPr>
          <w:p>
            <w:pPr>
              <w:jc w:val="center"/>
            </w:pPr>
            <w:r/>
            <w:r>
              <w:rPr>
                <w:rFonts w:ascii="Calibri" w:hAnsi="Calibri"/>
                <w:b/>
                <w:color w:val="378610"/>
                <w:sz w:val="17"/>
              </w:rPr>
              <w:t>Low</w:t>
            </w:r>
          </w:p>
        </w:tc>
        <w:tc>
          <w:tcPr>
            <w:tcW w:type="dxa" w:w="3600"/>
            <w:shd w:val="clear" w:color="auto" w:fill="FFFFFF"/>
          </w:tcPr>
          <w:p>
            <w:pPr>
              <w:jc w:val="left"/>
            </w:pPr>
            <w:r/>
            <w:r>
              <w:rPr>
                <w:rFonts w:ascii="Calibri" w:hAnsi="Calibri"/>
                <w:b w:val="0"/>
                <w:color w:val="404040"/>
                <w:sz w:val="17"/>
              </w:rPr>
              <w:t>Vendor contracts finalised in Phase 0; multi-vendor contingency (e.g., self-hosted Kafka as fallback for MSK); vendor SLA review monthly.</w:t>
            </w:r>
          </w:p>
        </w:tc>
        <w:tc>
          <w:tcPr>
            <w:tcW w:type="dxa" w:w="1224"/>
            <w:shd w:val="clear" w:color="auto" w:fill="FFFFFF"/>
          </w:tcPr>
          <w:p>
            <w:pPr>
              <w:jc w:val="left"/>
            </w:pPr>
            <w:r/>
            <w:r>
              <w:rPr>
                <w:rFonts w:ascii="Calibri" w:hAnsi="Calibri"/>
                <w:b w:val="0"/>
                <w:color w:val="404040"/>
                <w:sz w:val="17"/>
              </w:rPr>
              <w:t>Programme Manager</w:t>
            </w:r>
          </w:p>
        </w:tc>
      </w:tr>
      <w:tr>
        <w:tc>
          <w:tcPr>
            <w:tcW w:type="dxa" w:w="648"/>
            <w:shd w:val="clear" w:color="auto" w:fill="EDF2F8"/>
          </w:tcPr>
          <w:p>
            <w:pPr>
              <w:jc w:val="left"/>
            </w:pPr>
            <w:r/>
            <w:r>
              <w:rPr>
                <w:rFonts w:ascii="Calibri" w:hAnsi="Calibri"/>
                <w:b w:val="0"/>
                <w:color w:val="404040"/>
                <w:sz w:val="17"/>
              </w:rPr>
              <w:t>R-10</w:t>
            </w:r>
          </w:p>
        </w:tc>
        <w:tc>
          <w:tcPr>
            <w:tcW w:type="dxa" w:w="2448"/>
            <w:shd w:val="clear" w:color="auto" w:fill="EDF2F8"/>
          </w:tcPr>
          <w:p>
            <w:pPr>
              <w:jc w:val="left"/>
            </w:pPr>
            <w:r/>
            <w:r>
              <w:rPr>
                <w:rFonts w:ascii="Calibri" w:hAnsi="Calibri"/>
                <w:b w:val="0"/>
                <w:color w:val="404040"/>
                <w:sz w:val="17"/>
              </w:rPr>
              <w:t>Inadequate monitoring leading to undetected production issues post cut-over</w:t>
            </w:r>
          </w:p>
        </w:tc>
        <w:tc>
          <w:tcPr>
            <w:tcW w:type="dxa" w:w="1224"/>
            <w:shd w:val="clear" w:color="auto" w:fill="EDF2F8"/>
          </w:tcPr>
          <w:p>
            <w:pPr>
              <w:jc w:val="left"/>
            </w:pPr>
            <w:r/>
            <w:r>
              <w:rPr>
                <w:rFonts w:ascii="Calibri" w:hAnsi="Calibri"/>
                <w:b w:val="0"/>
                <w:color w:val="404040"/>
                <w:sz w:val="17"/>
              </w:rPr>
              <w:t>Operational</w:t>
            </w:r>
          </w:p>
        </w:tc>
        <w:tc>
          <w:tcPr>
            <w:tcW w:type="dxa" w:w="1080"/>
            <w:shd w:val="clear" w:color="auto" w:fill="FFF2CC"/>
          </w:tcPr>
          <w:p>
            <w:pPr>
              <w:jc w:val="center"/>
            </w:pPr>
            <w:r/>
            <w:r>
              <w:rPr>
                <w:rFonts w:ascii="Calibri" w:hAnsi="Calibri"/>
                <w:b/>
                <w:color w:val="E26B0A"/>
                <w:sz w:val="17"/>
              </w:rPr>
              <w:t>Medium</w:t>
            </w:r>
          </w:p>
        </w:tc>
        <w:tc>
          <w:tcPr>
            <w:tcW w:type="dxa" w:w="936"/>
            <w:shd w:val="clear" w:color="auto" w:fill="FFE0E0"/>
          </w:tcPr>
          <w:p>
            <w:pPr>
              <w:jc w:val="center"/>
            </w:pPr>
            <w:r/>
            <w:r>
              <w:rPr>
                <w:rFonts w:ascii="Calibri" w:hAnsi="Calibri"/>
                <w:b/>
                <w:color w:val="C00000"/>
                <w:sz w:val="17"/>
              </w:rPr>
              <w:t>High</w:t>
            </w:r>
          </w:p>
        </w:tc>
        <w:tc>
          <w:tcPr>
            <w:tcW w:type="dxa" w:w="1008"/>
            <w:shd w:val="clear" w:color="auto" w:fill="FFE0E0"/>
          </w:tcPr>
          <w:p>
            <w:pPr>
              <w:jc w:val="center"/>
            </w:pPr>
            <w:r/>
            <w:r>
              <w:rPr>
                <w:rFonts w:ascii="Calibri" w:hAnsi="Calibri"/>
                <w:b/>
                <w:color w:val="C00000"/>
                <w:sz w:val="17"/>
              </w:rPr>
              <w:t>High</w:t>
            </w:r>
          </w:p>
        </w:tc>
        <w:tc>
          <w:tcPr>
            <w:tcW w:type="dxa" w:w="3600"/>
            <w:shd w:val="clear" w:color="auto" w:fill="EDF2F8"/>
          </w:tcPr>
          <w:p>
            <w:pPr>
              <w:jc w:val="left"/>
            </w:pPr>
            <w:r/>
            <w:r>
              <w:rPr>
                <w:rFonts w:ascii="Calibri" w:hAnsi="Calibri"/>
                <w:b w:val="0"/>
                <w:color w:val="404040"/>
                <w:sz w:val="17"/>
              </w:rPr>
              <w:t>30-day hyper-care period with 24/7 on-call rotation; pre-defined runbooks for all alert types; SLO/SLA dashboards visible to all stakeholders; automated anomaly detection (Grafana).</w:t>
            </w:r>
          </w:p>
        </w:tc>
        <w:tc>
          <w:tcPr>
            <w:tcW w:type="dxa" w:w="1224"/>
            <w:shd w:val="clear" w:color="auto" w:fill="EDF2F8"/>
          </w:tcPr>
          <w:p>
            <w:pPr>
              <w:jc w:val="left"/>
            </w:pPr>
            <w:r/>
            <w:r>
              <w:rPr>
                <w:rFonts w:ascii="Calibri" w:hAnsi="Calibri"/>
                <w:b w:val="0"/>
                <w:color w:val="404040"/>
                <w:sz w:val="17"/>
              </w:rPr>
              <w:t>SRE Lead</w:t>
            </w:r>
          </w:p>
        </w:tc>
      </w:tr>
      <w:tr>
        <w:tc>
          <w:tcPr>
            <w:tcW w:type="dxa" w:w="648"/>
            <w:shd w:val="clear" w:color="auto" w:fill="FFFFFF"/>
          </w:tcPr>
          <w:p>
            <w:pPr>
              <w:jc w:val="left"/>
            </w:pPr>
            <w:r/>
            <w:r>
              <w:rPr>
                <w:rFonts w:ascii="Calibri" w:hAnsi="Calibri"/>
                <w:b w:val="0"/>
                <w:color w:val="404040"/>
                <w:sz w:val="17"/>
              </w:rPr>
              <w:t>R-11</w:t>
            </w:r>
          </w:p>
        </w:tc>
        <w:tc>
          <w:tcPr>
            <w:tcW w:type="dxa" w:w="2448"/>
            <w:shd w:val="clear" w:color="auto" w:fill="FFFFFF"/>
          </w:tcPr>
          <w:p>
            <w:pPr>
              <w:jc w:val="left"/>
            </w:pPr>
            <w:r/>
            <w:r>
              <w:rPr>
                <w:rFonts w:ascii="Calibri" w:hAnsi="Calibri"/>
                <w:b w:val="0"/>
                <w:color w:val="404040"/>
                <w:sz w:val="17"/>
              </w:rPr>
              <w:t>Business disruption during traffic cut-over</w:t>
            </w:r>
          </w:p>
        </w:tc>
        <w:tc>
          <w:tcPr>
            <w:tcW w:type="dxa" w:w="1224"/>
            <w:shd w:val="clear" w:color="auto" w:fill="FFFFFF"/>
          </w:tcPr>
          <w:p>
            <w:pPr>
              <w:jc w:val="left"/>
            </w:pPr>
            <w:r/>
            <w:r>
              <w:rPr>
                <w:rFonts w:ascii="Calibri" w:hAnsi="Calibri"/>
                <w:b w:val="0"/>
                <w:color w:val="404040"/>
                <w:sz w:val="17"/>
              </w:rPr>
              <w:t>Business</w:t>
            </w:r>
          </w:p>
        </w:tc>
        <w:tc>
          <w:tcPr>
            <w:tcW w:type="dxa" w:w="1080"/>
            <w:shd w:val="clear" w:color="auto" w:fill="FFF2CC"/>
          </w:tcPr>
          <w:p>
            <w:pPr>
              <w:jc w:val="center"/>
            </w:pPr>
            <w:r/>
            <w:r>
              <w:rPr>
                <w:rFonts w:ascii="Calibri" w:hAnsi="Calibri"/>
                <w:b/>
                <w:color w:val="E26B0A"/>
                <w:sz w:val="17"/>
              </w:rPr>
              <w:t>Medium</w:t>
            </w:r>
          </w:p>
        </w:tc>
        <w:tc>
          <w:tcPr>
            <w:tcW w:type="dxa" w:w="936"/>
            <w:shd w:val="clear" w:color="auto" w:fill="FFE0E0"/>
          </w:tcPr>
          <w:p>
            <w:pPr>
              <w:jc w:val="center"/>
            </w:pPr>
            <w:r/>
            <w:r>
              <w:rPr>
                <w:rFonts w:ascii="Calibri" w:hAnsi="Calibri"/>
                <w:b/>
                <w:color w:val="C00000"/>
                <w:sz w:val="17"/>
              </w:rPr>
              <w:t>High</w:t>
            </w:r>
          </w:p>
        </w:tc>
        <w:tc>
          <w:tcPr>
            <w:tcW w:type="dxa" w:w="1008"/>
            <w:shd w:val="clear" w:color="auto" w:fill="FFE0E0"/>
          </w:tcPr>
          <w:p>
            <w:pPr>
              <w:jc w:val="center"/>
            </w:pPr>
            <w:r/>
            <w:r>
              <w:rPr>
                <w:rFonts w:ascii="Calibri" w:hAnsi="Calibri"/>
                <w:b/>
                <w:color w:val="C00000"/>
                <w:sz w:val="17"/>
              </w:rPr>
              <w:t>High</w:t>
            </w:r>
          </w:p>
        </w:tc>
        <w:tc>
          <w:tcPr>
            <w:tcW w:type="dxa" w:w="3600"/>
            <w:shd w:val="clear" w:color="auto" w:fill="FFFFFF"/>
          </w:tcPr>
          <w:p>
            <w:pPr>
              <w:jc w:val="left"/>
            </w:pPr>
            <w:r/>
            <w:r>
              <w:rPr>
                <w:rFonts w:ascii="Calibri" w:hAnsi="Calibri"/>
                <w:b w:val="0"/>
                <w:color w:val="404040"/>
                <w:sz w:val="17"/>
              </w:rPr>
              <w:t>Canary deployments (5%→25%→100%); feature flags for instant rollback; cut-overs scheduled during lowest-traffic windows (Sunday 02:00–04:00); business stakeholder sign-off mandatory.</w:t>
            </w:r>
          </w:p>
        </w:tc>
        <w:tc>
          <w:tcPr>
            <w:tcW w:type="dxa" w:w="1224"/>
            <w:shd w:val="clear" w:color="auto" w:fill="FFFFFF"/>
          </w:tcPr>
          <w:p>
            <w:pPr>
              <w:jc w:val="left"/>
            </w:pPr>
            <w:r/>
            <w:r>
              <w:rPr>
                <w:rFonts w:ascii="Calibri" w:hAnsi="Calibri"/>
                <w:b w:val="0"/>
                <w:color w:val="404040"/>
                <w:sz w:val="17"/>
              </w:rPr>
              <w:t>Programme Manager</w:t>
            </w:r>
          </w:p>
        </w:tc>
      </w:tr>
      <w:tr>
        <w:tc>
          <w:tcPr>
            <w:tcW w:type="dxa" w:w="648"/>
            <w:shd w:val="clear" w:color="auto" w:fill="EDF2F8"/>
          </w:tcPr>
          <w:p>
            <w:pPr>
              <w:jc w:val="left"/>
            </w:pPr>
            <w:r/>
            <w:r>
              <w:rPr>
                <w:rFonts w:ascii="Calibri" w:hAnsi="Calibri"/>
                <w:b w:val="0"/>
                <w:color w:val="404040"/>
                <w:sz w:val="17"/>
              </w:rPr>
              <w:t>R-12</w:t>
            </w:r>
          </w:p>
        </w:tc>
        <w:tc>
          <w:tcPr>
            <w:tcW w:type="dxa" w:w="2448"/>
            <w:shd w:val="clear" w:color="auto" w:fill="EDF2F8"/>
          </w:tcPr>
          <w:p>
            <w:pPr>
              <w:jc w:val="left"/>
            </w:pPr>
            <w:r/>
            <w:r>
              <w:rPr>
                <w:rFonts w:ascii="Calibri" w:hAnsi="Calibri"/>
                <w:b w:val="0"/>
                <w:color w:val="404040"/>
                <w:sz w:val="17"/>
              </w:rPr>
              <w:t>Regulatory non-compliance (GDPR, PCI-DSS) during data migration</w:t>
            </w:r>
          </w:p>
        </w:tc>
        <w:tc>
          <w:tcPr>
            <w:tcW w:type="dxa" w:w="1224"/>
            <w:shd w:val="clear" w:color="auto" w:fill="EDF2F8"/>
          </w:tcPr>
          <w:p>
            <w:pPr>
              <w:jc w:val="left"/>
            </w:pPr>
            <w:r/>
            <w:r>
              <w:rPr>
                <w:rFonts w:ascii="Calibri" w:hAnsi="Calibri"/>
                <w:b w:val="0"/>
                <w:color w:val="404040"/>
                <w:sz w:val="17"/>
              </w:rPr>
              <w:t>Business</w:t>
            </w:r>
          </w:p>
        </w:tc>
        <w:tc>
          <w:tcPr>
            <w:tcW w:type="dxa" w:w="1080"/>
            <w:shd w:val="clear" w:color="auto" w:fill="E2EFDA"/>
          </w:tcPr>
          <w:p>
            <w:pPr>
              <w:jc w:val="center"/>
            </w:pPr>
            <w:r/>
            <w:r>
              <w:rPr>
                <w:rFonts w:ascii="Calibri" w:hAnsi="Calibri"/>
                <w:b/>
                <w:color w:val="378610"/>
                <w:sz w:val="17"/>
              </w:rPr>
              <w:t>Low</w:t>
            </w:r>
          </w:p>
        </w:tc>
        <w:tc>
          <w:tcPr>
            <w:tcW w:type="dxa" w:w="936"/>
            <w:shd w:val="clear" w:color="auto" w:fill="FFE0E0"/>
          </w:tcPr>
          <w:p>
            <w:pPr>
              <w:jc w:val="center"/>
            </w:pPr>
            <w:r/>
            <w:r>
              <w:rPr>
                <w:rFonts w:ascii="Calibri" w:hAnsi="Calibri"/>
                <w:b/>
                <w:color w:val="C00000"/>
                <w:sz w:val="17"/>
              </w:rPr>
              <w:t>High</w:t>
            </w:r>
          </w:p>
        </w:tc>
        <w:tc>
          <w:tcPr>
            <w:tcW w:type="dxa" w:w="1008"/>
            <w:shd w:val="clear" w:color="auto" w:fill="FFF2CC"/>
          </w:tcPr>
          <w:p>
            <w:pPr>
              <w:jc w:val="center"/>
            </w:pPr>
            <w:r/>
            <w:r>
              <w:rPr>
                <w:rFonts w:ascii="Calibri" w:hAnsi="Calibri"/>
                <w:b/>
                <w:color w:val="E26B0A"/>
                <w:sz w:val="17"/>
              </w:rPr>
              <w:t>Medium</w:t>
            </w:r>
          </w:p>
        </w:tc>
        <w:tc>
          <w:tcPr>
            <w:tcW w:type="dxa" w:w="3600"/>
            <w:shd w:val="clear" w:color="auto" w:fill="EDF2F8"/>
          </w:tcPr>
          <w:p>
            <w:pPr>
              <w:jc w:val="left"/>
            </w:pPr>
            <w:r/>
            <w:r>
              <w:rPr>
                <w:rFonts w:ascii="Calibri" w:hAnsi="Calibri"/>
                <w:b w:val="0"/>
                <w:color w:val="404040"/>
                <w:sz w:val="17"/>
              </w:rPr>
              <w:t>Data Protection Officer engaged from Phase 0; GDPR data mapping completed before migration; PCI-DSS QSA assessment in Phase 4; all PII encrypted in-transit and at-rest via AWS KMS.</w:t>
            </w:r>
          </w:p>
        </w:tc>
        <w:tc>
          <w:tcPr>
            <w:tcW w:type="dxa" w:w="1224"/>
            <w:shd w:val="clear" w:color="auto" w:fill="EDF2F8"/>
          </w:tcPr>
          <w:p>
            <w:pPr>
              <w:jc w:val="left"/>
            </w:pPr>
            <w:r/>
            <w:r>
              <w:rPr>
                <w:rFonts w:ascii="Calibri" w:hAnsi="Calibri"/>
                <w:b w:val="0"/>
                <w:color w:val="404040"/>
                <w:sz w:val="17"/>
              </w:rPr>
              <w:t>Compliance Officer</w:t>
            </w:r>
          </w:p>
        </w:tc>
      </w:tr>
      <w:tr>
        <w:tc>
          <w:tcPr>
            <w:tcW w:type="dxa" w:w="648"/>
            <w:shd w:val="clear" w:color="auto" w:fill="FFFFFF"/>
          </w:tcPr>
          <w:p>
            <w:pPr>
              <w:jc w:val="left"/>
            </w:pPr>
            <w:r/>
            <w:r>
              <w:rPr>
                <w:rFonts w:ascii="Calibri" w:hAnsi="Calibri"/>
                <w:b w:val="0"/>
                <w:color w:val="404040"/>
                <w:sz w:val="17"/>
              </w:rPr>
              <w:t>R-13</w:t>
            </w:r>
          </w:p>
        </w:tc>
        <w:tc>
          <w:tcPr>
            <w:tcW w:type="dxa" w:w="2448"/>
            <w:shd w:val="clear" w:color="auto" w:fill="FFFFFF"/>
          </w:tcPr>
          <w:p>
            <w:pPr>
              <w:jc w:val="left"/>
            </w:pPr>
            <w:r/>
            <w:r>
              <w:rPr>
                <w:rFonts w:ascii="Calibri" w:hAnsi="Calibri"/>
                <w:b w:val="0"/>
                <w:color w:val="404040"/>
                <w:sz w:val="17"/>
              </w:rPr>
              <w:t>Stakeholder resistance and adoption challenges</w:t>
            </w:r>
          </w:p>
        </w:tc>
        <w:tc>
          <w:tcPr>
            <w:tcW w:type="dxa" w:w="1224"/>
            <w:shd w:val="clear" w:color="auto" w:fill="FFFFFF"/>
          </w:tcPr>
          <w:p>
            <w:pPr>
              <w:jc w:val="left"/>
            </w:pPr>
            <w:r/>
            <w:r>
              <w:rPr>
                <w:rFonts w:ascii="Calibri" w:hAnsi="Calibri"/>
                <w:b w:val="0"/>
                <w:color w:val="404040"/>
                <w:sz w:val="17"/>
              </w:rPr>
              <w:t>Business</w:t>
            </w:r>
          </w:p>
        </w:tc>
        <w:tc>
          <w:tcPr>
            <w:tcW w:type="dxa" w:w="1080"/>
            <w:shd w:val="clear" w:color="auto" w:fill="FFF2CC"/>
          </w:tcPr>
          <w:p>
            <w:pPr>
              <w:jc w:val="center"/>
            </w:pPr>
            <w:r/>
            <w:r>
              <w:rPr>
                <w:rFonts w:ascii="Calibri" w:hAnsi="Calibri"/>
                <w:b/>
                <w:color w:val="E26B0A"/>
                <w:sz w:val="17"/>
              </w:rPr>
              <w:t>Medium</w:t>
            </w:r>
          </w:p>
        </w:tc>
        <w:tc>
          <w:tcPr>
            <w:tcW w:type="dxa" w:w="936"/>
            <w:shd w:val="clear" w:color="auto" w:fill="FFF2CC"/>
          </w:tcPr>
          <w:p>
            <w:pPr>
              <w:jc w:val="center"/>
            </w:pPr>
            <w:r/>
            <w:r>
              <w:rPr>
                <w:rFonts w:ascii="Calibri" w:hAnsi="Calibri"/>
                <w:b/>
                <w:color w:val="E26B0A"/>
                <w:sz w:val="17"/>
              </w:rPr>
              <w:t>Medium</w:t>
            </w:r>
          </w:p>
        </w:tc>
        <w:tc>
          <w:tcPr>
            <w:tcW w:type="dxa" w:w="1008"/>
            <w:shd w:val="clear" w:color="auto" w:fill="FFF2CC"/>
          </w:tcPr>
          <w:p>
            <w:pPr>
              <w:jc w:val="center"/>
            </w:pPr>
            <w:r/>
            <w:r>
              <w:rPr>
                <w:rFonts w:ascii="Calibri" w:hAnsi="Calibri"/>
                <w:b/>
                <w:color w:val="E26B0A"/>
                <w:sz w:val="17"/>
              </w:rPr>
              <w:t>Medium</w:t>
            </w:r>
          </w:p>
        </w:tc>
        <w:tc>
          <w:tcPr>
            <w:tcW w:type="dxa" w:w="3600"/>
            <w:shd w:val="clear" w:color="auto" w:fill="FFFFFF"/>
          </w:tcPr>
          <w:p>
            <w:pPr>
              <w:jc w:val="left"/>
            </w:pPr>
            <w:r/>
            <w:r>
              <w:rPr>
                <w:rFonts w:ascii="Calibri" w:hAnsi="Calibri"/>
                <w:b w:val="0"/>
                <w:color w:val="404040"/>
                <w:sz w:val="17"/>
              </w:rPr>
              <w:t>Executive sponsor communications plan; monthly all-hands progress updates; developer experience workshops; clear articulation of benefits per team; early wins communicated broadly.</w:t>
            </w:r>
          </w:p>
        </w:tc>
        <w:tc>
          <w:tcPr>
            <w:tcW w:type="dxa" w:w="1224"/>
            <w:shd w:val="clear" w:color="auto" w:fill="FFFFFF"/>
          </w:tcPr>
          <w:p>
            <w:pPr>
              <w:jc w:val="left"/>
            </w:pPr>
            <w:r/>
            <w:r>
              <w:rPr>
                <w:rFonts w:ascii="Calibri" w:hAnsi="Calibri"/>
                <w:b w:val="0"/>
                <w:color w:val="404040"/>
                <w:sz w:val="17"/>
              </w:rPr>
              <w:t>Programme Manager</w:t>
            </w:r>
          </w:p>
        </w:tc>
      </w:tr>
      <w:tr>
        <w:tc>
          <w:tcPr>
            <w:tcW w:type="dxa" w:w="648"/>
            <w:shd w:val="clear" w:color="auto" w:fill="EDF2F8"/>
          </w:tcPr>
          <w:p>
            <w:pPr>
              <w:jc w:val="left"/>
            </w:pPr>
            <w:r/>
            <w:r>
              <w:rPr>
                <w:rFonts w:ascii="Calibri" w:hAnsi="Calibri"/>
                <w:b w:val="0"/>
                <w:color w:val="404040"/>
                <w:sz w:val="17"/>
              </w:rPr>
              <w:t>R-14</w:t>
            </w:r>
          </w:p>
        </w:tc>
        <w:tc>
          <w:tcPr>
            <w:tcW w:type="dxa" w:w="2448"/>
            <w:shd w:val="clear" w:color="auto" w:fill="EDF2F8"/>
          </w:tcPr>
          <w:p>
            <w:pPr>
              <w:jc w:val="left"/>
            </w:pPr>
            <w:r/>
            <w:r>
              <w:rPr>
                <w:rFonts w:ascii="Calibri" w:hAnsi="Calibri"/>
                <w:b w:val="0"/>
                <w:color w:val="404040"/>
                <w:sz w:val="17"/>
              </w:rPr>
              <w:t>Legacy Oracle ESB decommission dependency blocking migration timeline</w:t>
            </w:r>
          </w:p>
        </w:tc>
        <w:tc>
          <w:tcPr>
            <w:tcW w:type="dxa" w:w="1224"/>
            <w:shd w:val="clear" w:color="auto" w:fill="EDF2F8"/>
          </w:tcPr>
          <w:p>
            <w:pPr>
              <w:jc w:val="left"/>
            </w:pPr>
            <w:r/>
            <w:r>
              <w:rPr>
                <w:rFonts w:ascii="Calibri" w:hAnsi="Calibri"/>
                <w:b w:val="0"/>
                <w:color w:val="404040"/>
                <w:sz w:val="17"/>
              </w:rPr>
              <w:t>Technical</w:t>
            </w:r>
          </w:p>
        </w:tc>
        <w:tc>
          <w:tcPr>
            <w:tcW w:type="dxa" w:w="1080"/>
            <w:shd w:val="clear" w:color="auto" w:fill="FFF2CC"/>
          </w:tcPr>
          <w:p>
            <w:pPr>
              <w:jc w:val="center"/>
            </w:pPr>
            <w:r/>
            <w:r>
              <w:rPr>
                <w:rFonts w:ascii="Calibri" w:hAnsi="Calibri"/>
                <w:b/>
                <w:color w:val="E26B0A"/>
                <w:sz w:val="17"/>
              </w:rPr>
              <w:t>Medium</w:t>
            </w:r>
          </w:p>
        </w:tc>
        <w:tc>
          <w:tcPr>
            <w:tcW w:type="dxa" w:w="936"/>
            <w:shd w:val="clear" w:color="auto" w:fill="FFF2CC"/>
          </w:tcPr>
          <w:p>
            <w:pPr>
              <w:jc w:val="center"/>
            </w:pPr>
            <w:r/>
            <w:r>
              <w:rPr>
                <w:rFonts w:ascii="Calibri" w:hAnsi="Calibri"/>
                <w:b/>
                <w:color w:val="E26B0A"/>
                <w:sz w:val="17"/>
              </w:rPr>
              <w:t>Medium</w:t>
            </w:r>
          </w:p>
        </w:tc>
        <w:tc>
          <w:tcPr>
            <w:tcW w:type="dxa" w:w="1008"/>
            <w:shd w:val="clear" w:color="auto" w:fill="FFF2CC"/>
          </w:tcPr>
          <w:p>
            <w:pPr>
              <w:jc w:val="center"/>
            </w:pPr>
            <w:r/>
            <w:r>
              <w:rPr>
                <w:rFonts w:ascii="Calibri" w:hAnsi="Calibri"/>
                <w:b/>
                <w:color w:val="E26B0A"/>
                <w:sz w:val="17"/>
              </w:rPr>
              <w:t>Medium</w:t>
            </w:r>
          </w:p>
        </w:tc>
        <w:tc>
          <w:tcPr>
            <w:tcW w:type="dxa" w:w="3600"/>
            <w:shd w:val="clear" w:color="auto" w:fill="EDF2F8"/>
          </w:tcPr>
          <w:p>
            <w:pPr>
              <w:jc w:val="left"/>
            </w:pPr>
            <w:r/>
            <w:r>
              <w:rPr>
                <w:rFonts w:ascii="Calibri" w:hAnsi="Calibri"/>
                <w:b w:val="0"/>
                <w:color w:val="404040"/>
                <w:sz w:val="17"/>
              </w:rPr>
              <w:t>Map all ESB integration flows in Phase 0; prioritise ESB route replacements in Phase 1 platform build; maintain ESB in parallel until all consumers migrated and validated.</w:t>
            </w:r>
          </w:p>
        </w:tc>
        <w:tc>
          <w:tcPr>
            <w:tcW w:type="dxa" w:w="1224"/>
            <w:shd w:val="clear" w:color="auto" w:fill="EDF2F8"/>
          </w:tcPr>
          <w:p>
            <w:pPr>
              <w:jc w:val="left"/>
            </w:pPr>
            <w:r/>
            <w:r>
              <w:rPr>
                <w:rFonts w:ascii="Calibri" w:hAnsi="Calibri"/>
                <w:b w:val="0"/>
                <w:color w:val="404040"/>
                <w:sz w:val="17"/>
              </w:rPr>
              <w:t>Integration Architect</w:t>
            </w:r>
          </w:p>
        </w:tc>
      </w:tr>
      <w:tr>
        <w:tc>
          <w:tcPr>
            <w:tcW w:type="dxa" w:w="648"/>
            <w:shd w:val="clear" w:color="auto" w:fill="FFFFFF"/>
          </w:tcPr>
          <w:p>
            <w:pPr>
              <w:jc w:val="left"/>
            </w:pPr>
            <w:r/>
            <w:r>
              <w:rPr>
                <w:rFonts w:ascii="Calibri" w:hAnsi="Calibri"/>
                <w:b w:val="0"/>
                <w:color w:val="404040"/>
                <w:sz w:val="17"/>
              </w:rPr>
              <w:t>R-15</w:t>
            </w:r>
          </w:p>
        </w:tc>
        <w:tc>
          <w:tcPr>
            <w:tcW w:type="dxa" w:w="2448"/>
            <w:shd w:val="clear" w:color="auto" w:fill="FFFFFF"/>
          </w:tcPr>
          <w:p>
            <w:pPr>
              <w:jc w:val="left"/>
            </w:pPr>
            <w:r/>
            <w:r>
              <w:rPr>
                <w:rFonts w:ascii="Calibri" w:hAnsi="Calibri"/>
                <w:b w:val="0"/>
                <w:color w:val="404040"/>
                <w:sz w:val="17"/>
              </w:rPr>
              <w:t>Cost overrun due to cloud infrastructure underestimation</w:t>
            </w:r>
          </w:p>
        </w:tc>
        <w:tc>
          <w:tcPr>
            <w:tcW w:type="dxa" w:w="1224"/>
            <w:shd w:val="clear" w:color="auto" w:fill="FFFFFF"/>
          </w:tcPr>
          <w:p>
            <w:pPr>
              <w:jc w:val="left"/>
            </w:pPr>
            <w:r/>
            <w:r>
              <w:rPr>
                <w:rFonts w:ascii="Calibri" w:hAnsi="Calibri"/>
                <w:b w:val="0"/>
                <w:color w:val="404040"/>
                <w:sz w:val="17"/>
              </w:rPr>
              <w:t>Business</w:t>
            </w:r>
          </w:p>
        </w:tc>
        <w:tc>
          <w:tcPr>
            <w:tcW w:type="dxa" w:w="1080"/>
            <w:shd w:val="clear" w:color="auto" w:fill="FFF2CC"/>
          </w:tcPr>
          <w:p>
            <w:pPr>
              <w:jc w:val="center"/>
            </w:pPr>
            <w:r/>
            <w:r>
              <w:rPr>
                <w:rFonts w:ascii="Calibri" w:hAnsi="Calibri"/>
                <w:b/>
                <w:color w:val="E26B0A"/>
                <w:sz w:val="17"/>
              </w:rPr>
              <w:t>Medium</w:t>
            </w:r>
          </w:p>
        </w:tc>
        <w:tc>
          <w:tcPr>
            <w:tcW w:type="dxa" w:w="936"/>
            <w:shd w:val="clear" w:color="auto" w:fill="FFF2CC"/>
          </w:tcPr>
          <w:p>
            <w:pPr>
              <w:jc w:val="center"/>
            </w:pPr>
            <w:r/>
            <w:r>
              <w:rPr>
                <w:rFonts w:ascii="Calibri" w:hAnsi="Calibri"/>
                <w:b/>
                <w:color w:val="E26B0A"/>
                <w:sz w:val="17"/>
              </w:rPr>
              <w:t>Medium</w:t>
            </w:r>
          </w:p>
        </w:tc>
        <w:tc>
          <w:tcPr>
            <w:tcW w:type="dxa" w:w="1008"/>
            <w:shd w:val="clear" w:color="auto" w:fill="FFF2CC"/>
          </w:tcPr>
          <w:p>
            <w:pPr>
              <w:jc w:val="center"/>
            </w:pPr>
            <w:r/>
            <w:r>
              <w:rPr>
                <w:rFonts w:ascii="Calibri" w:hAnsi="Calibri"/>
                <w:b/>
                <w:color w:val="E26B0A"/>
                <w:sz w:val="17"/>
              </w:rPr>
              <w:t>Medium</w:t>
            </w:r>
          </w:p>
        </w:tc>
        <w:tc>
          <w:tcPr>
            <w:tcW w:type="dxa" w:w="3600"/>
            <w:shd w:val="clear" w:color="auto" w:fill="FFFFFF"/>
          </w:tcPr>
          <w:p>
            <w:pPr>
              <w:jc w:val="left"/>
            </w:pPr>
            <w:r/>
            <w:r>
              <w:rPr>
                <w:rFonts w:ascii="Calibri" w:hAnsi="Calibri"/>
                <w:b w:val="0"/>
                <w:color w:val="404040"/>
                <w:sz w:val="17"/>
              </w:rPr>
              <w:t>FinOps review monthly with AWS Cost Explorer; reserved instances for baseline workloads; auto-scaling policies tuned to prevent idle over-provisioning; budget alerts at 80% threshold.</w:t>
            </w:r>
          </w:p>
        </w:tc>
        <w:tc>
          <w:tcPr>
            <w:tcW w:type="dxa" w:w="1224"/>
            <w:shd w:val="clear" w:color="auto" w:fill="FFFFFF"/>
          </w:tcPr>
          <w:p>
            <w:pPr>
              <w:jc w:val="left"/>
            </w:pPr>
            <w:r/>
            <w:r>
              <w:rPr>
                <w:rFonts w:ascii="Calibri" w:hAnsi="Calibri"/>
                <w:b w:val="0"/>
                <w:color w:val="404040"/>
                <w:sz w:val="17"/>
              </w:rPr>
              <w:t>Cloud FinOps Lead</w:t>
            </w:r>
          </w:p>
        </w:tc>
      </w:tr>
    </w:tbl>
    <w:p>
      <w:pPr>
        <w:spacing w:after="80"/>
      </w:pPr>
    </w:p>
    <w:p>
      <w:pPr>
        <w:spacing w:before="40" w:after="160"/>
      </w:pPr>
      <w:r>
        <w:rPr>
          <w:rFonts w:ascii="Calibri" w:hAnsi="Calibri"/>
          <w:i/>
          <w:color w:val="2E75B6"/>
          <w:sz w:val="17"/>
        </w:rPr>
        <w:t>Table 6.1 – Comprehensive Risk Assessment Matrix</w:t>
      </w:r>
    </w:p>
    <w:p>
      <w:r>
        <w:br w:type="page"/>
      </w:r>
    </w:p>
    <w:p>
      <w:pPr>
        <w:pStyle w:val="Heading1"/>
        <w:spacing w:before="280" w:after="120"/>
      </w:pPr>
      <w:r>
        <w:rPr>
          <w:rFonts w:ascii="Calibri" w:hAnsi="Calibri"/>
          <w:color w:val="1F3964"/>
          <w:sz w:val="32"/>
        </w:rPr>
        <w:t>7. Technical Considerations</w:t>
      </w:r>
    </w:p>
    <w:p>
      <w:pPr>
        <w:pStyle w:val="Heading2"/>
        <w:spacing w:before="200" w:after="120"/>
      </w:pPr>
      <w:r>
        <w:rPr>
          <w:rFonts w:ascii="Calibri" w:hAnsi="Calibri"/>
          <w:color w:val="2E75B6"/>
          <w:sz w:val="26"/>
        </w:rPr>
        <w:t>7.1  Service Communication Patterns</w:t>
      </w:r>
    </w:p>
    <w:p>
      <w:pPr>
        <w:spacing w:after="120" w:before="40"/>
      </w:pPr>
      <w:r>
        <w:rPr>
          <w:rFonts w:ascii="Calibri" w:hAnsi="Calibri"/>
          <w:b w:val="0"/>
          <w:i w:val="0"/>
          <w:color w:val="404040"/>
          <w:sz w:val="20"/>
        </w:rPr>
        <w:t>The architecture employs a hybrid communication model:</w:t>
      </w:r>
    </w:p>
    <w:p>
      <w:pPr>
        <w:pStyle w:val="ListBullet"/>
        <w:spacing w:after="60"/>
        <w:ind w:left="360"/>
      </w:pPr>
      <w:r>
        <w:rPr>
          <w:rFonts w:ascii="Calibri" w:hAnsi="Calibri"/>
          <w:color w:val="404040"/>
          <w:sz w:val="19"/>
        </w:rPr>
        <w:t>Synchronous (REST/gRPC): Used for real-time, request-response interactions where the caller requires an immediate result (e.g., Auth token validation, stock availability checks).  gRPC is preferred for internal high-frequency calls due to its binary serialisation efficiency (~7x smaller payload vs JSON) and native streaming support.</w:t>
      </w:r>
    </w:p>
    <w:p>
      <w:pPr>
        <w:pStyle w:val="ListBullet"/>
        <w:spacing w:after="60"/>
        <w:ind w:left="360"/>
      </w:pPr>
      <w:r>
        <w:rPr>
          <w:rFonts w:ascii="Calibri" w:hAnsi="Calibri"/>
          <w:color w:val="404040"/>
          <w:sz w:val="19"/>
        </w:rPr>
        <w:t>Asynchronous (Kafka Events): Used for domain events where eventual consistency is acceptable (e.g., order placed, payment completed). This decouples producers from consumers, improving resilience. All events carry a correlation ID for end-to-end tracing.</w:t>
      </w:r>
    </w:p>
    <w:p>
      <w:pPr>
        <w:pStyle w:val="ListBullet"/>
        <w:spacing w:after="60"/>
        <w:ind w:left="360"/>
      </w:pPr>
      <w:r>
        <w:rPr>
          <w:rFonts w:ascii="Calibri" w:hAnsi="Calibri"/>
          <w:color w:val="404040"/>
          <w:sz w:val="19"/>
        </w:rPr>
        <w:t>Service Mesh (Istio/Envoy): All inter-service HTTP traffic is transparently proxied through Envoy sidecars, providing automatic retry, circuit breaking (Hystrix-style), timeout enforcement, and traffic mirroring without application code changes.</w:t>
      </w:r>
    </w:p>
    <w:p>
      <w:pPr>
        <w:pStyle w:val="ListBullet"/>
        <w:spacing w:after="60"/>
        <w:ind w:left="360"/>
      </w:pPr>
      <w:r>
        <w:rPr>
          <w:rFonts w:ascii="Calibri" w:hAnsi="Calibri"/>
          <w:color w:val="404040"/>
          <w:sz w:val="19"/>
        </w:rPr>
        <w:t>Backpressure and Bulkhead: Thread pool isolation (Bulkhead pattern) and backpressure-aware Kafka consumers prevent cascade failures when downstream services are slow or unavailable.</w:t>
      </w:r>
    </w:p>
    <w:p>
      <w:pPr>
        <w:pStyle w:val="Heading2"/>
        <w:spacing w:before="200" w:after="120"/>
      </w:pPr>
      <w:r>
        <w:rPr>
          <w:rFonts w:ascii="Calibri" w:hAnsi="Calibri"/>
          <w:color w:val="2E75B6"/>
          <w:sz w:val="26"/>
        </w:rPr>
        <w:t>7.2  Security and Authentication</w:t>
      </w:r>
    </w:p>
    <w:p>
      <w:pPr>
        <w:pStyle w:val="ListBullet"/>
        <w:spacing w:after="60"/>
        <w:ind w:left="360"/>
      </w:pPr>
      <w:r>
        <w:rPr>
          <w:rFonts w:ascii="Calibri" w:hAnsi="Calibri"/>
          <w:color w:val="404040"/>
          <w:sz w:val="19"/>
        </w:rPr>
        <w:t>OAuth 2.0 / OpenID Connect: Auth Service acts as the central identity provider (IdP). All client applications obtain JWT access tokens with 15-minute expiry. Refresh token rotation enforced.</w:t>
      </w:r>
    </w:p>
    <w:p>
      <w:pPr>
        <w:pStyle w:val="ListBullet"/>
        <w:spacing w:after="60"/>
        <w:ind w:left="360"/>
      </w:pPr>
      <w:r>
        <w:rPr>
          <w:rFonts w:ascii="Calibri" w:hAnsi="Calibri"/>
          <w:color w:val="404040"/>
          <w:sz w:val="19"/>
        </w:rPr>
        <w:t>Zero-Trust Networking: No implicit trust between services. mTLS enforced for all east-west traffic via Istio. Network policies (Kubernetes NetworkPolicy + Calico) restrict pod-to-pod communication to declared dependencies only.</w:t>
      </w:r>
    </w:p>
    <w:p>
      <w:pPr>
        <w:pStyle w:val="ListBullet"/>
        <w:spacing w:after="60"/>
        <w:ind w:left="360"/>
      </w:pPr>
      <w:r>
        <w:rPr>
          <w:rFonts w:ascii="Calibri" w:hAnsi="Calibri"/>
          <w:color w:val="404040"/>
          <w:sz w:val="19"/>
        </w:rPr>
        <w:t>Secrets Management: All credentials, API keys, and certificates managed by HashiCorp Vault. Dynamic secrets generated per-service with short TTLs. No secrets in environment variables or container images.</w:t>
      </w:r>
    </w:p>
    <w:p>
      <w:pPr>
        <w:pStyle w:val="ListBullet"/>
        <w:spacing w:after="60"/>
        <w:ind w:left="360"/>
      </w:pPr>
      <w:r>
        <w:rPr>
          <w:rFonts w:ascii="Calibri" w:hAnsi="Calibri"/>
          <w:color w:val="404040"/>
          <w:sz w:val="19"/>
        </w:rPr>
        <w:t>Container Security: All images built from hardened base images (distroless). Trivy scans in CI pipeline; critical/high CVEs block merge. Runtime security via Falco for anomaly detection.</w:t>
      </w:r>
    </w:p>
    <w:p>
      <w:pPr>
        <w:pStyle w:val="ListBullet"/>
        <w:spacing w:after="60"/>
        <w:ind w:left="360"/>
      </w:pPr>
      <w:r>
        <w:rPr>
          <w:rFonts w:ascii="Calibri" w:hAnsi="Calibri"/>
          <w:color w:val="404040"/>
          <w:sz w:val="19"/>
        </w:rPr>
        <w:t>API Security: OWASP Top 10 mitigations applied at API Gateway layer. Input validation via OpenAPI schema enforcement. DDoS protection via AWS Shield Standard + WAF rules.</w:t>
      </w:r>
    </w:p>
    <w:p>
      <w:pPr>
        <w:pStyle w:val="ListBullet"/>
        <w:spacing w:after="60"/>
        <w:ind w:left="360"/>
      </w:pPr>
      <w:r>
        <w:rPr>
          <w:rFonts w:ascii="Calibri" w:hAnsi="Calibri"/>
          <w:color w:val="404040"/>
          <w:sz w:val="19"/>
        </w:rPr>
        <w:t>Data Encryption: AES-256 encryption at rest for all databases (AWS RDS encryption). TLS 1.3 enforced for all data in transit. PII fields encrypted at application layer using AWS KMS CMKs.</w:t>
      </w:r>
    </w:p>
    <w:p>
      <w:pPr>
        <w:pStyle w:val="Heading2"/>
        <w:spacing w:before="200" w:after="120"/>
      </w:pPr>
      <w:r>
        <w:rPr>
          <w:rFonts w:ascii="Calibri" w:hAnsi="Calibri"/>
          <w:color w:val="2E75B6"/>
          <w:sz w:val="26"/>
        </w:rPr>
        <w:t>7.3  Monitoring and Observability</w:t>
      </w:r>
    </w:p>
    <w:p>
      <w:pPr>
        <w:spacing w:after="120" w:before="40"/>
      </w:pPr>
      <w:r>
        <w:rPr>
          <w:rFonts w:ascii="Calibri" w:hAnsi="Calibri"/>
          <w:b w:val="0"/>
          <w:i w:val="0"/>
          <w:color w:val="404040"/>
          <w:sz w:val="20"/>
        </w:rPr>
        <w:t>The observability strategy is built on the three pillars: Metrics, Logs, and Traces.</w:t>
      </w:r>
    </w:p>
    <w:p>
      <w:pPr>
        <w:pStyle w:val="ListBullet"/>
        <w:spacing w:after="60"/>
        <w:ind w:left="360"/>
      </w:pPr>
      <w:r>
        <w:rPr>
          <w:rFonts w:ascii="Calibri" w:hAnsi="Calibri"/>
          <w:color w:val="404040"/>
          <w:sz w:val="19"/>
        </w:rPr>
        <w:t>Metrics: Prometheus scrapes metrics from all services via sidecar-injected metrics endpoints. Custom business metrics (orders/minute, payment success rate) alongside infrastructure metrics. Grafana dashboards per service and executive-level SLO dashboard.</w:t>
      </w:r>
    </w:p>
    <w:p>
      <w:pPr>
        <w:pStyle w:val="ListBullet"/>
        <w:spacing w:after="60"/>
        <w:ind w:left="360"/>
      </w:pPr>
      <w:r>
        <w:rPr>
          <w:rFonts w:ascii="Calibri" w:hAnsi="Calibri"/>
          <w:color w:val="404040"/>
          <w:sz w:val="19"/>
        </w:rPr>
        <w:t>Logs: All services emit structured JSON logs to stdout. Fluentd daemonsets collect and forward to Elasticsearch (via Logstash). Kibana for ad-hoc querying. Log retention: 30 days hot, 1 year cold (S3).</w:t>
      </w:r>
    </w:p>
    <w:p>
      <w:pPr>
        <w:pStyle w:val="ListBullet"/>
        <w:spacing w:after="60"/>
        <w:ind w:left="360"/>
      </w:pPr>
      <w:r>
        <w:rPr>
          <w:rFonts w:ascii="Calibri" w:hAnsi="Calibri"/>
          <w:color w:val="404040"/>
          <w:sz w:val="19"/>
        </w:rPr>
        <w:t>Distributed Tracing: OpenTelemetry SDK integrated into all services. Traces exported to Jaeger. 100% sampling in staging; 5% head-based + 100% error-based tail sampling in production. Trace IDs propagated via W3C TraceContext headers.</w:t>
      </w:r>
    </w:p>
    <w:p>
      <w:pPr>
        <w:pStyle w:val="ListBullet"/>
        <w:spacing w:after="60"/>
        <w:ind w:left="360"/>
      </w:pPr>
      <w:r>
        <w:rPr>
          <w:rFonts w:ascii="Calibri" w:hAnsi="Calibri"/>
          <w:color w:val="404040"/>
          <w:sz w:val="19"/>
        </w:rPr>
        <w:t>Alerting: Alertmanager routes alerts to PagerDuty (P1/P2) and Slack (P3/P4). SLO burn-rate alerting with 1-hour and 6-hour burn-rate windows to catch both fast and slow burns.</w:t>
      </w:r>
    </w:p>
    <w:p>
      <w:pPr>
        <w:pStyle w:val="ListBullet"/>
        <w:spacing w:after="60"/>
        <w:ind w:left="360"/>
      </w:pPr>
      <w:r>
        <w:rPr>
          <w:rFonts w:ascii="Calibri" w:hAnsi="Calibri"/>
          <w:color w:val="404040"/>
          <w:sz w:val="19"/>
        </w:rPr>
        <w:t>Synthetic Monitoring: Datadog Synthetics runs critical user journey checks every 60 seconds from multiple AWS regions. Alerts on availability, latency, and correctness.</w:t>
      </w:r>
    </w:p>
    <w:p>
      <w:pPr>
        <w:pStyle w:val="ListBullet"/>
        <w:spacing w:after="60"/>
        <w:ind w:left="360"/>
      </w:pPr>
      <w:r>
        <w:rPr>
          <w:rFonts w:ascii="Calibri" w:hAnsi="Calibri"/>
          <w:color w:val="404040"/>
          <w:sz w:val="19"/>
        </w:rPr>
        <w:t>Service-Level Objectives: Each service defines SLOs for availability (99.9%–99.99%), P99 latency, and error rate. SLO adherence is gated in the deployment pipeline.</w:t>
      </w:r>
    </w:p>
    <w:p>
      <w:pPr>
        <w:pStyle w:val="Heading2"/>
        <w:spacing w:before="200" w:after="120"/>
      </w:pPr>
      <w:r>
        <w:rPr>
          <w:rFonts w:ascii="Calibri" w:hAnsi="Calibri"/>
          <w:color w:val="2E75B6"/>
          <w:sz w:val="26"/>
        </w:rPr>
        <w:t>7.4  DevOps and CI/CD Pipeline</w:t>
      </w:r>
    </w:p>
    <w:p>
      <w:pPr>
        <w:pStyle w:val="ListBullet"/>
        <w:spacing w:after="60"/>
        <w:ind w:left="360"/>
      </w:pPr>
      <w:r>
        <w:rPr>
          <w:rFonts w:ascii="Calibri" w:hAnsi="Calibri"/>
          <w:color w:val="404040"/>
          <w:sz w:val="19"/>
        </w:rPr>
        <w:t>Source Control: GitLab mono-repo per service domain. Branch protection on main; all changes via merge request with minimum 2 approvals and passing CI pipeline.</w:t>
      </w:r>
    </w:p>
    <w:p>
      <w:pPr>
        <w:pStyle w:val="ListBullet"/>
        <w:spacing w:after="60"/>
        <w:ind w:left="360"/>
      </w:pPr>
      <w:r>
        <w:rPr>
          <w:rFonts w:ascii="Calibri" w:hAnsi="Calibri"/>
          <w:color w:val="404040"/>
          <w:sz w:val="19"/>
        </w:rPr>
        <w:t>CI Pipeline (GitLab CI): Stages: lint → unit test → build Docker image → SAST (Semgrep) → container scan (Trivy) → publish to ECR → contract test → integration test (Testcontainers). Average pipeline time: target &lt; 8 minutes.</w:t>
      </w:r>
    </w:p>
    <w:p>
      <w:pPr>
        <w:pStyle w:val="ListBullet"/>
        <w:spacing w:after="60"/>
        <w:ind w:left="360"/>
      </w:pPr>
      <w:r>
        <w:rPr>
          <w:rFonts w:ascii="Calibri" w:hAnsi="Calibri"/>
          <w:color w:val="404040"/>
          <w:sz w:val="19"/>
        </w:rPr>
        <w:t>CD Pipeline (ArgoCD + GitOps): ArgoCD monitors Helm chart repositories. Staging auto-deploys on main merge. Production deployments require manual approval gate. Canary rollout strategy configured via Argo Rollouts.</w:t>
      </w:r>
    </w:p>
    <w:p>
      <w:pPr>
        <w:pStyle w:val="ListBullet"/>
        <w:spacing w:after="60"/>
        <w:ind w:left="360"/>
      </w:pPr>
      <w:r>
        <w:rPr>
          <w:rFonts w:ascii="Calibri" w:hAnsi="Calibri"/>
          <w:color w:val="404040"/>
          <w:sz w:val="19"/>
        </w:rPr>
        <w:t>Infrastructure as Code: All AWS infrastructure (EKS, RDS, MSK, ElastiCache) defined in Terraform. State stored in S3 with DynamoDB lock. Infra changes require peer review and plan output approval.</w:t>
      </w:r>
    </w:p>
    <w:p>
      <w:pPr>
        <w:pStyle w:val="ListBullet"/>
        <w:spacing w:after="60"/>
        <w:ind w:left="360"/>
      </w:pPr>
      <w:r>
        <w:rPr>
          <w:rFonts w:ascii="Calibri" w:hAnsi="Calibri"/>
          <w:color w:val="404040"/>
          <w:sz w:val="19"/>
        </w:rPr>
        <w:t>Environment Parity: Four environments: dev (per-feature ephemeral), staging (mirrors production topology), pre-prod (performance/chaos testing), production. Environment configs managed via Helm values and Vault secrets.</w:t>
      </w:r>
    </w:p>
    <w:p>
      <w:pPr>
        <w:pStyle w:val="ListBullet"/>
        <w:spacing w:after="60"/>
        <w:ind w:left="360"/>
      </w:pPr>
      <w:r>
        <w:rPr>
          <w:rFonts w:ascii="Calibri" w:hAnsi="Calibri"/>
          <w:color w:val="404040"/>
          <w:sz w:val="19"/>
        </w:rPr>
        <w:t>Rollback Strategy: Automated rollback triggered if canary error rate exceeds 1% or P99 latency exceeds SLO for 5 consecutive minutes. ArgoCD rolls back Helm release to previous revision within 2 minutes.</w:t>
      </w:r>
    </w:p>
    <w:p>
      <w:r>
        <w:br w:type="page"/>
      </w:r>
    </w:p>
    <w:p>
      <w:pPr>
        <w:pStyle w:val="Heading1"/>
        <w:spacing w:before="280" w:after="120"/>
      </w:pPr>
      <w:r>
        <w:rPr>
          <w:rFonts w:ascii="Calibri" w:hAnsi="Calibri"/>
          <w:color w:val="1F3964"/>
          <w:sz w:val="32"/>
        </w:rPr>
        <w:t>8. Resource Requirements</w:t>
      </w:r>
    </w:p>
    <w:p>
      <w:pPr>
        <w:pStyle w:val="Heading2"/>
        <w:spacing w:before="200" w:after="120"/>
      </w:pPr>
      <w:r>
        <w:rPr>
          <w:rFonts w:ascii="Calibri" w:hAnsi="Calibri"/>
          <w:color w:val="2E75B6"/>
          <w:sz w:val="26"/>
        </w:rPr>
        <w:t>8.1  Team Structure and Roles</w:t>
      </w:r>
    </w:p>
    <w:tbl>
      <w:tblPr>
        <w:tblStyle w:val="TableGrid"/>
        <w:tblW w:type="auto" w:w="0"/>
        <w:jc w:val="center"/>
        <w:tblLook w:firstColumn="1" w:firstRow="1" w:lastColumn="0" w:lastRow="0" w:noHBand="0" w:noVBand="1" w:val="04A0"/>
      </w:tblPr>
      <w:tblGrid>
        <w:gridCol w:w="1786"/>
        <w:gridCol w:w="1786"/>
        <w:gridCol w:w="1786"/>
        <w:gridCol w:w="1786"/>
        <w:gridCol w:w="1786"/>
      </w:tblGrid>
      <w:tr>
        <w:tc>
          <w:tcPr>
            <w:tcW w:type="dxa" w:w="2304"/>
            <w:shd w:val="clear" w:color="auto" w:fill="1F3964"/>
          </w:tcPr>
          <w:p>
            <w:pPr>
              <w:jc w:val="center"/>
            </w:pPr>
            <w:r/>
            <w:r>
              <w:rPr>
                <w:rFonts w:ascii="Calibri" w:hAnsi="Calibri"/>
                <w:b/>
                <w:color w:val="FFFFFF"/>
                <w:sz w:val="18"/>
              </w:rPr>
              <w:t>Role</w:t>
            </w:r>
          </w:p>
        </w:tc>
        <w:tc>
          <w:tcPr>
            <w:tcW w:type="dxa" w:w="720"/>
            <w:shd w:val="clear" w:color="auto" w:fill="1F3964"/>
          </w:tcPr>
          <w:p>
            <w:pPr>
              <w:jc w:val="center"/>
            </w:pPr>
            <w:r/>
            <w:r>
              <w:rPr>
                <w:rFonts w:ascii="Calibri" w:hAnsi="Calibri"/>
                <w:b/>
                <w:color w:val="FFFFFF"/>
                <w:sz w:val="18"/>
              </w:rPr>
              <w:t>Count</w:t>
            </w:r>
          </w:p>
        </w:tc>
        <w:tc>
          <w:tcPr>
            <w:tcW w:type="dxa" w:w="4032"/>
            <w:shd w:val="clear" w:color="auto" w:fill="1F3964"/>
          </w:tcPr>
          <w:p>
            <w:pPr>
              <w:jc w:val="center"/>
            </w:pPr>
            <w:r/>
            <w:r>
              <w:rPr>
                <w:rFonts w:ascii="Calibri" w:hAnsi="Calibri"/>
                <w:b/>
                <w:color w:val="FFFFFF"/>
                <w:sz w:val="18"/>
              </w:rPr>
              <w:t>Responsibility</w:t>
            </w:r>
          </w:p>
        </w:tc>
        <w:tc>
          <w:tcPr>
            <w:tcW w:type="dxa" w:w="1872"/>
            <w:shd w:val="clear" w:color="auto" w:fill="1F3964"/>
          </w:tcPr>
          <w:p>
            <w:pPr>
              <w:jc w:val="center"/>
            </w:pPr>
            <w:r/>
            <w:r>
              <w:rPr>
                <w:rFonts w:ascii="Calibri" w:hAnsi="Calibri"/>
                <w:b/>
                <w:color w:val="FFFFFF"/>
                <w:sz w:val="18"/>
              </w:rPr>
              <w:t>Engagement Model</w:t>
            </w:r>
          </w:p>
        </w:tc>
        <w:tc>
          <w:tcPr>
            <w:tcW w:type="dxa" w:w="1800"/>
            <w:shd w:val="clear" w:color="auto" w:fill="1F3964"/>
          </w:tcPr>
          <w:p>
            <w:pPr>
              <w:jc w:val="center"/>
            </w:pPr>
            <w:r/>
            <w:r>
              <w:rPr>
                <w:rFonts w:ascii="Calibri" w:hAnsi="Calibri"/>
                <w:b/>
                <w:color w:val="FFFFFF"/>
                <w:sz w:val="18"/>
              </w:rPr>
              <w:t>Phase</w:t>
            </w:r>
          </w:p>
        </w:tc>
      </w:tr>
      <w:tr>
        <w:tc>
          <w:tcPr>
            <w:tcW w:type="dxa" w:w="2304"/>
            <w:shd w:val="clear" w:color="auto" w:fill="FFFFFF"/>
          </w:tcPr>
          <w:p>
            <w:pPr>
              <w:jc w:val="left"/>
            </w:pPr>
            <w:r/>
            <w:r>
              <w:rPr>
                <w:rFonts w:ascii="Calibri" w:hAnsi="Calibri"/>
                <w:b w:val="0"/>
                <w:color w:val="404040"/>
                <w:sz w:val="17"/>
              </w:rPr>
              <w:t>Programme Manager</w:t>
            </w:r>
          </w:p>
        </w:tc>
        <w:tc>
          <w:tcPr>
            <w:tcW w:type="dxa" w:w="720"/>
            <w:shd w:val="clear" w:color="auto" w:fill="FFFFFF"/>
          </w:tcPr>
          <w:p>
            <w:pPr>
              <w:jc w:val="left"/>
            </w:pPr>
            <w:r/>
            <w:r>
              <w:rPr>
                <w:rFonts w:ascii="Calibri" w:hAnsi="Calibri"/>
                <w:b w:val="0"/>
                <w:color w:val="404040"/>
                <w:sz w:val="17"/>
              </w:rPr>
              <w:t>1</w:t>
            </w:r>
          </w:p>
        </w:tc>
        <w:tc>
          <w:tcPr>
            <w:tcW w:type="dxa" w:w="4032"/>
            <w:shd w:val="clear" w:color="auto" w:fill="FFFFFF"/>
          </w:tcPr>
          <w:p>
            <w:pPr>
              <w:jc w:val="left"/>
            </w:pPr>
            <w:r/>
            <w:r>
              <w:rPr>
                <w:rFonts w:ascii="Calibri" w:hAnsi="Calibri"/>
                <w:b w:val="0"/>
                <w:color w:val="404040"/>
                <w:sz w:val="17"/>
              </w:rPr>
              <w:t>Overall programme delivery, stakeholder management, risk and budget oversight, steering committee reporting.</w:t>
            </w:r>
          </w:p>
        </w:tc>
        <w:tc>
          <w:tcPr>
            <w:tcW w:type="dxa" w:w="1872"/>
            <w:shd w:val="clear" w:color="auto" w:fill="FFFFFF"/>
          </w:tcPr>
          <w:p>
            <w:pPr>
              <w:jc w:val="left"/>
            </w:pPr>
            <w:r/>
            <w:r>
              <w:rPr>
                <w:rFonts w:ascii="Calibri" w:hAnsi="Calibri"/>
                <w:b w:val="0"/>
                <w:color w:val="404040"/>
                <w:sz w:val="17"/>
              </w:rPr>
              <w:t>Full-time, FTE</w:t>
            </w:r>
          </w:p>
        </w:tc>
        <w:tc>
          <w:tcPr>
            <w:tcW w:type="dxa" w:w="1800"/>
            <w:shd w:val="clear" w:color="auto" w:fill="FFFFFF"/>
          </w:tcPr>
          <w:p>
            <w:pPr>
              <w:jc w:val="left"/>
            </w:pPr>
            <w:r/>
            <w:r>
              <w:rPr>
                <w:rFonts w:ascii="Calibri" w:hAnsi="Calibri"/>
                <w:b w:val="0"/>
                <w:color w:val="404040"/>
                <w:sz w:val="17"/>
              </w:rPr>
              <w:t>All phases</w:t>
            </w:r>
          </w:p>
        </w:tc>
      </w:tr>
      <w:tr>
        <w:tc>
          <w:tcPr>
            <w:tcW w:type="dxa" w:w="2304"/>
            <w:shd w:val="clear" w:color="auto" w:fill="EDF2F8"/>
          </w:tcPr>
          <w:p>
            <w:pPr>
              <w:jc w:val="left"/>
            </w:pPr>
            <w:r/>
            <w:r>
              <w:rPr>
                <w:rFonts w:ascii="Calibri" w:hAnsi="Calibri"/>
                <w:b w:val="0"/>
                <w:color w:val="404040"/>
                <w:sz w:val="17"/>
              </w:rPr>
              <w:t>Enterprise Architect</w:t>
            </w:r>
          </w:p>
        </w:tc>
        <w:tc>
          <w:tcPr>
            <w:tcW w:type="dxa" w:w="720"/>
            <w:shd w:val="clear" w:color="auto" w:fill="EDF2F8"/>
          </w:tcPr>
          <w:p>
            <w:pPr>
              <w:jc w:val="left"/>
            </w:pPr>
            <w:r/>
            <w:r>
              <w:rPr>
                <w:rFonts w:ascii="Calibri" w:hAnsi="Calibri"/>
                <w:b w:val="0"/>
                <w:color w:val="404040"/>
                <w:sz w:val="17"/>
              </w:rPr>
              <w:t>1</w:t>
            </w:r>
          </w:p>
        </w:tc>
        <w:tc>
          <w:tcPr>
            <w:tcW w:type="dxa" w:w="4032"/>
            <w:shd w:val="clear" w:color="auto" w:fill="EDF2F8"/>
          </w:tcPr>
          <w:p>
            <w:pPr>
              <w:jc w:val="left"/>
            </w:pPr>
            <w:r/>
            <w:r>
              <w:rPr>
                <w:rFonts w:ascii="Calibri" w:hAnsi="Calibri"/>
                <w:b w:val="0"/>
                <w:color w:val="404040"/>
                <w:sz w:val="17"/>
              </w:rPr>
              <w:t>Architecture governance, ADR oversight, cross-cutting concern design, external vendor liaison.</w:t>
            </w:r>
          </w:p>
        </w:tc>
        <w:tc>
          <w:tcPr>
            <w:tcW w:type="dxa" w:w="1872"/>
            <w:shd w:val="clear" w:color="auto" w:fill="EDF2F8"/>
          </w:tcPr>
          <w:p>
            <w:pPr>
              <w:jc w:val="left"/>
            </w:pPr>
            <w:r/>
            <w:r>
              <w:rPr>
                <w:rFonts w:ascii="Calibri" w:hAnsi="Calibri"/>
                <w:b w:val="0"/>
                <w:color w:val="404040"/>
                <w:sz w:val="17"/>
              </w:rPr>
              <w:t>Full-time, FTE</w:t>
            </w:r>
          </w:p>
        </w:tc>
        <w:tc>
          <w:tcPr>
            <w:tcW w:type="dxa" w:w="1800"/>
            <w:shd w:val="clear" w:color="auto" w:fill="EDF2F8"/>
          </w:tcPr>
          <w:p>
            <w:pPr>
              <w:jc w:val="left"/>
            </w:pPr>
            <w:r/>
            <w:r>
              <w:rPr>
                <w:rFonts w:ascii="Calibri" w:hAnsi="Calibri"/>
                <w:b w:val="0"/>
                <w:color w:val="404040"/>
                <w:sz w:val="17"/>
              </w:rPr>
              <w:t>All phases</w:t>
            </w:r>
          </w:p>
        </w:tc>
      </w:tr>
      <w:tr>
        <w:tc>
          <w:tcPr>
            <w:tcW w:type="dxa" w:w="2304"/>
            <w:shd w:val="clear" w:color="auto" w:fill="FFFFFF"/>
          </w:tcPr>
          <w:p>
            <w:pPr>
              <w:jc w:val="left"/>
            </w:pPr>
            <w:r/>
            <w:r>
              <w:rPr>
                <w:rFonts w:ascii="Calibri" w:hAnsi="Calibri"/>
                <w:b w:val="0"/>
                <w:color w:val="404040"/>
                <w:sz w:val="17"/>
              </w:rPr>
              <w:t>Lead Solution Architect</w:t>
            </w:r>
          </w:p>
        </w:tc>
        <w:tc>
          <w:tcPr>
            <w:tcW w:type="dxa" w:w="720"/>
            <w:shd w:val="clear" w:color="auto" w:fill="FFFFFF"/>
          </w:tcPr>
          <w:p>
            <w:pPr>
              <w:jc w:val="left"/>
            </w:pPr>
            <w:r/>
            <w:r>
              <w:rPr>
                <w:rFonts w:ascii="Calibri" w:hAnsi="Calibri"/>
                <w:b w:val="0"/>
                <w:color w:val="404040"/>
                <w:sz w:val="17"/>
              </w:rPr>
              <w:t>1</w:t>
            </w:r>
          </w:p>
        </w:tc>
        <w:tc>
          <w:tcPr>
            <w:tcW w:type="dxa" w:w="4032"/>
            <w:shd w:val="clear" w:color="auto" w:fill="FFFFFF"/>
          </w:tcPr>
          <w:p>
            <w:pPr>
              <w:jc w:val="left"/>
            </w:pPr>
            <w:r/>
            <w:r>
              <w:rPr>
                <w:rFonts w:ascii="Calibri" w:hAnsi="Calibri"/>
                <w:b w:val="0"/>
                <w:color w:val="404040"/>
                <w:sz w:val="17"/>
              </w:rPr>
              <w:t>Detailed service design, integration pattern definition, technology selection, API design standards.</w:t>
            </w:r>
          </w:p>
        </w:tc>
        <w:tc>
          <w:tcPr>
            <w:tcW w:type="dxa" w:w="1872"/>
            <w:shd w:val="clear" w:color="auto" w:fill="FFFFFF"/>
          </w:tcPr>
          <w:p>
            <w:pPr>
              <w:jc w:val="left"/>
            </w:pPr>
            <w:r/>
            <w:r>
              <w:rPr>
                <w:rFonts w:ascii="Calibri" w:hAnsi="Calibri"/>
                <w:b w:val="0"/>
                <w:color w:val="404040"/>
                <w:sz w:val="17"/>
              </w:rPr>
              <w:t>Full-time, FTE</w:t>
            </w:r>
          </w:p>
        </w:tc>
        <w:tc>
          <w:tcPr>
            <w:tcW w:type="dxa" w:w="1800"/>
            <w:shd w:val="clear" w:color="auto" w:fill="FFFFFF"/>
          </w:tcPr>
          <w:p>
            <w:pPr>
              <w:jc w:val="left"/>
            </w:pPr>
            <w:r/>
            <w:r>
              <w:rPr>
                <w:rFonts w:ascii="Calibri" w:hAnsi="Calibri"/>
                <w:b w:val="0"/>
                <w:color w:val="404040"/>
                <w:sz w:val="17"/>
              </w:rPr>
              <w:t>Phases 0–5</w:t>
            </w:r>
          </w:p>
        </w:tc>
      </w:tr>
      <w:tr>
        <w:tc>
          <w:tcPr>
            <w:tcW w:type="dxa" w:w="2304"/>
            <w:shd w:val="clear" w:color="auto" w:fill="EDF2F8"/>
          </w:tcPr>
          <w:p>
            <w:pPr>
              <w:jc w:val="left"/>
            </w:pPr>
            <w:r/>
            <w:r>
              <w:rPr>
                <w:rFonts w:ascii="Calibri" w:hAnsi="Calibri"/>
                <w:b w:val="0"/>
                <w:color w:val="404040"/>
                <w:sz w:val="17"/>
              </w:rPr>
              <w:t>Data Architect</w:t>
            </w:r>
          </w:p>
        </w:tc>
        <w:tc>
          <w:tcPr>
            <w:tcW w:type="dxa" w:w="720"/>
            <w:shd w:val="clear" w:color="auto" w:fill="EDF2F8"/>
          </w:tcPr>
          <w:p>
            <w:pPr>
              <w:jc w:val="left"/>
            </w:pPr>
            <w:r/>
            <w:r>
              <w:rPr>
                <w:rFonts w:ascii="Calibri" w:hAnsi="Calibri"/>
                <w:b w:val="0"/>
                <w:color w:val="404040"/>
                <w:sz w:val="17"/>
              </w:rPr>
              <w:t>1</w:t>
            </w:r>
          </w:p>
        </w:tc>
        <w:tc>
          <w:tcPr>
            <w:tcW w:type="dxa" w:w="4032"/>
            <w:shd w:val="clear" w:color="auto" w:fill="EDF2F8"/>
          </w:tcPr>
          <w:p>
            <w:pPr>
              <w:jc w:val="left"/>
            </w:pPr>
            <w:r/>
            <w:r>
              <w:rPr>
                <w:rFonts w:ascii="Calibri" w:hAnsi="Calibri"/>
                <w:b w:val="0"/>
                <w:color w:val="404040"/>
                <w:sz w:val="17"/>
              </w:rPr>
              <w:t>Data migration strategy, DMS configuration, schema design, data governance, encryption standards.</w:t>
            </w:r>
          </w:p>
        </w:tc>
        <w:tc>
          <w:tcPr>
            <w:tcW w:type="dxa" w:w="1872"/>
            <w:shd w:val="clear" w:color="auto" w:fill="EDF2F8"/>
          </w:tcPr>
          <w:p>
            <w:pPr>
              <w:jc w:val="left"/>
            </w:pPr>
            <w:r/>
            <w:r>
              <w:rPr>
                <w:rFonts w:ascii="Calibri" w:hAnsi="Calibri"/>
                <w:b w:val="0"/>
                <w:color w:val="404040"/>
                <w:sz w:val="17"/>
              </w:rPr>
              <w:t>Full-time, FTE</w:t>
            </w:r>
          </w:p>
        </w:tc>
        <w:tc>
          <w:tcPr>
            <w:tcW w:type="dxa" w:w="1800"/>
            <w:shd w:val="clear" w:color="auto" w:fill="EDF2F8"/>
          </w:tcPr>
          <w:p>
            <w:pPr>
              <w:jc w:val="left"/>
            </w:pPr>
            <w:r/>
            <w:r>
              <w:rPr>
                <w:rFonts w:ascii="Calibri" w:hAnsi="Calibri"/>
                <w:b w:val="0"/>
                <w:color w:val="404040"/>
                <w:sz w:val="17"/>
              </w:rPr>
              <w:t>All phases</w:t>
            </w:r>
          </w:p>
        </w:tc>
      </w:tr>
      <w:tr>
        <w:tc>
          <w:tcPr>
            <w:tcW w:type="dxa" w:w="2304"/>
            <w:shd w:val="clear" w:color="auto" w:fill="FFFFFF"/>
          </w:tcPr>
          <w:p>
            <w:pPr>
              <w:jc w:val="left"/>
            </w:pPr>
            <w:r/>
            <w:r>
              <w:rPr>
                <w:rFonts w:ascii="Calibri" w:hAnsi="Calibri"/>
                <w:b w:val="0"/>
                <w:color w:val="404040"/>
                <w:sz w:val="17"/>
              </w:rPr>
              <w:t>Security Architect</w:t>
            </w:r>
          </w:p>
        </w:tc>
        <w:tc>
          <w:tcPr>
            <w:tcW w:type="dxa" w:w="720"/>
            <w:shd w:val="clear" w:color="auto" w:fill="FFFFFF"/>
          </w:tcPr>
          <w:p>
            <w:pPr>
              <w:jc w:val="left"/>
            </w:pPr>
            <w:r/>
            <w:r>
              <w:rPr>
                <w:rFonts w:ascii="Calibri" w:hAnsi="Calibri"/>
                <w:b w:val="0"/>
                <w:color w:val="404040"/>
                <w:sz w:val="17"/>
              </w:rPr>
              <w:t>1</w:t>
            </w:r>
          </w:p>
        </w:tc>
        <w:tc>
          <w:tcPr>
            <w:tcW w:type="dxa" w:w="4032"/>
            <w:shd w:val="clear" w:color="auto" w:fill="FFFFFF"/>
          </w:tcPr>
          <w:p>
            <w:pPr>
              <w:jc w:val="left"/>
            </w:pPr>
            <w:r/>
            <w:r>
              <w:rPr>
                <w:rFonts w:ascii="Calibri" w:hAnsi="Calibri"/>
                <w:b w:val="0"/>
                <w:color w:val="404040"/>
                <w:sz w:val="17"/>
              </w:rPr>
              <w:t>Zero-trust design, Vault setup, penetration test coordination, PCI-DSS / GDPR compliance oversight.</w:t>
            </w:r>
          </w:p>
        </w:tc>
        <w:tc>
          <w:tcPr>
            <w:tcW w:type="dxa" w:w="1872"/>
            <w:shd w:val="clear" w:color="auto" w:fill="FFFFFF"/>
          </w:tcPr>
          <w:p>
            <w:pPr>
              <w:jc w:val="left"/>
            </w:pPr>
            <w:r/>
            <w:r>
              <w:rPr>
                <w:rFonts w:ascii="Calibri" w:hAnsi="Calibri"/>
                <w:b w:val="0"/>
                <w:color w:val="404040"/>
                <w:sz w:val="17"/>
              </w:rPr>
              <w:t>Full-time, FTE</w:t>
            </w:r>
          </w:p>
        </w:tc>
        <w:tc>
          <w:tcPr>
            <w:tcW w:type="dxa" w:w="1800"/>
            <w:shd w:val="clear" w:color="auto" w:fill="FFFFFF"/>
          </w:tcPr>
          <w:p>
            <w:pPr>
              <w:jc w:val="left"/>
            </w:pPr>
            <w:r/>
            <w:r>
              <w:rPr>
                <w:rFonts w:ascii="Calibri" w:hAnsi="Calibri"/>
                <w:b w:val="0"/>
                <w:color w:val="404040"/>
                <w:sz w:val="17"/>
              </w:rPr>
              <w:t>All phases</w:t>
            </w:r>
          </w:p>
        </w:tc>
      </w:tr>
      <w:tr>
        <w:tc>
          <w:tcPr>
            <w:tcW w:type="dxa" w:w="2304"/>
            <w:shd w:val="clear" w:color="auto" w:fill="EDF2F8"/>
          </w:tcPr>
          <w:p>
            <w:pPr>
              <w:jc w:val="left"/>
            </w:pPr>
            <w:r/>
            <w:r>
              <w:rPr>
                <w:rFonts w:ascii="Calibri" w:hAnsi="Calibri"/>
                <w:b w:val="0"/>
                <w:color w:val="404040"/>
                <w:sz w:val="17"/>
              </w:rPr>
              <w:t>DevOps / Platform Engineers</w:t>
            </w:r>
          </w:p>
        </w:tc>
        <w:tc>
          <w:tcPr>
            <w:tcW w:type="dxa" w:w="720"/>
            <w:shd w:val="clear" w:color="auto" w:fill="EDF2F8"/>
          </w:tcPr>
          <w:p>
            <w:pPr>
              <w:jc w:val="left"/>
            </w:pPr>
            <w:r/>
            <w:r>
              <w:rPr>
                <w:rFonts w:ascii="Calibri" w:hAnsi="Calibri"/>
                <w:b w:val="0"/>
                <w:color w:val="404040"/>
                <w:sz w:val="17"/>
              </w:rPr>
              <w:t>3</w:t>
            </w:r>
          </w:p>
        </w:tc>
        <w:tc>
          <w:tcPr>
            <w:tcW w:type="dxa" w:w="4032"/>
            <w:shd w:val="clear" w:color="auto" w:fill="EDF2F8"/>
          </w:tcPr>
          <w:p>
            <w:pPr>
              <w:jc w:val="left"/>
            </w:pPr>
            <w:r/>
            <w:r>
              <w:rPr>
                <w:rFonts w:ascii="Calibri" w:hAnsi="Calibri"/>
                <w:b w:val="0"/>
                <w:color w:val="404040"/>
                <w:sz w:val="17"/>
              </w:rPr>
              <w:t>EKS cluster management, CI/CD pipeline build, Terraform IaC, Istio service mesh, observability stack setup.</w:t>
            </w:r>
          </w:p>
        </w:tc>
        <w:tc>
          <w:tcPr>
            <w:tcW w:type="dxa" w:w="1872"/>
            <w:shd w:val="clear" w:color="auto" w:fill="EDF2F8"/>
          </w:tcPr>
          <w:p>
            <w:pPr>
              <w:jc w:val="left"/>
            </w:pPr>
            <w:r/>
            <w:r>
              <w:rPr>
                <w:rFonts w:ascii="Calibri" w:hAnsi="Calibri"/>
                <w:b w:val="0"/>
                <w:color w:val="404040"/>
                <w:sz w:val="17"/>
              </w:rPr>
              <w:t>Full-time, FTE</w:t>
            </w:r>
          </w:p>
        </w:tc>
        <w:tc>
          <w:tcPr>
            <w:tcW w:type="dxa" w:w="1800"/>
            <w:shd w:val="clear" w:color="auto" w:fill="EDF2F8"/>
          </w:tcPr>
          <w:p>
            <w:pPr>
              <w:jc w:val="left"/>
            </w:pPr>
            <w:r/>
            <w:r>
              <w:rPr>
                <w:rFonts w:ascii="Calibri" w:hAnsi="Calibri"/>
                <w:b w:val="0"/>
                <w:color w:val="404040"/>
                <w:sz w:val="17"/>
              </w:rPr>
              <w:t>Phases 1–6</w:t>
            </w:r>
          </w:p>
        </w:tc>
      </w:tr>
      <w:tr>
        <w:tc>
          <w:tcPr>
            <w:tcW w:type="dxa" w:w="2304"/>
            <w:shd w:val="clear" w:color="auto" w:fill="FFFFFF"/>
          </w:tcPr>
          <w:p>
            <w:pPr>
              <w:jc w:val="left"/>
            </w:pPr>
            <w:r/>
            <w:r>
              <w:rPr>
                <w:rFonts w:ascii="Calibri" w:hAnsi="Calibri"/>
                <w:b w:val="0"/>
                <w:color w:val="404040"/>
                <w:sz w:val="17"/>
              </w:rPr>
              <w:t>SRE Lead</w:t>
            </w:r>
          </w:p>
        </w:tc>
        <w:tc>
          <w:tcPr>
            <w:tcW w:type="dxa" w:w="720"/>
            <w:shd w:val="clear" w:color="auto" w:fill="FFFFFF"/>
          </w:tcPr>
          <w:p>
            <w:pPr>
              <w:jc w:val="left"/>
            </w:pPr>
            <w:r/>
            <w:r>
              <w:rPr>
                <w:rFonts w:ascii="Calibri" w:hAnsi="Calibri"/>
                <w:b w:val="0"/>
                <w:color w:val="404040"/>
                <w:sz w:val="17"/>
              </w:rPr>
              <w:t>1</w:t>
            </w:r>
          </w:p>
        </w:tc>
        <w:tc>
          <w:tcPr>
            <w:tcW w:type="dxa" w:w="4032"/>
            <w:shd w:val="clear" w:color="auto" w:fill="FFFFFF"/>
          </w:tcPr>
          <w:p>
            <w:pPr>
              <w:jc w:val="left"/>
            </w:pPr>
            <w:r/>
            <w:r>
              <w:rPr>
                <w:rFonts w:ascii="Calibri" w:hAnsi="Calibri"/>
                <w:b w:val="0"/>
                <w:color w:val="404040"/>
                <w:sz w:val="17"/>
              </w:rPr>
              <w:t>SLO definition, alerting strategy, runbook authoring, hyper-care on-call coordination, chaos engineering.</w:t>
            </w:r>
          </w:p>
        </w:tc>
        <w:tc>
          <w:tcPr>
            <w:tcW w:type="dxa" w:w="1872"/>
            <w:shd w:val="clear" w:color="auto" w:fill="FFFFFF"/>
          </w:tcPr>
          <w:p>
            <w:pPr>
              <w:jc w:val="left"/>
            </w:pPr>
            <w:r/>
            <w:r>
              <w:rPr>
                <w:rFonts w:ascii="Calibri" w:hAnsi="Calibri"/>
                <w:b w:val="0"/>
                <w:color w:val="404040"/>
                <w:sz w:val="17"/>
              </w:rPr>
              <w:t>Full-time, FTE</w:t>
            </w:r>
          </w:p>
        </w:tc>
        <w:tc>
          <w:tcPr>
            <w:tcW w:type="dxa" w:w="1800"/>
            <w:shd w:val="clear" w:color="auto" w:fill="FFFFFF"/>
          </w:tcPr>
          <w:p>
            <w:pPr>
              <w:jc w:val="left"/>
            </w:pPr>
            <w:r/>
            <w:r>
              <w:rPr>
                <w:rFonts w:ascii="Calibri" w:hAnsi="Calibri"/>
                <w:b w:val="0"/>
                <w:color w:val="404040"/>
                <w:sz w:val="17"/>
              </w:rPr>
              <w:t>Phases 3–6</w:t>
            </w:r>
          </w:p>
        </w:tc>
      </w:tr>
      <w:tr>
        <w:tc>
          <w:tcPr>
            <w:tcW w:type="dxa" w:w="2304"/>
            <w:shd w:val="clear" w:color="auto" w:fill="EDF2F8"/>
          </w:tcPr>
          <w:p>
            <w:pPr>
              <w:jc w:val="left"/>
            </w:pPr>
            <w:r/>
            <w:r>
              <w:rPr>
                <w:rFonts w:ascii="Calibri" w:hAnsi="Calibri"/>
                <w:b w:val="0"/>
                <w:color w:val="404040"/>
                <w:sz w:val="17"/>
              </w:rPr>
              <w:t>Backend Engineers (Squads)</w:t>
            </w:r>
          </w:p>
        </w:tc>
        <w:tc>
          <w:tcPr>
            <w:tcW w:type="dxa" w:w="720"/>
            <w:shd w:val="clear" w:color="auto" w:fill="EDF2F8"/>
          </w:tcPr>
          <w:p>
            <w:pPr>
              <w:jc w:val="left"/>
            </w:pPr>
            <w:r/>
            <w:r>
              <w:rPr>
                <w:rFonts w:ascii="Calibri" w:hAnsi="Calibri"/>
                <w:b w:val="0"/>
                <w:color w:val="404040"/>
                <w:sz w:val="17"/>
              </w:rPr>
              <w:t>12</w:t>
            </w:r>
          </w:p>
        </w:tc>
        <w:tc>
          <w:tcPr>
            <w:tcW w:type="dxa" w:w="4032"/>
            <w:shd w:val="clear" w:color="auto" w:fill="EDF2F8"/>
          </w:tcPr>
          <w:p>
            <w:pPr>
              <w:jc w:val="left"/>
            </w:pPr>
            <w:r/>
            <w:r>
              <w:rPr>
                <w:rFonts w:ascii="Calibri" w:hAnsi="Calibri"/>
                <w:b w:val="0"/>
                <w:color w:val="404040"/>
                <w:sz w:val="17"/>
              </w:rPr>
              <w:t>Microservice implementation (2 engineers per service × 6 squads). Test-driven development, API design.</w:t>
            </w:r>
          </w:p>
        </w:tc>
        <w:tc>
          <w:tcPr>
            <w:tcW w:type="dxa" w:w="1872"/>
            <w:shd w:val="clear" w:color="auto" w:fill="EDF2F8"/>
          </w:tcPr>
          <w:p>
            <w:pPr>
              <w:jc w:val="left"/>
            </w:pPr>
            <w:r/>
            <w:r>
              <w:rPr>
                <w:rFonts w:ascii="Calibri" w:hAnsi="Calibri"/>
                <w:b w:val="0"/>
                <w:color w:val="404040"/>
                <w:sz w:val="17"/>
              </w:rPr>
              <w:t>Full-time, FTE</w:t>
            </w:r>
          </w:p>
        </w:tc>
        <w:tc>
          <w:tcPr>
            <w:tcW w:type="dxa" w:w="1800"/>
            <w:shd w:val="clear" w:color="auto" w:fill="EDF2F8"/>
          </w:tcPr>
          <w:p>
            <w:pPr>
              <w:jc w:val="left"/>
            </w:pPr>
            <w:r/>
            <w:r>
              <w:rPr>
                <w:rFonts w:ascii="Calibri" w:hAnsi="Calibri"/>
                <w:b w:val="0"/>
                <w:color w:val="404040"/>
                <w:sz w:val="17"/>
              </w:rPr>
              <w:t>Phases 2–5</w:t>
            </w:r>
          </w:p>
        </w:tc>
      </w:tr>
      <w:tr>
        <w:tc>
          <w:tcPr>
            <w:tcW w:type="dxa" w:w="2304"/>
            <w:shd w:val="clear" w:color="auto" w:fill="FFFFFF"/>
          </w:tcPr>
          <w:p>
            <w:pPr>
              <w:jc w:val="left"/>
            </w:pPr>
            <w:r/>
            <w:r>
              <w:rPr>
                <w:rFonts w:ascii="Calibri" w:hAnsi="Calibri"/>
                <w:b w:val="0"/>
                <w:color w:val="404040"/>
                <w:sz w:val="17"/>
              </w:rPr>
              <w:t>Frontend Engineers</w:t>
            </w:r>
          </w:p>
        </w:tc>
        <w:tc>
          <w:tcPr>
            <w:tcW w:type="dxa" w:w="720"/>
            <w:shd w:val="clear" w:color="auto" w:fill="FFFFFF"/>
          </w:tcPr>
          <w:p>
            <w:pPr>
              <w:jc w:val="left"/>
            </w:pPr>
            <w:r/>
            <w:r>
              <w:rPr>
                <w:rFonts w:ascii="Calibri" w:hAnsi="Calibri"/>
                <w:b w:val="0"/>
                <w:color w:val="404040"/>
                <w:sz w:val="17"/>
              </w:rPr>
              <w:t>2</w:t>
            </w:r>
          </w:p>
        </w:tc>
        <w:tc>
          <w:tcPr>
            <w:tcW w:type="dxa" w:w="4032"/>
            <w:shd w:val="clear" w:color="auto" w:fill="FFFFFF"/>
          </w:tcPr>
          <w:p>
            <w:pPr>
              <w:jc w:val="left"/>
            </w:pPr>
            <w:r/>
            <w:r>
              <w:rPr>
                <w:rFonts w:ascii="Calibri" w:hAnsi="Calibri"/>
                <w:b w:val="0"/>
                <w:color w:val="404040"/>
                <w:sz w:val="17"/>
              </w:rPr>
              <w:t>BFF (GraphQL/REST) implementation, Supplier Portal re-implementation, UI integration testing.</w:t>
            </w:r>
          </w:p>
        </w:tc>
        <w:tc>
          <w:tcPr>
            <w:tcW w:type="dxa" w:w="1872"/>
            <w:shd w:val="clear" w:color="auto" w:fill="FFFFFF"/>
          </w:tcPr>
          <w:p>
            <w:pPr>
              <w:jc w:val="left"/>
            </w:pPr>
            <w:r/>
            <w:r>
              <w:rPr>
                <w:rFonts w:ascii="Calibri" w:hAnsi="Calibri"/>
                <w:b w:val="0"/>
                <w:color w:val="404040"/>
                <w:sz w:val="17"/>
              </w:rPr>
              <w:t>Full-time, FTE</w:t>
            </w:r>
          </w:p>
        </w:tc>
        <w:tc>
          <w:tcPr>
            <w:tcW w:type="dxa" w:w="1800"/>
            <w:shd w:val="clear" w:color="auto" w:fill="FFFFFF"/>
          </w:tcPr>
          <w:p>
            <w:pPr>
              <w:jc w:val="left"/>
            </w:pPr>
            <w:r/>
            <w:r>
              <w:rPr>
                <w:rFonts w:ascii="Calibri" w:hAnsi="Calibri"/>
                <w:b w:val="0"/>
                <w:color w:val="404040"/>
                <w:sz w:val="17"/>
              </w:rPr>
              <w:t>Phases 3–5</w:t>
            </w:r>
          </w:p>
        </w:tc>
      </w:tr>
      <w:tr>
        <w:tc>
          <w:tcPr>
            <w:tcW w:type="dxa" w:w="2304"/>
            <w:shd w:val="clear" w:color="auto" w:fill="EDF2F8"/>
          </w:tcPr>
          <w:p>
            <w:pPr>
              <w:jc w:val="left"/>
            </w:pPr>
            <w:r/>
            <w:r>
              <w:rPr>
                <w:rFonts w:ascii="Calibri" w:hAnsi="Calibri"/>
                <w:b w:val="0"/>
                <w:color w:val="404040"/>
                <w:sz w:val="17"/>
              </w:rPr>
              <w:t>QA / Test Engineers</w:t>
            </w:r>
          </w:p>
        </w:tc>
        <w:tc>
          <w:tcPr>
            <w:tcW w:type="dxa" w:w="720"/>
            <w:shd w:val="clear" w:color="auto" w:fill="EDF2F8"/>
          </w:tcPr>
          <w:p>
            <w:pPr>
              <w:jc w:val="left"/>
            </w:pPr>
            <w:r/>
            <w:r>
              <w:rPr>
                <w:rFonts w:ascii="Calibri" w:hAnsi="Calibri"/>
                <w:b w:val="0"/>
                <w:color w:val="404040"/>
                <w:sz w:val="17"/>
              </w:rPr>
              <w:t>3</w:t>
            </w:r>
          </w:p>
        </w:tc>
        <w:tc>
          <w:tcPr>
            <w:tcW w:type="dxa" w:w="4032"/>
            <w:shd w:val="clear" w:color="auto" w:fill="EDF2F8"/>
          </w:tcPr>
          <w:p>
            <w:pPr>
              <w:jc w:val="left"/>
            </w:pPr>
            <w:r/>
            <w:r>
              <w:rPr>
                <w:rFonts w:ascii="Calibri" w:hAnsi="Calibri"/>
                <w:b w:val="0"/>
                <w:color w:val="404040"/>
                <w:sz w:val="17"/>
              </w:rPr>
              <w:t>Test strategy execution, contract testing, E2E automation, performance test scripting, UAT coordination.</w:t>
            </w:r>
          </w:p>
        </w:tc>
        <w:tc>
          <w:tcPr>
            <w:tcW w:type="dxa" w:w="1872"/>
            <w:shd w:val="clear" w:color="auto" w:fill="EDF2F8"/>
          </w:tcPr>
          <w:p>
            <w:pPr>
              <w:jc w:val="left"/>
            </w:pPr>
            <w:r/>
            <w:r>
              <w:rPr>
                <w:rFonts w:ascii="Calibri" w:hAnsi="Calibri"/>
                <w:b w:val="0"/>
                <w:color w:val="404040"/>
                <w:sz w:val="17"/>
              </w:rPr>
              <w:t>Full-time, FTE</w:t>
            </w:r>
          </w:p>
        </w:tc>
        <w:tc>
          <w:tcPr>
            <w:tcW w:type="dxa" w:w="1800"/>
            <w:shd w:val="clear" w:color="auto" w:fill="EDF2F8"/>
          </w:tcPr>
          <w:p>
            <w:pPr>
              <w:jc w:val="left"/>
            </w:pPr>
            <w:r/>
            <w:r>
              <w:rPr>
                <w:rFonts w:ascii="Calibri" w:hAnsi="Calibri"/>
                <w:b w:val="0"/>
                <w:color w:val="404040"/>
                <w:sz w:val="17"/>
              </w:rPr>
              <w:t>Phases 1–6</w:t>
            </w:r>
          </w:p>
        </w:tc>
      </w:tr>
      <w:tr>
        <w:tc>
          <w:tcPr>
            <w:tcW w:type="dxa" w:w="2304"/>
            <w:shd w:val="clear" w:color="auto" w:fill="FFFFFF"/>
          </w:tcPr>
          <w:p>
            <w:pPr>
              <w:jc w:val="left"/>
            </w:pPr>
            <w:r/>
            <w:r>
              <w:rPr>
                <w:rFonts w:ascii="Calibri" w:hAnsi="Calibri"/>
                <w:b w:val="0"/>
                <w:color w:val="404040"/>
                <w:sz w:val="17"/>
              </w:rPr>
              <w:t>DBA / Migration Engineers</w:t>
            </w:r>
          </w:p>
        </w:tc>
        <w:tc>
          <w:tcPr>
            <w:tcW w:type="dxa" w:w="720"/>
            <w:shd w:val="clear" w:color="auto" w:fill="FFFFFF"/>
          </w:tcPr>
          <w:p>
            <w:pPr>
              <w:jc w:val="left"/>
            </w:pPr>
            <w:r/>
            <w:r>
              <w:rPr>
                <w:rFonts w:ascii="Calibri" w:hAnsi="Calibri"/>
                <w:b w:val="0"/>
                <w:color w:val="404040"/>
                <w:sz w:val="17"/>
              </w:rPr>
              <w:t>2</w:t>
            </w:r>
          </w:p>
        </w:tc>
        <w:tc>
          <w:tcPr>
            <w:tcW w:type="dxa" w:w="4032"/>
            <w:shd w:val="clear" w:color="auto" w:fill="FFFFFF"/>
          </w:tcPr>
          <w:p>
            <w:pPr>
              <w:jc w:val="left"/>
            </w:pPr>
            <w:r/>
            <w:r>
              <w:rPr>
                <w:rFonts w:ascii="Calibri" w:hAnsi="Calibri"/>
                <w:b w:val="0"/>
                <w:color w:val="404040"/>
                <w:sz w:val="17"/>
              </w:rPr>
              <w:t>Oracle schema analysis, AWS DMS setup, dual-write validation, reconciliation scripting, archival procedures.</w:t>
            </w:r>
          </w:p>
        </w:tc>
        <w:tc>
          <w:tcPr>
            <w:tcW w:type="dxa" w:w="1872"/>
            <w:shd w:val="clear" w:color="auto" w:fill="FFFFFF"/>
          </w:tcPr>
          <w:p>
            <w:pPr>
              <w:jc w:val="left"/>
            </w:pPr>
            <w:r/>
            <w:r>
              <w:rPr>
                <w:rFonts w:ascii="Calibri" w:hAnsi="Calibri"/>
                <w:b w:val="0"/>
                <w:color w:val="404040"/>
                <w:sz w:val="17"/>
              </w:rPr>
              <w:t>Full-time, FTE</w:t>
            </w:r>
          </w:p>
        </w:tc>
        <w:tc>
          <w:tcPr>
            <w:tcW w:type="dxa" w:w="1800"/>
            <w:shd w:val="clear" w:color="auto" w:fill="FFFFFF"/>
          </w:tcPr>
          <w:p>
            <w:pPr>
              <w:jc w:val="left"/>
            </w:pPr>
            <w:r/>
            <w:r>
              <w:rPr>
                <w:rFonts w:ascii="Calibri" w:hAnsi="Calibri"/>
                <w:b w:val="0"/>
                <w:color w:val="404040"/>
                <w:sz w:val="17"/>
              </w:rPr>
              <w:t>Phases 1–6</w:t>
            </w:r>
          </w:p>
        </w:tc>
      </w:tr>
      <w:tr>
        <w:tc>
          <w:tcPr>
            <w:tcW w:type="dxa" w:w="2304"/>
            <w:shd w:val="clear" w:color="auto" w:fill="EDF2F8"/>
          </w:tcPr>
          <w:p>
            <w:pPr>
              <w:jc w:val="left"/>
            </w:pPr>
            <w:r/>
            <w:r>
              <w:rPr>
                <w:rFonts w:ascii="Calibri" w:hAnsi="Calibri"/>
                <w:b w:val="0"/>
                <w:color w:val="404040"/>
                <w:sz w:val="17"/>
              </w:rPr>
              <w:t>Business Analysts</w:t>
            </w:r>
          </w:p>
        </w:tc>
        <w:tc>
          <w:tcPr>
            <w:tcW w:type="dxa" w:w="720"/>
            <w:shd w:val="clear" w:color="auto" w:fill="EDF2F8"/>
          </w:tcPr>
          <w:p>
            <w:pPr>
              <w:jc w:val="left"/>
            </w:pPr>
            <w:r/>
            <w:r>
              <w:rPr>
                <w:rFonts w:ascii="Calibri" w:hAnsi="Calibri"/>
                <w:b w:val="0"/>
                <w:color w:val="404040"/>
                <w:sz w:val="17"/>
              </w:rPr>
              <w:t>2</w:t>
            </w:r>
          </w:p>
        </w:tc>
        <w:tc>
          <w:tcPr>
            <w:tcW w:type="dxa" w:w="4032"/>
            <w:shd w:val="clear" w:color="auto" w:fill="EDF2F8"/>
          </w:tcPr>
          <w:p>
            <w:pPr>
              <w:jc w:val="left"/>
            </w:pPr>
            <w:r/>
            <w:r>
              <w:rPr>
                <w:rFonts w:ascii="Calibri" w:hAnsi="Calibri"/>
                <w:b w:val="0"/>
                <w:color w:val="404040"/>
                <w:sz w:val="17"/>
              </w:rPr>
              <w:t>Requirements refinement, Event Storming facilitation, UAT support, acceptance criteria definition.</w:t>
            </w:r>
          </w:p>
        </w:tc>
        <w:tc>
          <w:tcPr>
            <w:tcW w:type="dxa" w:w="1872"/>
            <w:shd w:val="clear" w:color="auto" w:fill="EDF2F8"/>
          </w:tcPr>
          <w:p>
            <w:pPr>
              <w:jc w:val="left"/>
            </w:pPr>
            <w:r/>
            <w:r>
              <w:rPr>
                <w:rFonts w:ascii="Calibri" w:hAnsi="Calibri"/>
                <w:b w:val="0"/>
                <w:color w:val="404040"/>
                <w:sz w:val="17"/>
              </w:rPr>
              <w:t>Full-time, FTE</w:t>
            </w:r>
          </w:p>
        </w:tc>
        <w:tc>
          <w:tcPr>
            <w:tcW w:type="dxa" w:w="1800"/>
            <w:shd w:val="clear" w:color="auto" w:fill="EDF2F8"/>
          </w:tcPr>
          <w:p>
            <w:pPr>
              <w:jc w:val="left"/>
            </w:pPr>
            <w:r/>
            <w:r>
              <w:rPr>
                <w:rFonts w:ascii="Calibri" w:hAnsi="Calibri"/>
                <w:b w:val="0"/>
                <w:color w:val="404040"/>
                <w:sz w:val="17"/>
              </w:rPr>
              <w:t>Phases 0–5</w:t>
            </w:r>
          </w:p>
        </w:tc>
      </w:tr>
      <w:tr>
        <w:tc>
          <w:tcPr>
            <w:tcW w:type="dxa" w:w="2304"/>
            <w:shd w:val="clear" w:color="auto" w:fill="FFFFFF"/>
          </w:tcPr>
          <w:p>
            <w:pPr>
              <w:jc w:val="left"/>
            </w:pPr>
            <w:r/>
            <w:r>
              <w:rPr>
                <w:rFonts w:ascii="Calibri" w:hAnsi="Calibri"/>
                <w:b w:val="0"/>
                <w:color w:val="404040"/>
                <w:sz w:val="17"/>
              </w:rPr>
              <w:t>Cloud FinOps Analyst</w:t>
            </w:r>
          </w:p>
        </w:tc>
        <w:tc>
          <w:tcPr>
            <w:tcW w:type="dxa" w:w="720"/>
            <w:shd w:val="clear" w:color="auto" w:fill="FFFFFF"/>
          </w:tcPr>
          <w:p>
            <w:pPr>
              <w:jc w:val="left"/>
            </w:pPr>
            <w:r/>
            <w:r>
              <w:rPr>
                <w:rFonts w:ascii="Calibri" w:hAnsi="Calibri"/>
                <w:b w:val="0"/>
                <w:color w:val="404040"/>
                <w:sz w:val="17"/>
              </w:rPr>
              <w:t>1</w:t>
            </w:r>
          </w:p>
        </w:tc>
        <w:tc>
          <w:tcPr>
            <w:tcW w:type="dxa" w:w="4032"/>
            <w:shd w:val="clear" w:color="auto" w:fill="FFFFFF"/>
          </w:tcPr>
          <w:p>
            <w:pPr>
              <w:jc w:val="left"/>
            </w:pPr>
            <w:r/>
            <w:r>
              <w:rPr>
                <w:rFonts w:ascii="Calibri" w:hAnsi="Calibri"/>
                <w:b w:val="0"/>
                <w:color w:val="404040"/>
                <w:sz w:val="17"/>
              </w:rPr>
              <w:t>AWS cost monitoring, reserved instance planning, budget alerting, monthly cost reporting to steering committee.</w:t>
            </w:r>
          </w:p>
        </w:tc>
        <w:tc>
          <w:tcPr>
            <w:tcW w:type="dxa" w:w="1872"/>
            <w:shd w:val="clear" w:color="auto" w:fill="FFFFFF"/>
          </w:tcPr>
          <w:p>
            <w:pPr>
              <w:jc w:val="left"/>
            </w:pPr>
            <w:r/>
            <w:r>
              <w:rPr>
                <w:rFonts w:ascii="Calibri" w:hAnsi="Calibri"/>
                <w:b w:val="0"/>
                <w:color w:val="404040"/>
                <w:sz w:val="17"/>
              </w:rPr>
              <w:t>Part-time, 50%</w:t>
            </w:r>
          </w:p>
        </w:tc>
        <w:tc>
          <w:tcPr>
            <w:tcW w:type="dxa" w:w="1800"/>
            <w:shd w:val="clear" w:color="auto" w:fill="FFFFFF"/>
          </w:tcPr>
          <w:p>
            <w:pPr>
              <w:jc w:val="left"/>
            </w:pPr>
            <w:r/>
            <w:r>
              <w:rPr>
                <w:rFonts w:ascii="Calibri" w:hAnsi="Calibri"/>
                <w:b w:val="0"/>
                <w:color w:val="404040"/>
                <w:sz w:val="17"/>
              </w:rPr>
              <w:t>Phases 1–6</w:t>
            </w:r>
          </w:p>
        </w:tc>
      </w:tr>
      <w:tr>
        <w:tc>
          <w:tcPr>
            <w:tcW w:type="dxa" w:w="2304"/>
            <w:shd w:val="clear" w:color="auto" w:fill="EDF2F8"/>
          </w:tcPr>
          <w:p>
            <w:pPr>
              <w:jc w:val="left"/>
            </w:pPr>
            <w:r/>
            <w:r>
              <w:rPr>
                <w:rFonts w:ascii="Calibri" w:hAnsi="Calibri"/>
                <w:b w:val="0"/>
                <w:color w:val="404040"/>
                <w:sz w:val="17"/>
              </w:rPr>
              <w:t>Compliance Officer</w:t>
            </w:r>
          </w:p>
        </w:tc>
        <w:tc>
          <w:tcPr>
            <w:tcW w:type="dxa" w:w="720"/>
            <w:shd w:val="clear" w:color="auto" w:fill="EDF2F8"/>
          </w:tcPr>
          <w:p>
            <w:pPr>
              <w:jc w:val="left"/>
            </w:pPr>
            <w:r/>
            <w:r>
              <w:rPr>
                <w:rFonts w:ascii="Calibri" w:hAnsi="Calibri"/>
                <w:b w:val="0"/>
                <w:color w:val="404040"/>
                <w:sz w:val="17"/>
              </w:rPr>
              <w:t>1</w:t>
            </w:r>
          </w:p>
        </w:tc>
        <w:tc>
          <w:tcPr>
            <w:tcW w:type="dxa" w:w="4032"/>
            <w:shd w:val="clear" w:color="auto" w:fill="EDF2F8"/>
          </w:tcPr>
          <w:p>
            <w:pPr>
              <w:jc w:val="left"/>
            </w:pPr>
            <w:r/>
            <w:r>
              <w:rPr>
                <w:rFonts w:ascii="Calibri" w:hAnsi="Calibri"/>
                <w:b w:val="0"/>
                <w:color w:val="404040"/>
                <w:sz w:val="17"/>
              </w:rPr>
              <w:t>GDPR data mapping, PCI-DSS QSA coordination, privacy impact assessments, regulatory sign-off at phase gates.</w:t>
            </w:r>
          </w:p>
        </w:tc>
        <w:tc>
          <w:tcPr>
            <w:tcW w:type="dxa" w:w="1872"/>
            <w:shd w:val="clear" w:color="auto" w:fill="EDF2F8"/>
          </w:tcPr>
          <w:p>
            <w:pPr>
              <w:jc w:val="left"/>
            </w:pPr>
            <w:r/>
            <w:r>
              <w:rPr>
                <w:rFonts w:ascii="Calibri" w:hAnsi="Calibri"/>
                <w:b w:val="0"/>
                <w:color w:val="404040"/>
                <w:sz w:val="17"/>
              </w:rPr>
              <w:t>Part-time, 25%</w:t>
            </w:r>
          </w:p>
        </w:tc>
        <w:tc>
          <w:tcPr>
            <w:tcW w:type="dxa" w:w="1800"/>
            <w:shd w:val="clear" w:color="auto" w:fill="EDF2F8"/>
          </w:tcPr>
          <w:p>
            <w:pPr>
              <w:jc w:val="left"/>
            </w:pPr>
            <w:r/>
            <w:r>
              <w:rPr>
                <w:rFonts w:ascii="Calibri" w:hAnsi="Calibri"/>
                <w:b w:val="0"/>
                <w:color w:val="404040"/>
                <w:sz w:val="17"/>
              </w:rPr>
              <w:t>All phases</w:t>
            </w:r>
          </w:p>
        </w:tc>
      </w:tr>
    </w:tbl>
    <w:p>
      <w:pPr>
        <w:spacing w:after="80"/>
      </w:pPr>
    </w:p>
    <w:p>
      <w:pPr>
        <w:spacing w:before="40" w:after="160"/>
      </w:pPr>
      <w:r>
        <w:rPr>
          <w:rFonts w:ascii="Calibri" w:hAnsi="Calibri"/>
          <w:i/>
          <w:color w:val="2E75B6"/>
          <w:sz w:val="17"/>
        </w:rPr>
        <w:t>Table 8.1 – Team Structure and Resource Requirements</w:t>
      </w:r>
    </w:p>
    <w:p>
      <w:pPr>
        <w:pStyle w:val="Heading2"/>
        <w:spacing w:before="200" w:after="120"/>
      </w:pPr>
      <w:r>
        <w:rPr>
          <w:rFonts w:ascii="Calibri" w:hAnsi="Calibri"/>
          <w:color w:val="2E75B6"/>
          <w:sz w:val="26"/>
        </w:rPr>
        <w:t>8.2  Infrastructure Requirements</w:t>
      </w:r>
    </w:p>
    <w:tbl>
      <w:tblPr>
        <w:tblStyle w:val="TableGrid"/>
        <w:tblW w:type="auto" w:w="0"/>
        <w:jc w:val="center"/>
        <w:tblLook w:firstColumn="1" w:firstRow="1" w:lastColumn="0" w:lastRow="0" w:noHBand="0" w:noVBand="1" w:val="04A0"/>
      </w:tblPr>
      <w:tblGrid>
        <w:gridCol w:w="1786"/>
        <w:gridCol w:w="1786"/>
        <w:gridCol w:w="1786"/>
        <w:gridCol w:w="1786"/>
        <w:gridCol w:w="1786"/>
      </w:tblGrid>
      <w:tr>
        <w:tc>
          <w:tcPr>
            <w:tcW w:type="dxa" w:w="2304"/>
            <w:shd w:val="clear" w:color="auto" w:fill="1F3964"/>
          </w:tcPr>
          <w:p>
            <w:pPr>
              <w:jc w:val="center"/>
            </w:pPr>
            <w:r/>
            <w:r>
              <w:rPr>
                <w:rFonts w:ascii="Calibri" w:hAnsi="Calibri"/>
                <w:b/>
                <w:color w:val="FFFFFF"/>
                <w:sz w:val="18"/>
              </w:rPr>
              <w:t>Resource</w:t>
            </w:r>
          </w:p>
        </w:tc>
        <w:tc>
          <w:tcPr>
            <w:tcW w:type="dxa" w:w="2304"/>
            <w:shd w:val="clear" w:color="auto" w:fill="1F3964"/>
          </w:tcPr>
          <w:p>
            <w:pPr>
              <w:jc w:val="center"/>
            </w:pPr>
            <w:r/>
            <w:r>
              <w:rPr>
                <w:rFonts w:ascii="Calibri" w:hAnsi="Calibri"/>
                <w:b/>
                <w:color w:val="FFFFFF"/>
                <w:sz w:val="18"/>
              </w:rPr>
              <w:t>Specification</w:t>
            </w:r>
          </w:p>
        </w:tc>
        <w:tc>
          <w:tcPr>
            <w:tcW w:type="dxa" w:w="3024"/>
            <w:shd w:val="clear" w:color="auto" w:fill="1F3964"/>
          </w:tcPr>
          <w:p>
            <w:pPr>
              <w:jc w:val="center"/>
            </w:pPr>
            <w:r/>
            <w:r>
              <w:rPr>
                <w:rFonts w:ascii="Calibri" w:hAnsi="Calibri"/>
                <w:b/>
                <w:color w:val="FFFFFF"/>
                <w:sz w:val="18"/>
              </w:rPr>
              <w:t>Purpose</w:t>
            </w:r>
          </w:p>
        </w:tc>
        <w:tc>
          <w:tcPr>
            <w:tcW w:type="dxa" w:w="2160"/>
            <w:shd w:val="clear" w:color="auto" w:fill="1F3964"/>
          </w:tcPr>
          <w:p>
            <w:pPr>
              <w:jc w:val="center"/>
            </w:pPr>
            <w:r/>
            <w:r>
              <w:rPr>
                <w:rFonts w:ascii="Calibri" w:hAnsi="Calibri"/>
                <w:b/>
                <w:color w:val="FFFFFF"/>
                <w:sz w:val="18"/>
              </w:rPr>
              <w:t>Sizing</w:t>
            </w:r>
          </w:p>
        </w:tc>
        <w:tc>
          <w:tcPr>
            <w:tcW w:type="dxa" w:w="1584"/>
            <w:shd w:val="clear" w:color="auto" w:fill="1F3964"/>
          </w:tcPr>
          <w:p>
            <w:pPr>
              <w:jc w:val="center"/>
            </w:pPr>
            <w:r/>
            <w:r>
              <w:rPr>
                <w:rFonts w:ascii="Calibri" w:hAnsi="Calibri"/>
                <w:b/>
                <w:color w:val="FFFFFF"/>
                <w:sz w:val="18"/>
              </w:rPr>
              <w:t>Estimated Monthly Cost</w:t>
            </w:r>
          </w:p>
        </w:tc>
      </w:tr>
      <w:tr>
        <w:tc>
          <w:tcPr>
            <w:tcW w:type="dxa" w:w="2304"/>
            <w:shd w:val="clear" w:color="auto" w:fill="FFFFFF"/>
          </w:tcPr>
          <w:p>
            <w:pPr>
              <w:jc w:val="left"/>
            </w:pPr>
            <w:r/>
            <w:r>
              <w:rPr>
                <w:rFonts w:ascii="Calibri" w:hAnsi="Calibri"/>
                <w:b w:val="0"/>
                <w:color w:val="404040"/>
                <w:sz w:val="17"/>
              </w:rPr>
              <w:t>AWS EKS Cluster (Production)</w:t>
            </w:r>
          </w:p>
        </w:tc>
        <w:tc>
          <w:tcPr>
            <w:tcW w:type="dxa" w:w="2304"/>
            <w:shd w:val="clear" w:color="auto" w:fill="FFFFFF"/>
          </w:tcPr>
          <w:p>
            <w:pPr>
              <w:jc w:val="left"/>
            </w:pPr>
            <w:r/>
            <w:r>
              <w:rPr>
                <w:rFonts w:ascii="Calibri" w:hAnsi="Calibri"/>
                <w:b w:val="0"/>
                <w:color w:val="404040"/>
                <w:sz w:val="17"/>
              </w:rPr>
              <w:t>EKS 1.30, Multi-AZ (3 AZs)</w:t>
            </w:r>
          </w:p>
        </w:tc>
        <w:tc>
          <w:tcPr>
            <w:tcW w:type="dxa" w:w="3024"/>
            <w:shd w:val="clear" w:color="auto" w:fill="FFFFFF"/>
          </w:tcPr>
          <w:p>
            <w:pPr>
              <w:jc w:val="left"/>
            </w:pPr>
            <w:r/>
            <w:r>
              <w:rPr>
                <w:rFonts w:ascii="Calibri" w:hAnsi="Calibri"/>
                <w:b w:val="0"/>
                <w:color w:val="404040"/>
                <w:sz w:val="17"/>
              </w:rPr>
              <w:t>Kubernetes orchestration for all microservices</w:t>
            </w:r>
          </w:p>
        </w:tc>
        <w:tc>
          <w:tcPr>
            <w:tcW w:type="dxa" w:w="2160"/>
            <w:shd w:val="clear" w:color="auto" w:fill="FFFFFF"/>
          </w:tcPr>
          <w:p>
            <w:pPr>
              <w:jc w:val="left"/>
            </w:pPr>
            <w:r/>
            <w:r>
              <w:rPr>
                <w:rFonts w:ascii="Calibri" w:hAnsi="Calibri"/>
                <w:b w:val="0"/>
                <w:color w:val="404040"/>
                <w:sz w:val="17"/>
              </w:rPr>
              <w:t>12× m6i.2xlarge nodes (autoscaled 12–30)</w:t>
            </w:r>
          </w:p>
        </w:tc>
        <w:tc>
          <w:tcPr>
            <w:tcW w:type="dxa" w:w="1584"/>
            <w:shd w:val="clear" w:color="auto" w:fill="FFFFFF"/>
          </w:tcPr>
          <w:p>
            <w:pPr>
              <w:jc w:val="left"/>
            </w:pPr>
            <w:r/>
            <w:r>
              <w:rPr>
                <w:rFonts w:ascii="Calibri" w:hAnsi="Calibri"/>
                <w:b w:val="0"/>
                <w:color w:val="404040"/>
                <w:sz w:val="17"/>
              </w:rPr>
              <w:t>~$8,500/month</w:t>
            </w:r>
          </w:p>
        </w:tc>
      </w:tr>
      <w:tr>
        <w:tc>
          <w:tcPr>
            <w:tcW w:type="dxa" w:w="2304"/>
            <w:shd w:val="clear" w:color="auto" w:fill="EDF2F8"/>
          </w:tcPr>
          <w:p>
            <w:pPr>
              <w:jc w:val="left"/>
            </w:pPr>
            <w:r/>
            <w:r>
              <w:rPr>
                <w:rFonts w:ascii="Calibri" w:hAnsi="Calibri"/>
                <w:b w:val="0"/>
                <w:color w:val="404040"/>
                <w:sz w:val="17"/>
              </w:rPr>
              <w:t>AWS EKS Cluster (Staging)</w:t>
            </w:r>
          </w:p>
        </w:tc>
        <w:tc>
          <w:tcPr>
            <w:tcW w:type="dxa" w:w="2304"/>
            <w:shd w:val="clear" w:color="auto" w:fill="EDF2F8"/>
          </w:tcPr>
          <w:p>
            <w:pPr>
              <w:jc w:val="left"/>
            </w:pPr>
            <w:r/>
            <w:r>
              <w:rPr>
                <w:rFonts w:ascii="Calibri" w:hAnsi="Calibri"/>
                <w:b w:val="0"/>
                <w:color w:val="404040"/>
                <w:sz w:val="17"/>
              </w:rPr>
              <w:t>EKS 1.30, Single-AZ</w:t>
            </w:r>
          </w:p>
        </w:tc>
        <w:tc>
          <w:tcPr>
            <w:tcW w:type="dxa" w:w="3024"/>
            <w:shd w:val="clear" w:color="auto" w:fill="EDF2F8"/>
          </w:tcPr>
          <w:p>
            <w:pPr>
              <w:jc w:val="left"/>
            </w:pPr>
            <w:r/>
            <w:r>
              <w:rPr>
                <w:rFonts w:ascii="Calibri" w:hAnsi="Calibri"/>
                <w:b w:val="0"/>
                <w:color w:val="404040"/>
                <w:sz w:val="17"/>
              </w:rPr>
              <w:t>Pre-production testing and validation environment</w:t>
            </w:r>
          </w:p>
        </w:tc>
        <w:tc>
          <w:tcPr>
            <w:tcW w:type="dxa" w:w="2160"/>
            <w:shd w:val="clear" w:color="auto" w:fill="EDF2F8"/>
          </w:tcPr>
          <w:p>
            <w:pPr>
              <w:jc w:val="left"/>
            </w:pPr>
            <w:r/>
            <w:r>
              <w:rPr>
                <w:rFonts w:ascii="Calibri" w:hAnsi="Calibri"/>
                <w:b w:val="0"/>
                <w:color w:val="404040"/>
                <w:sz w:val="17"/>
              </w:rPr>
              <w:t>6× m6i.xlarge nodes (fixed)</w:t>
            </w:r>
          </w:p>
        </w:tc>
        <w:tc>
          <w:tcPr>
            <w:tcW w:type="dxa" w:w="1584"/>
            <w:shd w:val="clear" w:color="auto" w:fill="EDF2F8"/>
          </w:tcPr>
          <w:p>
            <w:pPr>
              <w:jc w:val="left"/>
            </w:pPr>
            <w:r/>
            <w:r>
              <w:rPr>
                <w:rFonts w:ascii="Calibri" w:hAnsi="Calibri"/>
                <w:b w:val="0"/>
                <w:color w:val="404040"/>
                <w:sz w:val="17"/>
              </w:rPr>
              <w:t>~$2,200/month</w:t>
            </w:r>
          </w:p>
        </w:tc>
      </w:tr>
      <w:tr>
        <w:tc>
          <w:tcPr>
            <w:tcW w:type="dxa" w:w="2304"/>
            <w:shd w:val="clear" w:color="auto" w:fill="FFFFFF"/>
          </w:tcPr>
          <w:p>
            <w:pPr>
              <w:jc w:val="left"/>
            </w:pPr>
            <w:r/>
            <w:r>
              <w:rPr>
                <w:rFonts w:ascii="Calibri" w:hAnsi="Calibri"/>
                <w:b w:val="0"/>
                <w:color w:val="404040"/>
                <w:sz w:val="17"/>
              </w:rPr>
              <w:t>AWS RDS PostgreSQL (per service)</w:t>
            </w:r>
          </w:p>
        </w:tc>
        <w:tc>
          <w:tcPr>
            <w:tcW w:type="dxa" w:w="2304"/>
            <w:shd w:val="clear" w:color="auto" w:fill="FFFFFF"/>
          </w:tcPr>
          <w:p>
            <w:pPr>
              <w:jc w:val="left"/>
            </w:pPr>
            <w:r/>
            <w:r>
              <w:rPr>
                <w:rFonts w:ascii="Calibri" w:hAnsi="Calibri"/>
                <w:b w:val="0"/>
                <w:color w:val="404040"/>
                <w:sz w:val="17"/>
              </w:rPr>
              <w:t>PostgreSQL 15, Multi-AZ, db.r6g.xlarge</w:t>
            </w:r>
          </w:p>
        </w:tc>
        <w:tc>
          <w:tcPr>
            <w:tcW w:type="dxa" w:w="3024"/>
            <w:shd w:val="clear" w:color="auto" w:fill="FFFFFF"/>
          </w:tcPr>
          <w:p>
            <w:pPr>
              <w:jc w:val="left"/>
            </w:pPr>
            <w:r/>
            <w:r>
              <w:rPr>
                <w:rFonts w:ascii="Calibri" w:hAnsi="Calibri"/>
                <w:b w:val="0"/>
                <w:color w:val="404040"/>
                <w:sz w:val="17"/>
              </w:rPr>
              <w:t>10 dedicated RDS instances across all domain services</w:t>
            </w:r>
          </w:p>
        </w:tc>
        <w:tc>
          <w:tcPr>
            <w:tcW w:type="dxa" w:w="2160"/>
            <w:shd w:val="clear" w:color="auto" w:fill="FFFFFF"/>
          </w:tcPr>
          <w:p>
            <w:pPr>
              <w:jc w:val="left"/>
            </w:pPr>
            <w:r/>
            <w:r>
              <w:rPr>
                <w:rFonts w:ascii="Calibri" w:hAnsi="Calibri"/>
                <w:b w:val="0"/>
                <w:color w:val="404040"/>
                <w:sz w:val="17"/>
              </w:rPr>
              <w:t>Storage: 50 GB–500 GB per instance</w:t>
            </w:r>
          </w:p>
        </w:tc>
        <w:tc>
          <w:tcPr>
            <w:tcW w:type="dxa" w:w="1584"/>
            <w:shd w:val="clear" w:color="auto" w:fill="FFFFFF"/>
          </w:tcPr>
          <w:p>
            <w:pPr>
              <w:jc w:val="left"/>
            </w:pPr>
            <w:r/>
            <w:r>
              <w:rPr>
                <w:rFonts w:ascii="Calibri" w:hAnsi="Calibri"/>
                <w:b w:val="0"/>
                <w:color w:val="404040"/>
                <w:sz w:val="17"/>
              </w:rPr>
              <w:t>~$6,800/month</w:t>
            </w:r>
          </w:p>
        </w:tc>
      </w:tr>
      <w:tr>
        <w:tc>
          <w:tcPr>
            <w:tcW w:type="dxa" w:w="2304"/>
            <w:shd w:val="clear" w:color="auto" w:fill="EDF2F8"/>
          </w:tcPr>
          <w:p>
            <w:pPr>
              <w:jc w:val="left"/>
            </w:pPr>
            <w:r/>
            <w:r>
              <w:rPr>
                <w:rFonts w:ascii="Calibri" w:hAnsi="Calibri"/>
                <w:b w:val="0"/>
                <w:color w:val="404040"/>
                <w:sz w:val="17"/>
              </w:rPr>
              <w:t>Amazon MSK (Kafka)</w:t>
            </w:r>
          </w:p>
        </w:tc>
        <w:tc>
          <w:tcPr>
            <w:tcW w:type="dxa" w:w="2304"/>
            <w:shd w:val="clear" w:color="auto" w:fill="EDF2F8"/>
          </w:tcPr>
          <w:p>
            <w:pPr>
              <w:jc w:val="left"/>
            </w:pPr>
            <w:r/>
            <w:r>
              <w:rPr>
                <w:rFonts w:ascii="Calibri" w:hAnsi="Calibri"/>
                <w:b w:val="0"/>
                <w:color w:val="404040"/>
                <w:sz w:val="17"/>
              </w:rPr>
              <w:t>Kafka 3.7, 3 brokers, Multi-AZ</w:t>
            </w:r>
          </w:p>
        </w:tc>
        <w:tc>
          <w:tcPr>
            <w:tcW w:type="dxa" w:w="3024"/>
            <w:shd w:val="clear" w:color="auto" w:fill="EDF2F8"/>
          </w:tcPr>
          <w:p>
            <w:pPr>
              <w:jc w:val="left"/>
            </w:pPr>
            <w:r/>
            <w:r>
              <w:rPr>
                <w:rFonts w:ascii="Calibri" w:hAnsi="Calibri"/>
                <w:b w:val="0"/>
                <w:color w:val="404040"/>
                <w:sz w:val="17"/>
              </w:rPr>
              <w:t>Event streaming backbone for all asynchronous communication</w:t>
            </w:r>
          </w:p>
        </w:tc>
        <w:tc>
          <w:tcPr>
            <w:tcW w:type="dxa" w:w="2160"/>
            <w:shd w:val="clear" w:color="auto" w:fill="EDF2F8"/>
          </w:tcPr>
          <w:p>
            <w:pPr>
              <w:jc w:val="left"/>
            </w:pPr>
            <w:r/>
            <w:r>
              <w:rPr>
                <w:rFonts w:ascii="Calibri" w:hAnsi="Calibri"/>
                <w:b w:val="0"/>
                <w:color w:val="404040"/>
                <w:sz w:val="17"/>
              </w:rPr>
              <w:t>3× kafka.m5.2xlarge brokers</w:t>
            </w:r>
          </w:p>
        </w:tc>
        <w:tc>
          <w:tcPr>
            <w:tcW w:type="dxa" w:w="1584"/>
            <w:shd w:val="clear" w:color="auto" w:fill="EDF2F8"/>
          </w:tcPr>
          <w:p>
            <w:pPr>
              <w:jc w:val="left"/>
            </w:pPr>
            <w:r/>
            <w:r>
              <w:rPr>
                <w:rFonts w:ascii="Calibri" w:hAnsi="Calibri"/>
                <w:b w:val="0"/>
                <w:color w:val="404040"/>
                <w:sz w:val="17"/>
              </w:rPr>
              <w:t>~$2,400/month</w:t>
            </w:r>
          </w:p>
        </w:tc>
      </w:tr>
      <w:tr>
        <w:tc>
          <w:tcPr>
            <w:tcW w:type="dxa" w:w="2304"/>
            <w:shd w:val="clear" w:color="auto" w:fill="FFFFFF"/>
          </w:tcPr>
          <w:p>
            <w:pPr>
              <w:jc w:val="left"/>
            </w:pPr>
            <w:r/>
            <w:r>
              <w:rPr>
                <w:rFonts w:ascii="Calibri" w:hAnsi="Calibri"/>
                <w:b w:val="0"/>
                <w:color w:val="404040"/>
                <w:sz w:val="17"/>
              </w:rPr>
              <w:t>Amazon ElastiCache (Redis)</w:t>
            </w:r>
          </w:p>
        </w:tc>
        <w:tc>
          <w:tcPr>
            <w:tcW w:type="dxa" w:w="2304"/>
            <w:shd w:val="clear" w:color="auto" w:fill="FFFFFF"/>
          </w:tcPr>
          <w:p>
            <w:pPr>
              <w:jc w:val="left"/>
            </w:pPr>
            <w:r/>
            <w:r>
              <w:rPr>
                <w:rFonts w:ascii="Calibri" w:hAnsi="Calibri"/>
                <w:b w:val="0"/>
                <w:color w:val="404040"/>
                <w:sz w:val="17"/>
              </w:rPr>
              <w:t>Redis 7, Cluster mode, r6g.large</w:t>
            </w:r>
          </w:p>
        </w:tc>
        <w:tc>
          <w:tcPr>
            <w:tcW w:type="dxa" w:w="3024"/>
            <w:shd w:val="clear" w:color="auto" w:fill="FFFFFF"/>
          </w:tcPr>
          <w:p>
            <w:pPr>
              <w:jc w:val="left"/>
            </w:pPr>
            <w:r/>
            <w:r>
              <w:rPr>
                <w:rFonts w:ascii="Calibri" w:hAnsi="Calibri"/>
                <w:b w:val="0"/>
                <w:color w:val="404040"/>
                <w:sz w:val="17"/>
              </w:rPr>
              <w:t>Session cache (Auth), stock cache (Inventory)</w:t>
            </w:r>
          </w:p>
        </w:tc>
        <w:tc>
          <w:tcPr>
            <w:tcW w:type="dxa" w:w="2160"/>
            <w:shd w:val="clear" w:color="auto" w:fill="FFFFFF"/>
          </w:tcPr>
          <w:p>
            <w:pPr>
              <w:jc w:val="left"/>
            </w:pPr>
            <w:r/>
            <w:r>
              <w:rPr>
                <w:rFonts w:ascii="Calibri" w:hAnsi="Calibri"/>
                <w:b w:val="0"/>
                <w:color w:val="404040"/>
                <w:sz w:val="17"/>
              </w:rPr>
              <w:t>3-node clusters per use case</w:t>
            </w:r>
          </w:p>
        </w:tc>
        <w:tc>
          <w:tcPr>
            <w:tcW w:type="dxa" w:w="1584"/>
            <w:shd w:val="clear" w:color="auto" w:fill="FFFFFF"/>
          </w:tcPr>
          <w:p>
            <w:pPr>
              <w:jc w:val="left"/>
            </w:pPr>
            <w:r/>
            <w:r>
              <w:rPr>
                <w:rFonts w:ascii="Calibri" w:hAnsi="Calibri"/>
                <w:b w:val="0"/>
                <w:color w:val="404040"/>
                <w:sz w:val="17"/>
              </w:rPr>
              <w:t>~$1,200/month</w:t>
            </w:r>
          </w:p>
        </w:tc>
      </w:tr>
      <w:tr>
        <w:tc>
          <w:tcPr>
            <w:tcW w:type="dxa" w:w="2304"/>
            <w:shd w:val="clear" w:color="auto" w:fill="EDF2F8"/>
          </w:tcPr>
          <w:p>
            <w:pPr>
              <w:jc w:val="left"/>
            </w:pPr>
            <w:r/>
            <w:r>
              <w:rPr>
                <w:rFonts w:ascii="Calibri" w:hAnsi="Calibri"/>
                <w:b w:val="0"/>
                <w:color w:val="404040"/>
                <w:sz w:val="17"/>
              </w:rPr>
              <w:t>Amazon OpenSearch</w:t>
            </w:r>
          </w:p>
        </w:tc>
        <w:tc>
          <w:tcPr>
            <w:tcW w:type="dxa" w:w="2304"/>
            <w:shd w:val="clear" w:color="auto" w:fill="EDF2F8"/>
          </w:tcPr>
          <w:p>
            <w:pPr>
              <w:jc w:val="left"/>
            </w:pPr>
            <w:r/>
            <w:r>
              <w:rPr>
                <w:rFonts w:ascii="Calibri" w:hAnsi="Calibri"/>
                <w:b w:val="0"/>
                <w:color w:val="404040"/>
                <w:sz w:val="17"/>
              </w:rPr>
              <w:t>Elasticsearch 8 compatible, 3 nodes</w:t>
            </w:r>
          </w:p>
        </w:tc>
        <w:tc>
          <w:tcPr>
            <w:tcW w:type="dxa" w:w="3024"/>
            <w:shd w:val="clear" w:color="auto" w:fill="EDF2F8"/>
          </w:tcPr>
          <w:p>
            <w:pPr>
              <w:jc w:val="left"/>
            </w:pPr>
            <w:r/>
            <w:r>
              <w:rPr>
                <w:rFonts w:ascii="Calibri" w:hAnsi="Calibri"/>
                <w:b w:val="0"/>
                <w:color w:val="404040"/>
                <w:sz w:val="17"/>
              </w:rPr>
              <w:t>Search Service index store</w:t>
            </w:r>
          </w:p>
        </w:tc>
        <w:tc>
          <w:tcPr>
            <w:tcW w:type="dxa" w:w="2160"/>
            <w:shd w:val="clear" w:color="auto" w:fill="EDF2F8"/>
          </w:tcPr>
          <w:p>
            <w:pPr>
              <w:jc w:val="left"/>
            </w:pPr>
            <w:r/>
            <w:r>
              <w:rPr>
                <w:rFonts w:ascii="Calibri" w:hAnsi="Calibri"/>
                <w:b w:val="0"/>
                <w:color w:val="404040"/>
                <w:sz w:val="17"/>
              </w:rPr>
              <w:t>r6g.xlarge.search × 3, 500 GB EBS</w:t>
            </w:r>
          </w:p>
        </w:tc>
        <w:tc>
          <w:tcPr>
            <w:tcW w:type="dxa" w:w="1584"/>
            <w:shd w:val="clear" w:color="auto" w:fill="EDF2F8"/>
          </w:tcPr>
          <w:p>
            <w:pPr>
              <w:jc w:val="left"/>
            </w:pPr>
            <w:r/>
            <w:r>
              <w:rPr>
                <w:rFonts w:ascii="Calibri" w:hAnsi="Calibri"/>
                <w:b w:val="0"/>
                <w:color w:val="404040"/>
                <w:sz w:val="17"/>
              </w:rPr>
              <w:t>~$1,800/month</w:t>
            </w:r>
          </w:p>
        </w:tc>
      </w:tr>
      <w:tr>
        <w:tc>
          <w:tcPr>
            <w:tcW w:type="dxa" w:w="2304"/>
            <w:shd w:val="clear" w:color="auto" w:fill="FFFFFF"/>
          </w:tcPr>
          <w:p>
            <w:pPr>
              <w:jc w:val="left"/>
            </w:pPr>
            <w:r/>
            <w:r>
              <w:rPr>
                <w:rFonts w:ascii="Calibri" w:hAnsi="Calibri"/>
                <w:b w:val="0"/>
                <w:color w:val="404040"/>
                <w:sz w:val="17"/>
              </w:rPr>
              <w:t>Amazon DocumentDB (MongoDB)</w:t>
            </w:r>
          </w:p>
        </w:tc>
        <w:tc>
          <w:tcPr>
            <w:tcW w:type="dxa" w:w="2304"/>
            <w:shd w:val="clear" w:color="auto" w:fill="FFFFFF"/>
          </w:tcPr>
          <w:p>
            <w:pPr>
              <w:jc w:val="left"/>
            </w:pPr>
            <w:r/>
            <w:r>
              <w:rPr>
                <w:rFonts w:ascii="Calibri" w:hAnsi="Calibri"/>
                <w:b w:val="0"/>
                <w:color w:val="404040"/>
                <w:sz w:val="17"/>
              </w:rPr>
              <w:t>MongoDB 7 compatible, 3 nodes</w:t>
            </w:r>
          </w:p>
        </w:tc>
        <w:tc>
          <w:tcPr>
            <w:tcW w:type="dxa" w:w="3024"/>
            <w:shd w:val="clear" w:color="auto" w:fill="FFFFFF"/>
          </w:tcPr>
          <w:p>
            <w:pPr>
              <w:jc w:val="left"/>
            </w:pPr>
            <w:r/>
            <w:r>
              <w:rPr>
                <w:rFonts w:ascii="Calibri" w:hAnsi="Calibri"/>
                <w:b w:val="0"/>
                <w:color w:val="404040"/>
                <w:sz w:val="17"/>
              </w:rPr>
              <w:t>Notification and Reporting document stores</w:t>
            </w:r>
          </w:p>
        </w:tc>
        <w:tc>
          <w:tcPr>
            <w:tcW w:type="dxa" w:w="2160"/>
            <w:shd w:val="clear" w:color="auto" w:fill="FFFFFF"/>
          </w:tcPr>
          <w:p>
            <w:pPr>
              <w:jc w:val="left"/>
            </w:pPr>
            <w:r/>
            <w:r>
              <w:rPr>
                <w:rFonts w:ascii="Calibri" w:hAnsi="Calibri"/>
                <w:b w:val="0"/>
                <w:color w:val="404040"/>
                <w:sz w:val="17"/>
              </w:rPr>
              <w:t>db.r6g.large × 3</w:t>
            </w:r>
          </w:p>
        </w:tc>
        <w:tc>
          <w:tcPr>
            <w:tcW w:type="dxa" w:w="1584"/>
            <w:shd w:val="clear" w:color="auto" w:fill="FFFFFF"/>
          </w:tcPr>
          <w:p>
            <w:pPr>
              <w:jc w:val="left"/>
            </w:pPr>
            <w:r/>
            <w:r>
              <w:rPr>
                <w:rFonts w:ascii="Calibri" w:hAnsi="Calibri"/>
                <w:b w:val="0"/>
                <w:color w:val="404040"/>
                <w:sz w:val="17"/>
              </w:rPr>
              <w:t>~$1,400/month</w:t>
            </w:r>
          </w:p>
        </w:tc>
      </w:tr>
      <w:tr>
        <w:tc>
          <w:tcPr>
            <w:tcW w:type="dxa" w:w="2304"/>
            <w:shd w:val="clear" w:color="auto" w:fill="EDF2F8"/>
          </w:tcPr>
          <w:p>
            <w:pPr>
              <w:jc w:val="left"/>
            </w:pPr>
            <w:r/>
            <w:r>
              <w:rPr>
                <w:rFonts w:ascii="Calibri" w:hAnsi="Calibri"/>
                <w:b w:val="0"/>
                <w:color w:val="404040"/>
                <w:sz w:val="17"/>
              </w:rPr>
              <w:t>AWS API Gateway + Kong</w:t>
            </w:r>
          </w:p>
        </w:tc>
        <w:tc>
          <w:tcPr>
            <w:tcW w:type="dxa" w:w="2304"/>
            <w:shd w:val="clear" w:color="auto" w:fill="EDF2F8"/>
          </w:tcPr>
          <w:p>
            <w:pPr>
              <w:jc w:val="left"/>
            </w:pPr>
            <w:r/>
            <w:r>
              <w:rPr>
                <w:rFonts w:ascii="Calibri" w:hAnsi="Calibri"/>
                <w:b w:val="0"/>
                <w:color w:val="404040"/>
                <w:sz w:val="17"/>
              </w:rPr>
              <w:t>REST + HTTP API Gateway + Kong EE</w:t>
            </w:r>
          </w:p>
        </w:tc>
        <w:tc>
          <w:tcPr>
            <w:tcW w:type="dxa" w:w="3024"/>
            <w:shd w:val="clear" w:color="auto" w:fill="EDF2F8"/>
          </w:tcPr>
          <w:p>
            <w:pPr>
              <w:jc w:val="left"/>
            </w:pPr>
            <w:r/>
            <w:r>
              <w:rPr>
                <w:rFonts w:ascii="Calibri" w:hAnsi="Calibri"/>
                <w:b w:val="0"/>
                <w:color w:val="404040"/>
                <w:sz w:val="17"/>
              </w:rPr>
              <w:t>API management, rate limiting, auth enforcement</w:t>
            </w:r>
          </w:p>
        </w:tc>
        <w:tc>
          <w:tcPr>
            <w:tcW w:type="dxa" w:w="2160"/>
            <w:shd w:val="clear" w:color="auto" w:fill="EDF2F8"/>
          </w:tcPr>
          <w:p>
            <w:pPr>
              <w:jc w:val="left"/>
            </w:pPr>
            <w:r/>
            <w:r>
              <w:rPr>
                <w:rFonts w:ascii="Calibri" w:hAnsi="Calibri"/>
                <w:b w:val="0"/>
                <w:color w:val="404040"/>
                <w:sz w:val="17"/>
              </w:rPr>
              <w:t>Kong on EKS (3 replicas), AWS APIGW</w:t>
            </w:r>
          </w:p>
        </w:tc>
        <w:tc>
          <w:tcPr>
            <w:tcW w:type="dxa" w:w="1584"/>
            <w:shd w:val="clear" w:color="auto" w:fill="EDF2F8"/>
          </w:tcPr>
          <w:p>
            <w:pPr>
              <w:jc w:val="left"/>
            </w:pPr>
            <w:r/>
            <w:r>
              <w:rPr>
                <w:rFonts w:ascii="Calibri" w:hAnsi="Calibri"/>
                <w:b w:val="0"/>
                <w:color w:val="404040"/>
                <w:sz w:val="17"/>
              </w:rPr>
              <w:t>~$1,100/month</w:t>
            </w:r>
          </w:p>
        </w:tc>
      </w:tr>
      <w:tr>
        <w:tc>
          <w:tcPr>
            <w:tcW w:type="dxa" w:w="2304"/>
            <w:shd w:val="clear" w:color="auto" w:fill="FFFFFF"/>
          </w:tcPr>
          <w:p>
            <w:pPr>
              <w:jc w:val="left"/>
            </w:pPr>
            <w:r/>
            <w:r>
              <w:rPr>
                <w:rFonts w:ascii="Calibri" w:hAnsi="Calibri"/>
                <w:b w:val="0"/>
                <w:color w:val="404040"/>
                <w:sz w:val="17"/>
              </w:rPr>
              <w:t>Amazon S3</w:t>
            </w:r>
          </w:p>
        </w:tc>
        <w:tc>
          <w:tcPr>
            <w:tcW w:type="dxa" w:w="2304"/>
            <w:shd w:val="clear" w:color="auto" w:fill="FFFFFF"/>
          </w:tcPr>
          <w:p>
            <w:pPr>
              <w:jc w:val="left"/>
            </w:pPr>
            <w:r/>
            <w:r>
              <w:rPr>
                <w:rFonts w:ascii="Calibri" w:hAnsi="Calibri"/>
                <w:b w:val="0"/>
                <w:color w:val="404040"/>
                <w:sz w:val="17"/>
              </w:rPr>
              <w:t>Standard + Glacier storage classes</w:t>
            </w:r>
          </w:p>
        </w:tc>
        <w:tc>
          <w:tcPr>
            <w:tcW w:type="dxa" w:w="3024"/>
            <w:shd w:val="clear" w:color="auto" w:fill="FFFFFF"/>
          </w:tcPr>
          <w:p>
            <w:pPr>
              <w:jc w:val="left"/>
            </w:pPr>
            <w:r/>
            <w:r>
              <w:rPr>
                <w:rFonts w:ascii="Calibri" w:hAnsi="Calibri"/>
                <w:b w:val="0"/>
                <w:color w:val="404040"/>
                <w:sz w:val="17"/>
              </w:rPr>
              <w:t>Document storage, Spark output, log archives, DB backups</w:t>
            </w:r>
          </w:p>
        </w:tc>
        <w:tc>
          <w:tcPr>
            <w:tcW w:type="dxa" w:w="2160"/>
            <w:shd w:val="clear" w:color="auto" w:fill="FFFFFF"/>
          </w:tcPr>
          <w:p>
            <w:pPr>
              <w:jc w:val="left"/>
            </w:pPr>
            <w:r/>
            <w:r>
              <w:rPr>
                <w:rFonts w:ascii="Calibri" w:hAnsi="Calibri"/>
                <w:b w:val="0"/>
                <w:color w:val="404040"/>
                <w:sz w:val="17"/>
              </w:rPr>
              <w:t>Estimated 5 TB standard, 20 TB Glacier</w:t>
            </w:r>
          </w:p>
        </w:tc>
        <w:tc>
          <w:tcPr>
            <w:tcW w:type="dxa" w:w="1584"/>
            <w:shd w:val="clear" w:color="auto" w:fill="FFFFFF"/>
          </w:tcPr>
          <w:p>
            <w:pPr>
              <w:jc w:val="left"/>
            </w:pPr>
            <w:r/>
            <w:r>
              <w:rPr>
                <w:rFonts w:ascii="Calibri" w:hAnsi="Calibri"/>
                <w:b w:val="0"/>
                <w:color w:val="404040"/>
                <w:sz w:val="17"/>
              </w:rPr>
              <w:t>~$800/month</w:t>
            </w:r>
          </w:p>
        </w:tc>
      </w:tr>
      <w:tr>
        <w:tc>
          <w:tcPr>
            <w:tcW w:type="dxa" w:w="2304"/>
            <w:shd w:val="clear" w:color="auto" w:fill="EDF2F8"/>
          </w:tcPr>
          <w:p>
            <w:pPr>
              <w:jc w:val="left"/>
            </w:pPr>
            <w:r/>
            <w:r>
              <w:rPr>
                <w:rFonts w:ascii="Calibri" w:hAnsi="Calibri"/>
                <w:b w:val="0"/>
                <w:color w:val="404040"/>
                <w:sz w:val="17"/>
              </w:rPr>
              <w:t>HashiCorp Vault (HCP)</w:t>
            </w:r>
          </w:p>
        </w:tc>
        <w:tc>
          <w:tcPr>
            <w:tcW w:type="dxa" w:w="2304"/>
            <w:shd w:val="clear" w:color="auto" w:fill="EDF2F8"/>
          </w:tcPr>
          <w:p>
            <w:pPr>
              <w:jc w:val="left"/>
            </w:pPr>
            <w:r/>
            <w:r>
              <w:rPr>
                <w:rFonts w:ascii="Calibri" w:hAnsi="Calibri"/>
                <w:b w:val="0"/>
                <w:color w:val="404040"/>
                <w:sz w:val="17"/>
              </w:rPr>
              <w:t>HCP Vault Plus tier</w:t>
            </w:r>
          </w:p>
        </w:tc>
        <w:tc>
          <w:tcPr>
            <w:tcW w:type="dxa" w:w="3024"/>
            <w:shd w:val="clear" w:color="auto" w:fill="EDF2F8"/>
          </w:tcPr>
          <w:p>
            <w:pPr>
              <w:jc w:val="left"/>
            </w:pPr>
            <w:r/>
            <w:r>
              <w:rPr>
                <w:rFonts w:ascii="Calibri" w:hAnsi="Calibri"/>
                <w:b w:val="0"/>
                <w:color w:val="404040"/>
                <w:sz w:val="17"/>
              </w:rPr>
              <w:t>Secrets management, dynamic credentials, PKI</w:t>
            </w:r>
          </w:p>
        </w:tc>
        <w:tc>
          <w:tcPr>
            <w:tcW w:type="dxa" w:w="2160"/>
            <w:shd w:val="clear" w:color="auto" w:fill="EDF2F8"/>
          </w:tcPr>
          <w:p>
            <w:pPr>
              <w:jc w:val="left"/>
            </w:pPr>
            <w:r/>
            <w:r>
              <w:rPr>
                <w:rFonts w:ascii="Calibri" w:hAnsi="Calibri"/>
                <w:b w:val="0"/>
                <w:color w:val="404040"/>
                <w:sz w:val="17"/>
              </w:rPr>
              <w:t>HCP managed cluster</w:t>
            </w:r>
          </w:p>
        </w:tc>
        <w:tc>
          <w:tcPr>
            <w:tcW w:type="dxa" w:w="1584"/>
            <w:shd w:val="clear" w:color="auto" w:fill="EDF2F8"/>
          </w:tcPr>
          <w:p>
            <w:pPr>
              <w:jc w:val="left"/>
            </w:pPr>
            <w:r/>
            <w:r>
              <w:rPr>
                <w:rFonts w:ascii="Calibri" w:hAnsi="Calibri"/>
                <w:b w:val="0"/>
                <w:color w:val="404040"/>
                <w:sz w:val="17"/>
              </w:rPr>
              <w:t>~$900/month</w:t>
            </w:r>
          </w:p>
        </w:tc>
      </w:tr>
      <w:tr>
        <w:tc>
          <w:tcPr>
            <w:tcW w:type="dxa" w:w="2304"/>
            <w:shd w:val="clear" w:color="auto" w:fill="FFFFFF"/>
          </w:tcPr>
          <w:p>
            <w:pPr>
              <w:jc w:val="left"/>
            </w:pPr>
            <w:r/>
            <w:r>
              <w:rPr>
                <w:rFonts w:ascii="Calibri" w:hAnsi="Calibri"/>
                <w:b w:val="0"/>
                <w:color w:val="404040"/>
                <w:sz w:val="17"/>
              </w:rPr>
              <w:t>GitLab Ultimate (SaaS)</w:t>
            </w:r>
          </w:p>
        </w:tc>
        <w:tc>
          <w:tcPr>
            <w:tcW w:type="dxa" w:w="2304"/>
            <w:shd w:val="clear" w:color="auto" w:fill="FFFFFF"/>
          </w:tcPr>
          <w:p>
            <w:pPr>
              <w:jc w:val="left"/>
            </w:pPr>
            <w:r/>
            <w:r>
              <w:rPr>
                <w:rFonts w:ascii="Calibri" w:hAnsi="Calibri"/>
                <w:b w:val="0"/>
                <w:color w:val="404040"/>
                <w:sz w:val="17"/>
              </w:rPr>
              <w:t>GitLab.com Ultimate plan</w:t>
            </w:r>
          </w:p>
        </w:tc>
        <w:tc>
          <w:tcPr>
            <w:tcW w:type="dxa" w:w="3024"/>
            <w:shd w:val="clear" w:color="auto" w:fill="FFFFFF"/>
          </w:tcPr>
          <w:p>
            <w:pPr>
              <w:jc w:val="left"/>
            </w:pPr>
            <w:r/>
            <w:r>
              <w:rPr>
                <w:rFonts w:ascii="Calibri" w:hAnsi="Calibri"/>
                <w:b w:val="0"/>
                <w:color w:val="404040"/>
                <w:sz w:val="17"/>
              </w:rPr>
              <w:t>Source control, CI/CD pipelines, container registry</w:t>
            </w:r>
          </w:p>
        </w:tc>
        <w:tc>
          <w:tcPr>
            <w:tcW w:type="dxa" w:w="2160"/>
            <w:shd w:val="clear" w:color="auto" w:fill="FFFFFF"/>
          </w:tcPr>
          <w:p>
            <w:pPr>
              <w:jc w:val="left"/>
            </w:pPr>
            <w:r/>
            <w:r>
              <w:rPr>
                <w:rFonts w:ascii="Calibri" w:hAnsi="Calibri"/>
                <w:b w:val="0"/>
                <w:color w:val="404040"/>
                <w:sz w:val="17"/>
              </w:rPr>
              <w:t>30 users</w:t>
            </w:r>
          </w:p>
        </w:tc>
        <w:tc>
          <w:tcPr>
            <w:tcW w:type="dxa" w:w="1584"/>
            <w:shd w:val="clear" w:color="auto" w:fill="FFFFFF"/>
          </w:tcPr>
          <w:p>
            <w:pPr>
              <w:jc w:val="left"/>
            </w:pPr>
            <w:r/>
            <w:r>
              <w:rPr>
                <w:rFonts w:ascii="Calibri" w:hAnsi="Calibri"/>
                <w:b w:val="0"/>
                <w:color w:val="404040"/>
                <w:sz w:val="17"/>
              </w:rPr>
              <w:t>~$1,800/month</w:t>
            </w:r>
          </w:p>
        </w:tc>
      </w:tr>
      <w:tr>
        <w:tc>
          <w:tcPr>
            <w:tcW w:type="dxa" w:w="2304"/>
            <w:shd w:val="clear" w:color="auto" w:fill="EDF2F8"/>
          </w:tcPr>
          <w:p>
            <w:pPr>
              <w:jc w:val="left"/>
            </w:pPr>
            <w:r/>
            <w:r>
              <w:rPr>
                <w:rFonts w:ascii="Calibri" w:hAnsi="Calibri"/>
                <w:b w:val="0"/>
                <w:color w:val="404040"/>
                <w:sz w:val="17"/>
              </w:rPr>
              <w:t>Monitoring (Grafana Cloud)</w:t>
            </w:r>
          </w:p>
        </w:tc>
        <w:tc>
          <w:tcPr>
            <w:tcW w:type="dxa" w:w="2304"/>
            <w:shd w:val="clear" w:color="auto" w:fill="EDF2F8"/>
          </w:tcPr>
          <w:p>
            <w:pPr>
              <w:jc w:val="left"/>
            </w:pPr>
            <w:r/>
            <w:r>
              <w:rPr>
                <w:rFonts w:ascii="Calibri" w:hAnsi="Calibri"/>
                <w:b w:val="0"/>
                <w:color w:val="404040"/>
                <w:sz w:val="17"/>
              </w:rPr>
              <w:t>Grafana Cloud Pro + on-prem Prometheus</w:t>
            </w:r>
          </w:p>
        </w:tc>
        <w:tc>
          <w:tcPr>
            <w:tcW w:type="dxa" w:w="3024"/>
            <w:shd w:val="clear" w:color="auto" w:fill="EDF2F8"/>
          </w:tcPr>
          <w:p>
            <w:pPr>
              <w:jc w:val="left"/>
            </w:pPr>
            <w:r/>
            <w:r>
              <w:rPr>
                <w:rFonts w:ascii="Calibri" w:hAnsi="Calibri"/>
                <w:b w:val="0"/>
                <w:color w:val="404040"/>
                <w:sz w:val="17"/>
              </w:rPr>
              <w:t>Metrics, alerting, dashboards</w:t>
            </w:r>
          </w:p>
        </w:tc>
        <w:tc>
          <w:tcPr>
            <w:tcW w:type="dxa" w:w="2160"/>
            <w:shd w:val="clear" w:color="auto" w:fill="EDF2F8"/>
          </w:tcPr>
          <w:p>
            <w:pPr>
              <w:jc w:val="left"/>
            </w:pPr>
            <w:r/>
            <w:r>
              <w:rPr>
                <w:rFonts w:ascii="Calibri" w:hAnsi="Calibri"/>
                <w:b w:val="0"/>
                <w:color w:val="404040"/>
                <w:sz w:val="17"/>
              </w:rPr>
              <w:t>500K series, 30-day retention</w:t>
            </w:r>
          </w:p>
        </w:tc>
        <w:tc>
          <w:tcPr>
            <w:tcW w:type="dxa" w:w="1584"/>
            <w:shd w:val="clear" w:color="auto" w:fill="EDF2F8"/>
          </w:tcPr>
          <w:p>
            <w:pPr>
              <w:jc w:val="left"/>
            </w:pPr>
            <w:r/>
            <w:r>
              <w:rPr>
                <w:rFonts w:ascii="Calibri" w:hAnsi="Calibri"/>
                <w:b w:val="0"/>
                <w:color w:val="404040"/>
                <w:sz w:val="17"/>
              </w:rPr>
              <w:t>~$700/month</w:t>
            </w:r>
          </w:p>
        </w:tc>
      </w:tr>
    </w:tbl>
    <w:p>
      <w:pPr>
        <w:spacing w:after="80"/>
      </w:pPr>
    </w:p>
    <w:p>
      <w:pPr>
        <w:spacing w:before="40" w:after="160"/>
      </w:pPr>
      <w:r>
        <w:rPr>
          <w:rFonts w:ascii="Calibri" w:hAnsi="Calibri"/>
          <w:i/>
          <w:color w:val="2E75B6"/>
          <w:sz w:val="17"/>
        </w:rPr>
        <w:t>Table 8.2 – Infrastructure Resource Requirements and Cost Estimates</w:t>
      </w:r>
    </w:p>
    <w:p>
      <w:pPr>
        <w:pStyle w:val="Heading2"/>
        <w:spacing w:before="200" w:after="120"/>
      </w:pPr>
      <w:r>
        <w:rPr>
          <w:rFonts w:ascii="Calibri" w:hAnsi="Calibri"/>
          <w:color w:val="2E75B6"/>
          <w:sz w:val="26"/>
        </w:rPr>
        <w:t>8.3  Tools and Technologies Summary</w:t>
      </w:r>
    </w:p>
    <w:tbl>
      <w:tblPr>
        <w:tblStyle w:val="TableGrid"/>
        <w:tblW w:type="auto" w:w="0"/>
        <w:jc w:val="center"/>
        <w:tblLook w:firstColumn="1" w:firstRow="1" w:lastColumn="0" w:lastRow="0" w:noHBand="0" w:noVBand="1" w:val="04A0"/>
      </w:tblPr>
      <w:tblGrid>
        <w:gridCol w:w="2976"/>
        <w:gridCol w:w="2976"/>
        <w:gridCol w:w="2976"/>
      </w:tblGrid>
      <w:tr>
        <w:tc>
          <w:tcPr>
            <w:tcW w:type="dxa" w:w="2448"/>
            <w:shd w:val="clear" w:color="auto" w:fill="1F3964"/>
          </w:tcPr>
          <w:p>
            <w:pPr>
              <w:jc w:val="center"/>
            </w:pPr>
            <w:r/>
            <w:r>
              <w:rPr>
                <w:rFonts w:ascii="Calibri" w:hAnsi="Calibri"/>
                <w:b/>
                <w:color w:val="FFFFFF"/>
                <w:sz w:val="18"/>
              </w:rPr>
              <w:t>Category</w:t>
            </w:r>
          </w:p>
        </w:tc>
        <w:tc>
          <w:tcPr>
            <w:tcW w:type="dxa" w:w="4032"/>
            <w:shd w:val="clear" w:color="auto" w:fill="1F3964"/>
          </w:tcPr>
          <w:p>
            <w:pPr>
              <w:jc w:val="center"/>
            </w:pPr>
            <w:r/>
            <w:r>
              <w:rPr>
                <w:rFonts w:ascii="Calibri" w:hAnsi="Calibri"/>
                <w:b/>
                <w:color w:val="FFFFFF"/>
                <w:sz w:val="18"/>
              </w:rPr>
              <w:t>Tools / Technologies</w:t>
            </w:r>
          </w:p>
        </w:tc>
        <w:tc>
          <w:tcPr>
            <w:tcW w:type="dxa" w:w="5616"/>
            <w:shd w:val="clear" w:color="auto" w:fill="1F3964"/>
          </w:tcPr>
          <w:p>
            <w:pPr>
              <w:jc w:val="center"/>
            </w:pPr>
            <w:r/>
            <w:r>
              <w:rPr>
                <w:rFonts w:ascii="Calibri" w:hAnsi="Calibri"/>
                <w:b/>
                <w:color w:val="FFFFFF"/>
                <w:sz w:val="18"/>
              </w:rPr>
              <w:t>Purpose</w:t>
            </w:r>
          </w:p>
        </w:tc>
      </w:tr>
      <w:tr>
        <w:tc>
          <w:tcPr>
            <w:tcW w:type="dxa" w:w="2448"/>
            <w:shd w:val="clear" w:color="auto" w:fill="FFFFFF"/>
          </w:tcPr>
          <w:p>
            <w:pPr>
              <w:jc w:val="left"/>
            </w:pPr>
            <w:r/>
            <w:r>
              <w:rPr>
                <w:rFonts w:ascii="Calibri" w:hAnsi="Calibri"/>
                <w:b w:val="0"/>
                <w:color w:val="404040"/>
                <w:sz w:val="17"/>
              </w:rPr>
              <w:t>Container Orchestration</w:t>
            </w:r>
          </w:p>
        </w:tc>
        <w:tc>
          <w:tcPr>
            <w:tcW w:type="dxa" w:w="4032"/>
            <w:shd w:val="clear" w:color="auto" w:fill="FFFFFF"/>
          </w:tcPr>
          <w:p>
            <w:pPr>
              <w:jc w:val="left"/>
            </w:pPr>
            <w:r/>
            <w:r>
              <w:rPr>
                <w:rFonts w:ascii="Calibri" w:hAnsi="Calibri"/>
                <w:b w:val="0"/>
                <w:color w:val="404040"/>
                <w:sz w:val="17"/>
              </w:rPr>
              <w:t>Kubernetes (EKS 1.30), Helm 3, Kustomize</w:t>
            </w:r>
          </w:p>
        </w:tc>
        <w:tc>
          <w:tcPr>
            <w:tcW w:type="dxa" w:w="5616"/>
            <w:shd w:val="clear" w:color="auto" w:fill="FFFFFF"/>
          </w:tcPr>
          <w:p>
            <w:pPr>
              <w:jc w:val="left"/>
            </w:pPr>
            <w:r/>
            <w:r>
              <w:rPr>
                <w:rFonts w:ascii="Calibri" w:hAnsi="Calibri"/>
                <w:b w:val="0"/>
                <w:color w:val="404040"/>
                <w:sz w:val="17"/>
              </w:rPr>
              <w:t>Container scheduling, service deployment, configuration management</w:t>
            </w:r>
          </w:p>
        </w:tc>
      </w:tr>
      <w:tr>
        <w:tc>
          <w:tcPr>
            <w:tcW w:type="dxa" w:w="2448"/>
            <w:shd w:val="clear" w:color="auto" w:fill="EDF2F8"/>
          </w:tcPr>
          <w:p>
            <w:pPr>
              <w:jc w:val="left"/>
            </w:pPr>
            <w:r/>
            <w:r>
              <w:rPr>
                <w:rFonts w:ascii="Calibri" w:hAnsi="Calibri"/>
                <w:b w:val="0"/>
                <w:color w:val="404040"/>
                <w:sz w:val="17"/>
              </w:rPr>
              <w:t>Service Mesh</w:t>
            </w:r>
          </w:p>
        </w:tc>
        <w:tc>
          <w:tcPr>
            <w:tcW w:type="dxa" w:w="4032"/>
            <w:shd w:val="clear" w:color="auto" w:fill="EDF2F8"/>
          </w:tcPr>
          <w:p>
            <w:pPr>
              <w:jc w:val="left"/>
            </w:pPr>
            <w:r/>
            <w:r>
              <w:rPr>
                <w:rFonts w:ascii="Calibri" w:hAnsi="Calibri"/>
                <w:b w:val="0"/>
                <w:color w:val="404040"/>
                <w:sz w:val="17"/>
              </w:rPr>
              <w:t>Istio 1.21, Envoy Proxy, SPIFFE/SPIRE</w:t>
            </w:r>
          </w:p>
        </w:tc>
        <w:tc>
          <w:tcPr>
            <w:tcW w:type="dxa" w:w="5616"/>
            <w:shd w:val="clear" w:color="auto" w:fill="EDF2F8"/>
          </w:tcPr>
          <w:p>
            <w:pPr>
              <w:jc w:val="left"/>
            </w:pPr>
            <w:r/>
            <w:r>
              <w:rPr>
                <w:rFonts w:ascii="Calibri" w:hAnsi="Calibri"/>
                <w:b w:val="0"/>
                <w:color w:val="404040"/>
                <w:sz w:val="17"/>
              </w:rPr>
              <w:t>mTLS, traffic management, circuit breaking, observability</w:t>
            </w:r>
          </w:p>
        </w:tc>
      </w:tr>
      <w:tr>
        <w:tc>
          <w:tcPr>
            <w:tcW w:type="dxa" w:w="2448"/>
            <w:shd w:val="clear" w:color="auto" w:fill="FFFFFF"/>
          </w:tcPr>
          <w:p>
            <w:pPr>
              <w:jc w:val="left"/>
            </w:pPr>
            <w:r/>
            <w:r>
              <w:rPr>
                <w:rFonts w:ascii="Calibri" w:hAnsi="Calibri"/>
                <w:b w:val="0"/>
                <w:color w:val="404040"/>
                <w:sz w:val="17"/>
              </w:rPr>
              <w:t>API Gateway</w:t>
            </w:r>
          </w:p>
        </w:tc>
        <w:tc>
          <w:tcPr>
            <w:tcW w:type="dxa" w:w="4032"/>
            <w:shd w:val="clear" w:color="auto" w:fill="FFFFFF"/>
          </w:tcPr>
          <w:p>
            <w:pPr>
              <w:jc w:val="left"/>
            </w:pPr>
            <w:r/>
            <w:r>
              <w:rPr>
                <w:rFonts w:ascii="Calibri" w:hAnsi="Calibri"/>
                <w:b w:val="0"/>
                <w:color w:val="404040"/>
                <w:sz w:val="17"/>
              </w:rPr>
              <w:t>AWS API Gateway, Kong 3.6 Enterprise</w:t>
            </w:r>
          </w:p>
        </w:tc>
        <w:tc>
          <w:tcPr>
            <w:tcW w:type="dxa" w:w="5616"/>
            <w:shd w:val="clear" w:color="auto" w:fill="FFFFFF"/>
          </w:tcPr>
          <w:p>
            <w:pPr>
              <w:jc w:val="left"/>
            </w:pPr>
            <w:r/>
            <w:r>
              <w:rPr>
                <w:rFonts w:ascii="Calibri" w:hAnsi="Calibri"/>
                <w:b w:val="0"/>
                <w:color w:val="404040"/>
                <w:sz w:val="17"/>
              </w:rPr>
              <w:t>API routing, authentication, rate limiting, developer portal</w:t>
            </w:r>
          </w:p>
        </w:tc>
      </w:tr>
      <w:tr>
        <w:tc>
          <w:tcPr>
            <w:tcW w:type="dxa" w:w="2448"/>
            <w:shd w:val="clear" w:color="auto" w:fill="EDF2F8"/>
          </w:tcPr>
          <w:p>
            <w:pPr>
              <w:jc w:val="left"/>
            </w:pPr>
            <w:r/>
            <w:r>
              <w:rPr>
                <w:rFonts w:ascii="Calibri" w:hAnsi="Calibri"/>
                <w:b w:val="0"/>
                <w:color w:val="404040"/>
                <w:sz w:val="17"/>
              </w:rPr>
              <w:t>Event Streaming</w:t>
            </w:r>
          </w:p>
        </w:tc>
        <w:tc>
          <w:tcPr>
            <w:tcW w:type="dxa" w:w="4032"/>
            <w:shd w:val="clear" w:color="auto" w:fill="EDF2F8"/>
          </w:tcPr>
          <w:p>
            <w:pPr>
              <w:jc w:val="left"/>
            </w:pPr>
            <w:r/>
            <w:r>
              <w:rPr>
                <w:rFonts w:ascii="Calibri" w:hAnsi="Calibri"/>
                <w:b w:val="0"/>
                <w:color w:val="404040"/>
                <w:sz w:val="17"/>
              </w:rPr>
              <w:t>Apache Kafka 3.7 (MSK), Confluent Schema Registry</w:t>
            </w:r>
          </w:p>
        </w:tc>
        <w:tc>
          <w:tcPr>
            <w:tcW w:type="dxa" w:w="5616"/>
            <w:shd w:val="clear" w:color="auto" w:fill="EDF2F8"/>
          </w:tcPr>
          <w:p>
            <w:pPr>
              <w:jc w:val="left"/>
            </w:pPr>
            <w:r/>
            <w:r>
              <w:rPr>
                <w:rFonts w:ascii="Calibri" w:hAnsi="Calibri"/>
                <w:b w:val="0"/>
                <w:color w:val="404040"/>
                <w:sz w:val="17"/>
              </w:rPr>
              <w:t>Asynchronous inter-service events, event sourcing, CDC</w:t>
            </w:r>
          </w:p>
        </w:tc>
      </w:tr>
      <w:tr>
        <w:tc>
          <w:tcPr>
            <w:tcW w:type="dxa" w:w="2448"/>
            <w:shd w:val="clear" w:color="auto" w:fill="FFFFFF"/>
          </w:tcPr>
          <w:p>
            <w:pPr>
              <w:jc w:val="left"/>
            </w:pPr>
            <w:r/>
            <w:r>
              <w:rPr>
                <w:rFonts w:ascii="Calibri" w:hAnsi="Calibri"/>
                <w:b w:val="0"/>
                <w:color w:val="404040"/>
                <w:sz w:val="17"/>
              </w:rPr>
              <w:t>IaC / GitOps</w:t>
            </w:r>
          </w:p>
        </w:tc>
        <w:tc>
          <w:tcPr>
            <w:tcW w:type="dxa" w:w="4032"/>
            <w:shd w:val="clear" w:color="auto" w:fill="FFFFFF"/>
          </w:tcPr>
          <w:p>
            <w:pPr>
              <w:jc w:val="left"/>
            </w:pPr>
            <w:r/>
            <w:r>
              <w:rPr>
                <w:rFonts w:ascii="Calibri" w:hAnsi="Calibri"/>
                <w:b w:val="0"/>
                <w:color w:val="404040"/>
                <w:sz w:val="17"/>
              </w:rPr>
              <w:t>Terraform 1.8, ArgoCD 2.11, Argo Rollouts</w:t>
            </w:r>
          </w:p>
        </w:tc>
        <w:tc>
          <w:tcPr>
            <w:tcW w:type="dxa" w:w="5616"/>
            <w:shd w:val="clear" w:color="auto" w:fill="FFFFFF"/>
          </w:tcPr>
          <w:p>
            <w:pPr>
              <w:jc w:val="left"/>
            </w:pPr>
            <w:r/>
            <w:r>
              <w:rPr>
                <w:rFonts w:ascii="Calibri" w:hAnsi="Calibri"/>
                <w:b w:val="0"/>
                <w:color w:val="404040"/>
                <w:sz w:val="17"/>
              </w:rPr>
              <w:t>Infrastructure provisioning, GitOps deployments, canary releases</w:t>
            </w:r>
          </w:p>
        </w:tc>
      </w:tr>
      <w:tr>
        <w:tc>
          <w:tcPr>
            <w:tcW w:type="dxa" w:w="2448"/>
            <w:shd w:val="clear" w:color="auto" w:fill="EDF2F8"/>
          </w:tcPr>
          <w:p>
            <w:pPr>
              <w:jc w:val="left"/>
            </w:pPr>
            <w:r/>
            <w:r>
              <w:rPr>
                <w:rFonts w:ascii="Calibri" w:hAnsi="Calibri"/>
                <w:b w:val="0"/>
                <w:color w:val="404040"/>
                <w:sz w:val="17"/>
              </w:rPr>
              <w:t>CI/CD</w:t>
            </w:r>
          </w:p>
        </w:tc>
        <w:tc>
          <w:tcPr>
            <w:tcW w:type="dxa" w:w="4032"/>
            <w:shd w:val="clear" w:color="auto" w:fill="EDF2F8"/>
          </w:tcPr>
          <w:p>
            <w:pPr>
              <w:jc w:val="left"/>
            </w:pPr>
            <w:r/>
            <w:r>
              <w:rPr>
                <w:rFonts w:ascii="Calibri" w:hAnsi="Calibri"/>
                <w:b w:val="0"/>
                <w:color w:val="404040"/>
                <w:sz w:val="17"/>
              </w:rPr>
              <w:t>GitLab CI/CD, Docker, AWS ECR</w:t>
            </w:r>
          </w:p>
        </w:tc>
        <w:tc>
          <w:tcPr>
            <w:tcW w:type="dxa" w:w="5616"/>
            <w:shd w:val="clear" w:color="auto" w:fill="EDF2F8"/>
          </w:tcPr>
          <w:p>
            <w:pPr>
              <w:jc w:val="left"/>
            </w:pPr>
            <w:r/>
            <w:r>
              <w:rPr>
                <w:rFonts w:ascii="Calibri" w:hAnsi="Calibri"/>
                <w:b w:val="0"/>
                <w:color w:val="404040"/>
                <w:sz w:val="17"/>
              </w:rPr>
              <w:t>Automated build, test, security scan, and publish pipelines</w:t>
            </w:r>
          </w:p>
        </w:tc>
      </w:tr>
      <w:tr>
        <w:tc>
          <w:tcPr>
            <w:tcW w:type="dxa" w:w="2448"/>
            <w:shd w:val="clear" w:color="auto" w:fill="FFFFFF"/>
          </w:tcPr>
          <w:p>
            <w:pPr>
              <w:jc w:val="left"/>
            </w:pPr>
            <w:r/>
            <w:r>
              <w:rPr>
                <w:rFonts w:ascii="Calibri" w:hAnsi="Calibri"/>
                <w:b w:val="0"/>
                <w:color w:val="404040"/>
                <w:sz w:val="17"/>
              </w:rPr>
              <w:t>Observability</w:t>
            </w:r>
          </w:p>
        </w:tc>
        <w:tc>
          <w:tcPr>
            <w:tcW w:type="dxa" w:w="4032"/>
            <w:shd w:val="clear" w:color="auto" w:fill="FFFFFF"/>
          </w:tcPr>
          <w:p>
            <w:pPr>
              <w:jc w:val="left"/>
            </w:pPr>
            <w:r/>
            <w:r>
              <w:rPr>
                <w:rFonts w:ascii="Calibri" w:hAnsi="Calibri"/>
                <w:b w:val="0"/>
                <w:color w:val="404040"/>
                <w:sz w:val="17"/>
              </w:rPr>
              <w:t>Prometheus, Grafana, Jaeger, OpenTelemetry, ELK Stack</w:t>
            </w:r>
          </w:p>
        </w:tc>
        <w:tc>
          <w:tcPr>
            <w:tcW w:type="dxa" w:w="5616"/>
            <w:shd w:val="clear" w:color="auto" w:fill="FFFFFF"/>
          </w:tcPr>
          <w:p>
            <w:pPr>
              <w:jc w:val="left"/>
            </w:pPr>
            <w:r/>
            <w:r>
              <w:rPr>
                <w:rFonts w:ascii="Calibri" w:hAnsi="Calibri"/>
                <w:b w:val="0"/>
                <w:color w:val="404040"/>
                <w:sz w:val="17"/>
              </w:rPr>
              <w:t>Metrics, dashboards, distributed tracing, log aggregation</w:t>
            </w:r>
          </w:p>
        </w:tc>
      </w:tr>
      <w:tr>
        <w:tc>
          <w:tcPr>
            <w:tcW w:type="dxa" w:w="2448"/>
            <w:shd w:val="clear" w:color="auto" w:fill="EDF2F8"/>
          </w:tcPr>
          <w:p>
            <w:pPr>
              <w:jc w:val="left"/>
            </w:pPr>
            <w:r/>
            <w:r>
              <w:rPr>
                <w:rFonts w:ascii="Calibri" w:hAnsi="Calibri"/>
                <w:b w:val="0"/>
                <w:color w:val="404040"/>
                <w:sz w:val="17"/>
              </w:rPr>
              <w:t>Security</w:t>
            </w:r>
          </w:p>
        </w:tc>
        <w:tc>
          <w:tcPr>
            <w:tcW w:type="dxa" w:w="4032"/>
            <w:shd w:val="clear" w:color="auto" w:fill="EDF2F8"/>
          </w:tcPr>
          <w:p>
            <w:pPr>
              <w:jc w:val="left"/>
            </w:pPr>
            <w:r/>
            <w:r>
              <w:rPr>
                <w:rFonts w:ascii="Calibri" w:hAnsi="Calibri"/>
                <w:b w:val="0"/>
                <w:color w:val="404040"/>
                <w:sz w:val="17"/>
              </w:rPr>
              <w:t>HashiCorp Vault, Trivy, Falco, OWASP ZAP, Snyk</w:t>
            </w:r>
          </w:p>
        </w:tc>
        <w:tc>
          <w:tcPr>
            <w:tcW w:type="dxa" w:w="5616"/>
            <w:shd w:val="clear" w:color="auto" w:fill="EDF2F8"/>
          </w:tcPr>
          <w:p>
            <w:pPr>
              <w:jc w:val="left"/>
            </w:pPr>
            <w:r/>
            <w:r>
              <w:rPr>
                <w:rFonts w:ascii="Calibri" w:hAnsi="Calibri"/>
                <w:b w:val="0"/>
                <w:color w:val="404040"/>
                <w:sz w:val="17"/>
              </w:rPr>
              <w:t>Secrets, container scanning, runtime security, DAST, SCA</w:t>
            </w:r>
          </w:p>
        </w:tc>
      </w:tr>
      <w:tr>
        <w:tc>
          <w:tcPr>
            <w:tcW w:type="dxa" w:w="2448"/>
            <w:shd w:val="clear" w:color="auto" w:fill="FFFFFF"/>
          </w:tcPr>
          <w:p>
            <w:pPr>
              <w:jc w:val="left"/>
            </w:pPr>
            <w:r/>
            <w:r>
              <w:rPr>
                <w:rFonts w:ascii="Calibri" w:hAnsi="Calibri"/>
                <w:b w:val="0"/>
                <w:color w:val="404040"/>
                <w:sz w:val="17"/>
              </w:rPr>
              <w:t>Data Migration</w:t>
            </w:r>
          </w:p>
        </w:tc>
        <w:tc>
          <w:tcPr>
            <w:tcW w:type="dxa" w:w="4032"/>
            <w:shd w:val="clear" w:color="auto" w:fill="FFFFFF"/>
          </w:tcPr>
          <w:p>
            <w:pPr>
              <w:jc w:val="left"/>
            </w:pPr>
            <w:r/>
            <w:r>
              <w:rPr>
                <w:rFonts w:ascii="Calibri" w:hAnsi="Calibri"/>
                <w:b w:val="0"/>
                <w:color w:val="404040"/>
                <w:sz w:val="17"/>
              </w:rPr>
              <w:t>AWS DMS, AWS SCT, Custom reconciliation scripts</w:t>
            </w:r>
          </w:p>
        </w:tc>
        <w:tc>
          <w:tcPr>
            <w:tcW w:type="dxa" w:w="5616"/>
            <w:shd w:val="clear" w:color="auto" w:fill="FFFFFF"/>
          </w:tcPr>
          <w:p>
            <w:pPr>
              <w:jc w:val="left"/>
            </w:pPr>
            <w:r/>
            <w:r>
              <w:rPr>
                <w:rFonts w:ascii="Calibri" w:hAnsi="Calibri"/>
                <w:b w:val="0"/>
                <w:color w:val="404040"/>
                <w:sz w:val="17"/>
              </w:rPr>
              <w:t>Oracle-to-PostgreSQL migration, CDC replication, validation</w:t>
            </w:r>
          </w:p>
        </w:tc>
      </w:tr>
      <w:tr>
        <w:tc>
          <w:tcPr>
            <w:tcW w:type="dxa" w:w="2448"/>
            <w:shd w:val="clear" w:color="auto" w:fill="EDF2F8"/>
          </w:tcPr>
          <w:p>
            <w:pPr>
              <w:jc w:val="left"/>
            </w:pPr>
            <w:r/>
            <w:r>
              <w:rPr>
                <w:rFonts w:ascii="Calibri" w:hAnsi="Calibri"/>
                <w:b w:val="0"/>
                <w:color w:val="404040"/>
                <w:sz w:val="17"/>
              </w:rPr>
              <w:t>Testing</w:t>
            </w:r>
          </w:p>
        </w:tc>
        <w:tc>
          <w:tcPr>
            <w:tcW w:type="dxa" w:w="4032"/>
            <w:shd w:val="clear" w:color="auto" w:fill="EDF2F8"/>
          </w:tcPr>
          <w:p>
            <w:pPr>
              <w:jc w:val="left"/>
            </w:pPr>
            <w:r/>
            <w:r>
              <w:rPr>
                <w:rFonts w:ascii="Calibri" w:hAnsi="Calibri"/>
                <w:b w:val="0"/>
                <w:color w:val="404040"/>
                <w:sz w:val="17"/>
              </w:rPr>
              <w:t>JUnit 5, pytest, Jest, Pact, Testcontainers, k6, Cypress</w:t>
            </w:r>
          </w:p>
        </w:tc>
        <w:tc>
          <w:tcPr>
            <w:tcW w:type="dxa" w:w="5616"/>
            <w:shd w:val="clear" w:color="auto" w:fill="EDF2F8"/>
          </w:tcPr>
          <w:p>
            <w:pPr>
              <w:jc w:val="left"/>
            </w:pPr>
            <w:r/>
            <w:r>
              <w:rPr>
                <w:rFonts w:ascii="Calibri" w:hAnsi="Calibri"/>
                <w:b w:val="0"/>
                <w:color w:val="404040"/>
                <w:sz w:val="17"/>
              </w:rPr>
              <w:t>Unit, contract, integration, performance, and E2E testing</w:t>
            </w:r>
          </w:p>
        </w:tc>
      </w:tr>
      <w:tr>
        <w:tc>
          <w:tcPr>
            <w:tcW w:type="dxa" w:w="2448"/>
            <w:shd w:val="clear" w:color="auto" w:fill="FFFFFF"/>
          </w:tcPr>
          <w:p>
            <w:pPr>
              <w:jc w:val="left"/>
            </w:pPr>
            <w:r/>
            <w:r>
              <w:rPr>
                <w:rFonts w:ascii="Calibri" w:hAnsi="Calibri"/>
                <w:b w:val="0"/>
                <w:color w:val="404040"/>
                <w:sz w:val="17"/>
              </w:rPr>
              <w:t>Programming Languages</w:t>
            </w:r>
          </w:p>
        </w:tc>
        <w:tc>
          <w:tcPr>
            <w:tcW w:type="dxa" w:w="4032"/>
            <w:shd w:val="clear" w:color="auto" w:fill="FFFFFF"/>
          </w:tcPr>
          <w:p>
            <w:pPr>
              <w:jc w:val="left"/>
            </w:pPr>
            <w:r/>
            <w:r>
              <w:rPr>
                <w:rFonts w:ascii="Calibri" w:hAnsi="Calibri"/>
                <w:b w:val="0"/>
                <w:color w:val="404040"/>
                <w:sz w:val="17"/>
              </w:rPr>
              <w:t>Java 21, Python 3.12, Node.js 20 (TypeScript), Go 1.22</w:t>
            </w:r>
          </w:p>
        </w:tc>
        <w:tc>
          <w:tcPr>
            <w:tcW w:type="dxa" w:w="5616"/>
            <w:shd w:val="clear" w:color="auto" w:fill="FFFFFF"/>
          </w:tcPr>
          <w:p>
            <w:pPr>
              <w:jc w:val="left"/>
            </w:pPr>
            <w:r/>
            <w:r>
              <w:rPr>
                <w:rFonts w:ascii="Calibri" w:hAnsi="Calibri"/>
                <w:b w:val="0"/>
                <w:color w:val="404040"/>
                <w:sz w:val="17"/>
              </w:rPr>
              <w:t>Service implementation languages per bounded context</w:t>
            </w:r>
          </w:p>
        </w:tc>
      </w:tr>
      <w:tr>
        <w:tc>
          <w:tcPr>
            <w:tcW w:type="dxa" w:w="2448"/>
            <w:shd w:val="clear" w:color="auto" w:fill="EDF2F8"/>
          </w:tcPr>
          <w:p>
            <w:pPr>
              <w:jc w:val="left"/>
            </w:pPr>
            <w:r/>
            <w:r>
              <w:rPr>
                <w:rFonts w:ascii="Calibri" w:hAnsi="Calibri"/>
                <w:b w:val="0"/>
                <w:color w:val="404040"/>
                <w:sz w:val="17"/>
              </w:rPr>
              <w:t>Cloud Provider</w:t>
            </w:r>
          </w:p>
        </w:tc>
        <w:tc>
          <w:tcPr>
            <w:tcW w:type="dxa" w:w="4032"/>
            <w:shd w:val="clear" w:color="auto" w:fill="EDF2F8"/>
          </w:tcPr>
          <w:p>
            <w:pPr>
              <w:jc w:val="left"/>
            </w:pPr>
            <w:r/>
            <w:r>
              <w:rPr>
                <w:rFonts w:ascii="Calibri" w:hAnsi="Calibri"/>
                <w:b w:val="0"/>
                <w:color w:val="404040"/>
                <w:sz w:val="17"/>
              </w:rPr>
              <w:t>AWS (EKS, RDS, MSK, S3, KMS, WAF, CloudFront, etc.)</w:t>
            </w:r>
          </w:p>
        </w:tc>
        <w:tc>
          <w:tcPr>
            <w:tcW w:type="dxa" w:w="5616"/>
            <w:shd w:val="clear" w:color="auto" w:fill="EDF2F8"/>
          </w:tcPr>
          <w:p>
            <w:pPr>
              <w:jc w:val="left"/>
            </w:pPr>
            <w:r/>
            <w:r>
              <w:rPr>
                <w:rFonts w:ascii="Calibri" w:hAnsi="Calibri"/>
                <w:b w:val="0"/>
                <w:color w:val="404040"/>
                <w:sz w:val="17"/>
              </w:rPr>
              <w:t>Primary cloud hosting and managed services platform</w:t>
            </w:r>
          </w:p>
        </w:tc>
      </w:tr>
    </w:tbl>
    <w:p>
      <w:pPr>
        <w:spacing w:after="80"/>
      </w:pPr>
    </w:p>
    <w:p>
      <w:pPr>
        <w:spacing w:before="40" w:after="160"/>
      </w:pPr>
      <w:r>
        <w:rPr>
          <w:rFonts w:ascii="Calibri" w:hAnsi="Calibri"/>
          <w:i/>
          <w:color w:val="2E75B6"/>
          <w:sz w:val="17"/>
        </w:rPr>
        <w:t>Table 8.3 – Tools and Technologies Overview</w:t>
      </w:r>
    </w:p>
    <w:p>
      <w:r>
        <w:br w:type="page"/>
      </w:r>
    </w:p>
    <w:p>
      <w:pPr>
        <w:pStyle w:val="Heading1"/>
        <w:spacing w:before="280" w:after="120"/>
      </w:pPr>
      <w:r>
        <w:rPr>
          <w:rFonts w:ascii="Calibri" w:hAnsi="Calibri"/>
          <w:color w:val="1F3964"/>
          <w:sz w:val="32"/>
        </w:rPr>
        <w:t>9. Success Metrics and KPIs</w:t>
      </w:r>
    </w:p>
    <w:p>
      <w:pPr>
        <w:spacing w:after="120" w:before="40"/>
      </w:pPr>
      <w:r>
        <w:rPr>
          <w:rFonts w:ascii="Calibri" w:hAnsi="Calibri"/>
          <w:b w:val="0"/>
          <w:i w:val="0"/>
          <w:color w:val="404040"/>
          <w:sz w:val="20"/>
        </w:rPr>
        <w:t>The following KPIs and success metrics will be tracked throughout and after the migration programme. Baseline values are measured from the current monolithic system over a 90-day period prior to Phase 1. Target values are to be achieved within 90 days of the final production cut-over.</w:t>
      </w:r>
    </w:p>
    <w:tbl>
      <w:tblPr>
        <w:tblStyle w:val="TableGrid"/>
        <w:tblW w:type="auto" w:w="0"/>
        <w:jc w:val="center"/>
        <w:tblLook w:firstColumn="1" w:firstRow="1" w:lastColumn="0" w:lastRow="0" w:noHBand="0" w:noVBand="1" w:val="04A0"/>
      </w:tblPr>
      <w:tblGrid>
        <w:gridCol w:w="1488"/>
        <w:gridCol w:w="1488"/>
        <w:gridCol w:w="1488"/>
        <w:gridCol w:w="1488"/>
        <w:gridCol w:w="1488"/>
        <w:gridCol w:w="1488"/>
      </w:tblGrid>
      <w:tr>
        <w:tc>
          <w:tcPr>
            <w:tcW w:type="dxa" w:w="1872"/>
            <w:shd w:val="clear" w:color="auto" w:fill="1F3964"/>
          </w:tcPr>
          <w:p>
            <w:pPr>
              <w:jc w:val="center"/>
            </w:pPr>
            <w:r/>
            <w:r>
              <w:rPr>
                <w:rFonts w:ascii="Calibri" w:hAnsi="Calibri"/>
                <w:b/>
                <w:color w:val="FFFFFF"/>
                <w:sz w:val="18"/>
              </w:rPr>
              <w:t>KPI Category</w:t>
            </w:r>
          </w:p>
        </w:tc>
        <w:tc>
          <w:tcPr>
            <w:tcW w:type="dxa" w:w="2448"/>
            <w:shd w:val="clear" w:color="auto" w:fill="1F3964"/>
          </w:tcPr>
          <w:p>
            <w:pPr>
              <w:jc w:val="center"/>
            </w:pPr>
            <w:r/>
            <w:r>
              <w:rPr>
                <w:rFonts w:ascii="Calibri" w:hAnsi="Calibri"/>
                <w:b/>
                <w:color w:val="FFFFFF"/>
                <w:sz w:val="18"/>
              </w:rPr>
              <w:t>Metric</w:t>
            </w:r>
          </w:p>
        </w:tc>
        <w:tc>
          <w:tcPr>
            <w:tcW w:type="dxa" w:w="1944"/>
            <w:shd w:val="clear" w:color="auto" w:fill="1F3964"/>
          </w:tcPr>
          <w:p>
            <w:pPr>
              <w:jc w:val="center"/>
            </w:pPr>
            <w:r/>
            <w:r>
              <w:rPr>
                <w:rFonts w:ascii="Calibri" w:hAnsi="Calibri"/>
                <w:b/>
                <w:color w:val="FFFFFF"/>
                <w:sz w:val="18"/>
              </w:rPr>
              <w:t>Baseline (Current)</w:t>
            </w:r>
          </w:p>
        </w:tc>
        <w:tc>
          <w:tcPr>
            <w:tcW w:type="dxa" w:w="1944"/>
            <w:shd w:val="clear" w:color="auto" w:fill="1F3964"/>
          </w:tcPr>
          <w:p>
            <w:pPr>
              <w:jc w:val="center"/>
            </w:pPr>
            <w:r/>
            <w:r>
              <w:rPr>
                <w:rFonts w:ascii="Calibri" w:hAnsi="Calibri"/>
                <w:b/>
                <w:color w:val="FFFFFF"/>
                <w:sz w:val="18"/>
              </w:rPr>
              <w:t>Target (Post-Migration)</w:t>
            </w:r>
          </w:p>
        </w:tc>
        <w:tc>
          <w:tcPr>
            <w:tcW w:type="dxa" w:w="2376"/>
            <w:shd w:val="clear" w:color="auto" w:fill="1F3964"/>
          </w:tcPr>
          <w:p>
            <w:pPr>
              <w:jc w:val="center"/>
            </w:pPr>
            <w:r/>
            <w:r>
              <w:rPr>
                <w:rFonts w:ascii="Calibri" w:hAnsi="Calibri"/>
                <w:b/>
                <w:color w:val="FFFFFF"/>
                <w:sz w:val="18"/>
              </w:rPr>
              <w:t>Measurement Method</w:t>
            </w:r>
          </w:p>
        </w:tc>
        <w:tc>
          <w:tcPr>
            <w:tcW w:type="dxa" w:w="1512"/>
            <w:shd w:val="clear" w:color="auto" w:fill="1F3964"/>
          </w:tcPr>
          <w:p>
            <w:pPr>
              <w:jc w:val="center"/>
            </w:pPr>
            <w:r/>
            <w:r>
              <w:rPr>
                <w:rFonts w:ascii="Calibri" w:hAnsi="Calibri"/>
                <w:b/>
                <w:color w:val="FFFFFF"/>
                <w:sz w:val="18"/>
              </w:rPr>
              <w:t>Review Frequency</w:t>
            </w:r>
          </w:p>
        </w:tc>
      </w:tr>
      <w:tr>
        <w:tc>
          <w:tcPr>
            <w:tcW w:type="dxa" w:w="1872"/>
            <w:shd w:val="clear" w:color="auto" w:fill="FFFFFF"/>
          </w:tcPr>
          <w:p>
            <w:pPr>
              <w:jc w:val="left"/>
            </w:pPr>
            <w:r/>
            <w:r>
              <w:rPr>
                <w:rFonts w:ascii="Calibri" w:hAnsi="Calibri"/>
                <w:b w:val="0"/>
                <w:color w:val="404040"/>
                <w:sz w:val="17"/>
              </w:rPr>
              <w:t>Deployment Velocity</w:t>
            </w:r>
          </w:p>
        </w:tc>
        <w:tc>
          <w:tcPr>
            <w:tcW w:type="dxa" w:w="2448"/>
            <w:shd w:val="clear" w:color="auto" w:fill="FFFFFF"/>
          </w:tcPr>
          <w:p>
            <w:pPr>
              <w:jc w:val="left"/>
            </w:pPr>
            <w:r/>
            <w:r>
              <w:rPr>
                <w:rFonts w:ascii="Calibri" w:hAnsi="Calibri"/>
                <w:b w:val="0"/>
                <w:color w:val="404040"/>
                <w:sz w:val="17"/>
              </w:rPr>
              <w:t>Mean Time to Deploy (MTD)</w:t>
            </w:r>
          </w:p>
        </w:tc>
        <w:tc>
          <w:tcPr>
            <w:tcW w:type="dxa" w:w="1944"/>
            <w:shd w:val="clear" w:color="auto" w:fill="FFFFFF"/>
          </w:tcPr>
          <w:p>
            <w:pPr>
              <w:jc w:val="left"/>
            </w:pPr>
            <w:r/>
            <w:r>
              <w:rPr>
                <w:rFonts w:ascii="Calibri" w:hAnsi="Calibri"/>
                <w:b w:val="0"/>
                <w:color w:val="404040"/>
                <w:sz w:val="17"/>
              </w:rPr>
              <w:t>4.2 hours</w:t>
            </w:r>
          </w:p>
        </w:tc>
        <w:tc>
          <w:tcPr>
            <w:tcW w:type="dxa" w:w="1944"/>
            <w:shd w:val="clear" w:color="auto" w:fill="FFFFFF"/>
          </w:tcPr>
          <w:p>
            <w:pPr>
              <w:jc w:val="left"/>
            </w:pPr>
            <w:r/>
            <w:r>
              <w:rPr>
                <w:rFonts w:ascii="Calibri" w:hAnsi="Calibri"/>
                <w:b w:val="0"/>
                <w:color w:val="404040"/>
                <w:sz w:val="17"/>
              </w:rPr>
              <w:t>&lt; 15 minutes</w:t>
            </w:r>
          </w:p>
        </w:tc>
        <w:tc>
          <w:tcPr>
            <w:tcW w:type="dxa" w:w="2376"/>
            <w:shd w:val="clear" w:color="auto" w:fill="FFFFFF"/>
          </w:tcPr>
          <w:p>
            <w:pPr>
              <w:jc w:val="left"/>
            </w:pPr>
            <w:r/>
            <w:r>
              <w:rPr>
                <w:rFonts w:ascii="Calibri" w:hAnsi="Calibri"/>
                <w:b w:val="0"/>
                <w:color w:val="404040"/>
                <w:sz w:val="17"/>
              </w:rPr>
              <w:t>CI/CD pipeline deployment logs (GitLab)</w:t>
            </w:r>
          </w:p>
        </w:tc>
        <w:tc>
          <w:tcPr>
            <w:tcW w:type="dxa" w:w="1512"/>
            <w:shd w:val="clear" w:color="auto" w:fill="FFFFFF"/>
          </w:tcPr>
          <w:p>
            <w:pPr>
              <w:jc w:val="left"/>
            </w:pPr>
            <w:r/>
            <w:r>
              <w:rPr>
                <w:rFonts w:ascii="Calibri" w:hAnsi="Calibri"/>
                <w:b w:val="0"/>
                <w:color w:val="404040"/>
                <w:sz w:val="17"/>
              </w:rPr>
              <w:t>Weekly</w:t>
            </w:r>
          </w:p>
        </w:tc>
      </w:tr>
      <w:tr>
        <w:tc>
          <w:tcPr>
            <w:tcW w:type="dxa" w:w="1872"/>
            <w:shd w:val="clear" w:color="auto" w:fill="EDF2F8"/>
          </w:tcPr>
          <w:p>
            <w:pPr>
              <w:jc w:val="left"/>
            </w:pPr>
            <w:r/>
            <w:r>
              <w:rPr>
                <w:rFonts w:ascii="Calibri" w:hAnsi="Calibri"/>
                <w:b w:val="0"/>
                <w:color w:val="404040"/>
                <w:sz w:val="17"/>
              </w:rPr>
              <w:t>Deployment Velocity</w:t>
            </w:r>
          </w:p>
        </w:tc>
        <w:tc>
          <w:tcPr>
            <w:tcW w:type="dxa" w:w="2448"/>
            <w:shd w:val="clear" w:color="auto" w:fill="EDF2F8"/>
          </w:tcPr>
          <w:p>
            <w:pPr>
              <w:jc w:val="left"/>
            </w:pPr>
            <w:r/>
            <w:r>
              <w:rPr>
                <w:rFonts w:ascii="Calibri" w:hAnsi="Calibri"/>
                <w:b w:val="0"/>
                <w:color w:val="404040"/>
                <w:sz w:val="17"/>
              </w:rPr>
              <w:t>Deployment Frequency</w:t>
            </w:r>
          </w:p>
        </w:tc>
        <w:tc>
          <w:tcPr>
            <w:tcW w:type="dxa" w:w="1944"/>
            <w:shd w:val="clear" w:color="auto" w:fill="EDF2F8"/>
          </w:tcPr>
          <w:p>
            <w:pPr>
              <w:jc w:val="left"/>
            </w:pPr>
            <w:r/>
            <w:r>
              <w:rPr>
                <w:rFonts w:ascii="Calibri" w:hAnsi="Calibri"/>
                <w:b w:val="0"/>
                <w:color w:val="404040"/>
                <w:sz w:val="17"/>
              </w:rPr>
              <w:t>1× per 3–4 weeks</w:t>
            </w:r>
          </w:p>
        </w:tc>
        <w:tc>
          <w:tcPr>
            <w:tcW w:type="dxa" w:w="1944"/>
            <w:shd w:val="clear" w:color="auto" w:fill="EDF2F8"/>
          </w:tcPr>
          <w:p>
            <w:pPr>
              <w:jc w:val="left"/>
            </w:pPr>
            <w:r/>
            <w:r>
              <w:rPr>
                <w:rFonts w:ascii="Calibri" w:hAnsi="Calibri"/>
                <w:b w:val="0"/>
                <w:color w:val="404040"/>
                <w:sz w:val="17"/>
              </w:rPr>
              <w:t>≥ 10× per week</w:t>
            </w:r>
          </w:p>
        </w:tc>
        <w:tc>
          <w:tcPr>
            <w:tcW w:type="dxa" w:w="2376"/>
            <w:shd w:val="clear" w:color="auto" w:fill="EDF2F8"/>
          </w:tcPr>
          <w:p>
            <w:pPr>
              <w:jc w:val="left"/>
            </w:pPr>
            <w:r/>
            <w:r>
              <w:rPr>
                <w:rFonts w:ascii="Calibri" w:hAnsi="Calibri"/>
                <w:b w:val="0"/>
                <w:color w:val="404040"/>
                <w:sz w:val="17"/>
              </w:rPr>
              <w:t>GitLab deployment events per environment</w:t>
            </w:r>
          </w:p>
        </w:tc>
        <w:tc>
          <w:tcPr>
            <w:tcW w:type="dxa" w:w="1512"/>
            <w:shd w:val="clear" w:color="auto" w:fill="EDF2F8"/>
          </w:tcPr>
          <w:p>
            <w:pPr>
              <w:jc w:val="left"/>
            </w:pPr>
            <w:r/>
            <w:r>
              <w:rPr>
                <w:rFonts w:ascii="Calibri" w:hAnsi="Calibri"/>
                <w:b w:val="0"/>
                <w:color w:val="404040"/>
                <w:sz w:val="17"/>
              </w:rPr>
              <w:t>Weekly</w:t>
            </w:r>
          </w:p>
        </w:tc>
      </w:tr>
      <w:tr>
        <w:tc>
          <w:tcPr>
            <w:tcW w:type="dxa" w:w="1872"/>
            <w:shd w:val="clear" w:color="auto" w:fill="FFFFFF"/>
          </w:tcPr>
          <w:p>
            <w:pPr>
              <w:jc w:val="left"/>
            </w:pPr>
            <w:r/>
            <w:r>
              <w:rPr>
                <w:rFonts w:ascii="Calibri" w:hAnsi="Calibri"/>
                <w:b w:val="0"/>
                <w:color w:val="404040"/>
                <w:sz w:val="17"/>
              </w:rPr>
              <w:t>Deployment Velocity</w:t>
            </w:r>
          </w:p>
        </w:tc>
        <w:tc>
          <w:tcPr>
            <w:tcW w:type="dxa" w:w="2448"/>
            <w:shd w:val="clear" w:color="auto" w:fill="FFFFFF"/>
          </w:tcPr>
          <w:p>
            <w:pPr>
              <w:jc w:val="left"/>
            </w:pPr>
            <w:r/>
            <w:r>
              <w:rPr>
                <w:rFonts w:ascii="Calibri" w:hAnsi="Calibri"/>
                <w:b w:val="0"/>
                <w:color w:val="404040"/>
                <w:sz w:val="17"/>
              </w:rPr>
              <w:t>Change Failure Rate</w:t>
            </w:r>
          </w:p>
        </w:tc>
        <w:tc>
          <w:tcPr>
            <w:tcW w:type="dxa" w:w="1944"/>
            <w:shd w:val="clear" w:color="auto" w:fill="FFFFFF"/>
          </w:tcPr>
          <w:p>
            <w:pPr>
              <w:jc w:val="left"/>
            </w:pPr>
            <w:r/>
            <w:r>
              <w:rPr>
                <w:rFonts w:ascii="Calibri" w:hAnsi="Calibri"/>
                <w:b w:val="0"/>
                <w:color w:val="404040"/>
                <w:sz w:val="17"/>
              </w:rPr>
              <w:t>12%</w:t>
            </w:r>
          </w:p>
        </w:tc>
        <w:tc>
          <w:tcPr>
            <w:tcW w:type="dxa" w:w="1944"/>
            <w:shd w:val="clear" w:color="auto" w:fill="FFFFFF"/>
          </w:tcPr>
          <w:p>
            <w:pPr>
              <w:jc w:val="left"/>
            </w:pPr>
            <w:r/>
            <w:r>
              <w:rPr>
                <w:rFonts w:ascii="Calibri" w:hAnsi="Calibri"/>
                <w:b w:val="0"/>
                <w:color w:val="404040"/>
                <w:sz w:val="17"/>
              </w:rPr>
              <w:t>&lt; 5%</w:t>
            </w:r>
          </w:p>
        </w:tc>
        <w:tc>
          <w:tcPr>
            <w:tcW w:type="dxa" w:w="2376"/>
            <w:shd w:val="clear" w:color="auto" w:fill="FFFFFF"/>
          </w:tcPr>
          <w:p>
            <w:pPr>
              <w:jc w:val="left"/>
            </w:pPr>
            <w:r/>
            <w:r>
              <w:rPr>
                <w:rFonts w:ascii="Calibri" w:hAnsi="Calibri"/>
                <w:b w:val="0"/>
                <w:color w:val="404040"/>
                <w:sz w:val="17"/>
              </w:rPr>
              <w:t>Rollback events / total deployments</w:t>
            </w:r>
          </w:p>
        </w:tc>
        <w:tc>
          <w:tcPr>
            <w:tcW w:type="dxa" w:w="1512"/>
            <w:shd w:val="clear" w:color="auto" w:fill="FFFFFF"/>
          </w:tcPr>
          <w:p>
            <w:pPr>
              <w:jc w:val="left"/>
            </w:pPr>
            <w:r/>
            <w:r>
              <w:rPr>
                <w:rFonts w:ascii="Calibri" w:hAnsi="Calibri"/>
                <w:b w:val="0"/>
                <w:color w:val="404040"/>
                <w:sz w:val="17"/>
              </w:rPr>
              <w:t>Weekly</w:t>
            </w:r>
          </w:p>
        </w:tc>
      </w:tr>
      <w:tr>
        <w:tc>
          <w:tcPr>
            <w:tcW w:type="dxa" w:w="1872"/>
            <w:shd w:val="clear" w:color="auto" w:fill="EDF2F8"/>
          </w:tcPr>
          <w:p>
            <w:pPr>
              <w:jc w:val="left"/>
            </w:pPr>
            <w:r/>
            <w:r>
              <w:rPr>
                <w:rFonts w:ascii="Calibri" w:hAnsi="Calibri"/>
                <w:b w:val="0"/>
                <w:color w:val="404040"/>
                <w:sz w:val="17"/>
              </w:rPr>
              <w:t>Reliability</w:t>
            </w:r>
          </w:p>
        </w:tc>
        <w:tc>
          <w:tcPr>
            <w:tcW w:type="dxa" w:w="2448"/>
            <w:shd w:val="clear" w:color="auto" w:fill="EDF2F8"/>
          </w:tcPr>
          <w:p>
            <w:pPr>
              <w:jc w:val="left"/>
            </w:pPr>
            <w:r/>
            <w:r>
              <w:rPr>
                <w:rFonts w:ascii="Calibri" w:hAnsi="Calibri"/>
                <w:b w:val="0"/>
                <w:color w:val="404040"/>
                <w:sz w:val="17"/>
              </w:rPr>
              <w:t>System Availability (SLA)</w:t>
            </w:r>
          </w:p>
        </w:tc>
        <w:tc>
          <w:tcPr>
            <w:tcW w:type="dxa" w:w="1944"/>
            <w:shd w:val="clear" w:color="auto" w:fill="EDF2F8"/>
          </w:tcPr>
          <w:p>
            <w:pPr>
              <w:jc w:val="left"/>
            </w:pPr>
            <w:r/>
            <w:r>
              <w:rPr>
                <w:rFonts w:ascii="Calibri" w:hAnsi="Calibri"/>
                <w:b w:val="0"/>
                <w:color w:val="404040"/>
                <w:sz w:val="17"/>
              </w:rPr>
              <w:t>99.7%</w:t>
            </w:r>
          </w:p>
        </w:tc>
        <w:tc>
          <w:tcPr>
            <w:tcW w:type="dxa" w:w="1944"/>
            <w:shd w:val="clear" w:color="auto" w:fill="EDF2F8"/>
          </w:tcPr>
          <w:p>
            <w:pPr>
              <w:jc w:val="left"/>
            </w:pPr>
            <w:r/>
            <w:r>
              <w:rPr>
                <w:rFonts w:ascii="Calibri" w:hAnsi="Calibri"/>
                <w:b w:val="0"/>
                <w:color w:val="404040"/>
                <w:sz w:val="17"/>
              </w:rPr>
              <w:t>≥ 99.95%</w:t>
            </w:r>
          </w:p>
        </w:tc>
        <w:tc>
          <w:tcPr>
            <w:tcW w:type="dxa" w:w="2376"/>
            <w:shd w:val="clear" w:color="auto" w:fill="EDF2F8"/>
          </w:tcPr>
          <w:p>
            <w:pPr>
              <w:jc w:val="left"/>
            </w:pPr>
            <w:r/>
            <w:r>
              <w:rPr>
                <w:rFonts w:ascii="Calibri" w:hAnsi="Calibri"/>
                <w:b w:val="0"/>
                <w:color w:val="404040"/>
                <w:sz w:val="17"/>
              </w:rPr>
              <w:t>Synthetic monitoring uptime (Datadog)</w:t>
            </w:r>
          </w:p>
        </w:tc>
        <w:tc>
          <w:tcPr>
            <w:tcW w:type="dxa" w:w="1512"/>
            <w:shd w:val="clear" w:color="auto" w:fill="EDF2F8"/>
          </w:tcPr>
          <w:p>
            <w:pPr>
              <w:jc w:val="left"/>
            </w:pPr>
            <w:r/>
            <w:r>
              <w:rPr>
                <w:rFonts w:ascii="Calibri" w:hAnsi="Calibri"/>
                <w:b w:val="0"/>
                <w:color w:val="404040"/>
                <w:sz w:val="17"/>
              </w:rPr>
              <w:t>Daily</w:t>
            </w:r>
          </w:p>
        </w:tc>
      </w:tr>
      <w:tr>
        <w:tc>
          <w:tcPr>
            <w:tcW w:type="dxa" w:w="1872"/>
            <w:shd w:val="clear" w:color="auto" w:fill="FFFFFF"/>
          </w:tcPr>
          <w:p>
            <w:pPr>
              <w:jc w:val="left"/>
            </w:pPr>
            <w:r/>
            <w:r>
              <w:rPr>
                <w:rFonts w:ascii="Calibri" w:hAnsi="Calibri"/>
                <w:b w:val="0"/>
                <w:color w:val="404040"/>
                <w:sz w:val="17"/>
              </w:rPr>
              <w:t>Reliability</w:t>
            </w:r>
          </w:p>
        </w:tc>
        <w:tc>
          <w:tcPr>
            <w:tcW w:type="dxa" w:w="2448"/>
            <w:shd w:val="clear" w:color="auto" w:fill="FFFFFF"/>
          </w:tcPr>
          <w:p>
            <w:pPr>
              <w:jc w:val="left"/>
            </w:pPr>
            <w:r/>
            <w:r>
              <w:rPr>
                <w:rFonts w:ascii="Calibri" w:hAnsi="Calibri"/>
                <w:b w:val="0"/>
                <w:color w:val="404040"/>
                <w:sz w:val="17"/>
              </w:rPr>
              <w:t>Mean Time to Recovery (MTTR)</w:t>
            </w:r>
          </w:p>
        </w:tc>
        <w:tc>
          <w:tcPr>
            <w:tcW w:type="dxa" w:w="1944"/>
            <w:shd w:val="clear" w:color="auto" w:fill="FFFFFF"/>
          </w:tcPr>
          <w:p>
            <w:pPr>
              <w:jc w:val="left"/>
            </w:pPr>
            <w:r/>
            <w:r>
              <w:rPr>
                <w:rFonts w:ascii="Calibri" w:hAnsi="Calibri"/>
                <w:b w:val="0"/>
                <w:color w:val="404040"/>
                <w:sz w:val="17"/>
              </w:rPr>
              <w:t>~6 hours</w:t>
            </w:r>
          </w:p>
        </w:tc>
        <w:tc>
          <w:tcPr>
            <w:tcW w:type="dxa" w:w="1944"/>
            <w:shd w:val="clear" w:color="auto" w:fill="FFFFFF"/>
          </w:tcPr>
          <w:p>
            <w:pPr>
              <w:jc w:val="left"/>
            </w:pPr>
            <w:r/>
            <w:r>
              <w:rPr>
                <w:rFonts w:ascii="Calibri" w:hAnsi="Calibri"/>
                <w:b w:val="0"/>
                <w:color w:val="404040"/>
                <w:sz w:val="17"/>
              </w:rPr>
              <w:t>&lt; 30 minutes</w:t>
            </w:r>
          </w:p>
        </w:tc>
        <w:tc>
          <w:tcPr>
            <w:tcW w:type="dxa" w:w="2376"/>
            <w:shd w:val="clear" w:color="auto" w:fill="FFFFFF"/>
          </w:tcPr>
          <w:p>
            <w:pPr>
              <w:jc w:val="left"/>
            </w:pPr>
            <w:r/>
            <w:r>
              <w:rPr>
                <w:rFonts w:ascii="Calibri" w:hAnsi="Calibri"/>
                <w:b w:val="0"/>
                <w:color w:val="404040"/>
                <w:sz w:val="17"/>
              </w:rPr>
              <w:t>Incident management platform (PagerDuty)</w:t>
            </w:r>
          </w:p>
        </w:tc>
        <w:tc>
          <w:tcPr>
            <w:tcW w:type="dxa" w:w="1512"/>
            <w:shd w:val="clear" w:color="auto" w:fill="FFFFFF"/>
          </w:tcPr>
          <w:p>
            <w:pPr>
              <w:jc w:val="left"/>
            </w:pPr>
            <w:r/>
            <w:r>
              <w:rPr>
                <w:rFonts w:ascii="Calibri" w:hAnsi="Calibri"/>
                <w:b w:val="0"/>
                <w:color w:val="404040"/>
                <w:sz w:val="17"/>
              </w:rPr>
              <w:t>Per incident</w:t>
            </w:r>
          </w:p>
        </w:tc>
      </w:tr>
      <w:tr>
        <w:tc>
          <w:tcPr>
            <w:tcW w:type="dxa" w:w="1872"/>
            <w:shd w:val="clear" w:color="auto" w:fill="EDF2F8"/>
          </w:tcPr>
          <w:p>
            <w:pPr>
              <w:jc w:val="left"/>
            </w:pPr>
            <w:r/>
            <w:r>
              <w:rPr>
                <w:rFonts w:ascii="Calibri" w:hAnsi="Calibri"/>
                <w:b w:val="0"/>
                <w:color w:val="404040"/>
                <w:sz w:val="17"/>
              </w:rPr>
              <w:t>Reliability</w:t>
            </w:r>
          </w:p>
        </w:tc>
        <w:tc>
          <w:tcPr>
            <w:tcW w:type="dxa" w:w="2448"/>
            <w:shd w:val="clear" w:color="auto" w:fill="EDF2F8"/>
          </w:tcPr>
          <w:p>
            <w:pPr>
              <w:jc w:val="left"/>
            </w:pPr>
            <w:r/>
            <w:r>
              <w:rPr>
                <w:rFonts w:ascii="Calibri" w:hAnsi="Calibri"/>
                <w:b w:val="0"/>
                <w:color w:val="404040"/>
                <w:sz w:val="17"/>
              </w:rPr>
              <w:t>Mean Time Between Failures (MTBF)</w:t>
            </w:r>
          </w:p>
        </w:tc>
        <w:tc>
          <w:tcPr>
            <w:tcW w:type="dxa" w:w="1944"/>
            <w:shd w:val="clear" w:color="auto" w:fill="EDF2F8"/>
          </w:tcPr>
          <w:p>
            <w:pPr>
              <w:jc w:val="left"/>
            </w:pPr>
            <w:r/>
            <w:r>
              <w:rPr>
                <w:rFonts w:ascii="Calibri" w:hAnsi="Calibri"/>
                <w:b w:val="0"/>
                <w:color w:val="404040"/>
                <w:sz w:val="17"/>
              </w:rPr>
              <w:t>~2 weeks</w:t>
            </w:r>
          </w:p>
        </w:tc>
        <w:tc>
          <w:tcPr>
            <w:tcW w:type="dxa" w:w="1944"/>
            <w:shd w:val="clear" w:color="auto" w:fill="EDF2F8"/>
          </w:tcPr>
          <w:p>
            <w:pPr>
              <w:jc w:val="left"/>
            </w:pPr>
            <w:r/>
            <w:r>
              <w:rPr>
                <w:rFonts w:ascii="Calibri" w:hAnsi="Calibri"/>
                <w:b w:val="0"/>
                <w:color w:val="404040"/>
                <w:sz w:val="17"/>
              </w:rPr>
              <w:t>&gt; 8 weeks</w:t>
            </w:r>
          </w:p>
        </w:tc>
        <w:tc>
          <w:tcPr>
            <w:tcW w:type="dxa" w:w="2376"/>
            <w:shd w:val="clear" w:color="auto" w:fill="EDF2F8"/>
          </w:tcPr>
          <w:p>
            <w:pPr>
              <w:jc w:val="left"/>
            </w:pPr>
            <w:r/>
            <w:r>
              <w:rPr>
                <w:rFonts w:ascii="Calibri" w:hAnsi="Calibri"/>
                <w:b w:val="0"/>
                <w:color w:val="404040"/>
                <w:sz w:val="17"/>
              </w:rPr>
              <w:t>Incident log analysis</w:t>
            </w:r>
          </w:p>
        </w:tc>
        <w:tc>
          <w:tcPr>
            <w:tcW w:type="dxa" w:w="1512"/>
            <w:shd w:val="clear" w:color="auto" w:fill="EDF2F8"/>
          </w:tcPr>
          <w:p>
            <w:pPr>
              <w:jc w:val="left"/>
            </w:pPr>
            <w:r/>
            <w:r>
              <w:rPr>
                <w:rFonts w:ascii="Calibri" w:hAnsi="Calibri"/>
                <w:b w:val="0"/>
                <w:color w:val="404040"/>
                <w:sz w:val="17"/>
              </w:rPr>
              <w:t>Monthly</w:t>
            </w:r>
          </w:p>
        </w:tc>
      </w:tr>
      <w:tr>
        <w:tc>
          <w:tcPr>
            <w:tcW w:type="dxa" w:w="1872"/>
            <w:shd w:val="clear" w:color="auto" w:fill="FFFFFF"/>
          </w:tcPr>
          <w:p>
            <w:pPr>
              <w:jc w:val="left"/>
            </w:pPr>
            <w:r/>
            <w:r>
              <w:rPr>
                <w:rFonts w:ascii="Calibri" w:hAnsi="Calibri"/>
                <w:b w:val="0"/>
                <w:color w:val="404040"/>
                <w:sz w:val="17"/>
              </w:rPr>
              <w:t>Performance</w:t>
            </w:r>
          </w:p>
        </w:tc>
        <w:tc>
          <w:tcPr>
            <w:tcW w:type="dxa" w:w="2448"/>
            <w:shd w:val="clear" w:color="auto" w:fill="FFFFFF"/>
          </w:tcPr>
          <w:p>
            <w:pPr>
              <w:jc w:val="left"/>
            </w:pPr>
            <w:r/>
            <w:r>
              <w:rPr>
                <w:rFonts w:ascii="Calibri" w:hAnsi="Calibri"/>
                <w:b w:val="0"/>
                <w:color w:val="404040"/>
                <w:sz w:val="17"/>
              </w:rPr>
              <w:t>API P99 Latency (Order Service)</w:t>
            </w:r>
          </w:p>
        </w:tc>
        <w:tc>
          <w:tcPr>
            <w:tcW w:type="dxa" w:w="1944"/>
            <w:shd w:val="clear" w:color="auto" w:fill="FFFFFF"/>
          </w:tcPr>
          <w:p>
            <w:pPr>
              <w:jc w:val="left"/>
            </w:pPr>
            <w:r/>
            <w:r>
              <w:rPr>
                <w:rFonts w:ascii="Calibri" w:hAnsi="Calibri"/>
                <w:b w:val="0"/>
                <w:color w:val="404040"/>
                <w:sz w:val="17"/>
              </w:rPr>
              <w:t>~850ms</w:t>
            </w:r>
          </w:p>
        </w:tc>
        <w:tc>
          <w:tcPr>
            <w:tcW w:type="dxa" w:w="1944"/>
            <w:shd w:val="clear" w:color="auto" w:fill="FFFFFF"/>
          </w:tcPr>
          <w:p>
            <w:pPr>
              <w:jc w:val="left"/>
            </w:pPr>
            <w:r/>
            <w:r>
              <w:rPr>
                <w:rFonts w:ascii="Calibri" w:hAnsi="Calibri"/>
                <w:b w:val="0"/>
                <w:color w:val="404040"/>
                <w:sz w:val="17"/>
              </w:rPr>
              <w:t>&lt; 200ms</w:t>
            </w:r>
          </w:p>
        </w:tc>
        <w:tc>
          <w:tcPr>
            <w:tcW w:type="dxa" w:w="2376"/>
            <w:shd w:val="clear" w:color="auto" w:fill="FFFFFF"/>
          </w:tcPr>
          <w:p>
            <w:pPr>
              <w:jc w:val="left"/>
            </w:pPr>
            <w:r/>
            <w:r>
              <w:rPr>
                <w:rFonts w:ascii="Calibri" w:hAnsi="Calibri"/>
                <w:b w:val="0"/>
                <w:color w:val="404040"/>
                <w:sz w:val="17"/>
              </w:rPr>
              <w:t>Jaeger traces + Prometheus histogram metrics</w:t>
            </w:r>
          </w:p>
        </w:tc>
        <w:tc>
          <w:tcPr>
            <w:tcW w:type="dxa" w:w="1512"/>
            <w:shd w:val="clear" w:color="auto" w:fill="FFFFFF"/>
          </w:tcPr>
          <w:p>
            <w:pPr>
              <w:jc w:val="left"/>
            </w:pPr>
            <w:r/>
            <w:r>
              <w:rPr>
                <w:rFonts w:ascii="Calibri" w:hAnsi="Calibri"/>
                <w:b w:val="0"/>
                <w:color w:val="404040"/>
                <w:sz w:val="17"/>
              </w:rPr>
              <w:t>Real-time</w:t>
            </w:r>
          </w:p>
        </w:tc>
      </w:tr>
      <w:tr>
        <w:tc>
          <w:tcPr>
            <w:tcW w:type="dxa" w:w="1872"/>
            <w:shd w:val="clear" w:color="auto" w:fill="EDF2F8"/>
          </w:tcPr>
          <w:p>
            <w:pPr>
              <w:jc w:val="left"/>
            </w:pPr>
            <w:r/>
            <w:r>
              <w:rPr>
                <w:rFonts w:ascii="Calibri" w:hAnsi="Calibri"/>
                <w:b w:val="0"/>
                <w:color w:val="404040"/>
                <w:sz w:val="17"/>
              </w:rPr>
              <w:t>Performance</w:t>
            </w:r>
          </w:p>
        </w:tc>
        <w:tc>
          <w:tcPr>
            <w:tcW w:type="dxa" w:w="2448"/>
            <w:shd w:val="clear" w:color="auto" w:fill="EDF2F8"/>
          </w:tcPr>
          <w:p>
            <w:pPr>
              <w:jc w:val="left"/>
            </w:pPr>
            <w:r/>
            <w:r>
              <w:rPr>
                <w:rFonts w:ascii="Calibri" w:hAnsi="Calibri"/>
                <w:b w:val="0"/>
                <w:color w:val="404040"/>
                <w:sz w:val="17"/>
              </w:rPr>
              <w:t>Throughput (Orders/second)</w:t>
            </w:r>
          </w:p>
        </w:tc>
        <w:tc>
          <w:tcPr>
            <w:tcW w:type="dxa" w:w="1944"/>
            <w:shd w:val="clear" w:color="auto" w:fill="EDF2F8"/>
          </w:tcPr>
          <w:p>
            <w:pPr>
              <w:jc w:val="left"/>
            </w:pPr>
            <w:r/>
            <w:r>
              <w:rPr>
                <w:rFonts w:ascii="Calibri" w:hAnsi="Calibri"/>
                <w:b w:val="0"/>
                <w:color w:val="404040"/>
                <w:sz w:val="17"/>
              </w:rPr>
              <w:t>~18 req/s peak</w:t>
            </w:r>
          </w:p>
        </w:tc>
        <w:tc>
          <w:tcPr>
            <w:tcW w:type="dxa" w:w="1944"/>
            <w:shd w:val="clear" w:color="auto" w:fill="EDF2F8"/>
          </w:tcPr>
          <w:p>
            <w:pPr>
              <w:jc w:val="left"/>
            </w:pPr>
            <w:r/>
            <w:r>
              <w:rPr>
                <w:rFonts w:ascii="Calibri" w:hAnsi="Calibri"/>
                <w:b w:val="0"/>
                <w:color w:val="404040"/>
                <w:sz w:val="17"/>
              </w:rPr>
              <w:t>≥ 80 req/s (scalable)</w:t>
            </w:r>
          </w:p>
        </w:tc>
        <w:tc>
          <w:tcPr>
            <w:tcW w:type="dxa" w:w="2376"/>
            <w:shd w:val="clear" w:color="auto" w:fill="EDF2F8"/>
          </w:tcPr>
          <w:p>
            <w:pPr>
              <w:jc w:val="left"/>
            </w:pPr>
            <w:r/>
            <w:r>
              <w:rPr>
                <w:rFonts w:ascii="Calibri" w:hAnsi="Calibri"/>
                <w:b w:val="0"/>
                <w:color w:val="404040"/>
                <w:sz w:val="17"/>
              </w:rPr>
              <w:t>Load test results + production Prometheus metrics</w:t>
            </w:r>
          </w:p>
        </w:tc>
        <w:tc>
          <w:tcPr>
            <w:tcW w:type="dxa" w:w="1512"/>
            <w:shd w:val="clear" w:color="auto" w:fill="EDF2F8"/>
          </w:tcPr>
          <w:p>
            <w:pPr>
              <w:jc w:val="left"/>
            </w:pPr>
            <w:r/>
            <w:r>
              <w:rPr>
                <w:rFonts w:ascii="Calibri" w:hAnsi="Calibri"/>
                <w:b w:val="0"/>
                <w:color w:val="404040"/>
                <w:sz w:val="17"/>
              </w:rPr>
              <w:t>Per release</w:t>
            </w:r>
          </w:p>
        </w:tc>
      </w:tr>
      <w:tr>
        <w:tc>
          <w:tcPr>
            <w:tcW w:type="dxa" w:w="1872"/>
            <w:shd w:val="clear" w:color="auto" w:fill="FFFFFF"/>
          </w:tcPr>
          <w:p>
            <w:pPr>
              <w:jc w:val="left"/>
            </w:pPr>
            <w:r/>
            <w:r>
              <w:rPr>
                <w:rFonts w:ascii="Calibri" w:hAnsi="Calibri"/>
                <w:b w:val="0"/>
                <w:color w:val="404040"/>
                <w:sz w:val="17"/>
              </w:rPr>
              <w:t>Performance</w:t>
            </w:r>
          </w:p>
        </w:tc>
        <w:tc>
          <w:tcPr>
            <w:tcW w:type="dxa" w:w="2448"/>
            <w:shd w:val="clear" w:color="auto" w:fill="FFFFFF"/>
          </w:tcPr>
          <w:p>
            <w:pPr>
              <w:jc w:val="left"/>
            </w:pPr>
            <w:r/>
            <w:r>
              <w:rPr>
                <w:rFonts w:ascii="Calibri" w:hAnsi="Calibri"/>
                <w:b w:val="0"/>
                <w:color w:val="404040"/>
                <w:sz w:val="17"/>
              </w:rPr>
              <w:t>Database Query P99 Latency</w:t>
            </w:r>
          </w:p>
        </w:tc>
        <w:tc>
          <w:tcPr>
            <w:tcW w:type="dxa" w:w="1944"/>
            <w:shd w:val="clear" w:color="auto" w:fill="FFFFFF"/>
          </w:tcPr>
          <w:p>
            <w:pPr>
              <w:jc w:val="left"/>
            </w:pPr>
            <w:r/>
            <w:r>
              <w:rPr>
                <w:rFonts w:ascii="Calibri" w:hAnsi="Calibri"/>
                <w:b w:val="0"/>
                <w:color w:val="404040"/>
                <w:sz w:val="17"/>
              </w:rPr>
              <w:t>~450ms</w:t>
            </w:r>
          </w:p>
        </w:tc>
        <w:tc>
          <w:tcPr>
            <w:tcW w:type="dxa" w:w="1944"/>
            <w:shd w:val="clear" w:color="auto" w:fill="FFFFFF"/>
          </w:tcPr>
          <w:p>
            <w:pPr>
              <w:jc w:val="left"/>
            </w:pPr>
            <w:r/>
            <w:r>
              <w:rPr>
                <w:rFonts w:ascii="Calibri" w:hAnsi="Calibri"/>
                <w:b w:val="0"/>
                <w:color w:val="404040"/>
                <w:sz w:val="17"/>
              </w:rPr>
              <w:t>&lt; 50ms</w:t>
            </w:r>
          </w:p>
        </w:tc>
        <w:tc>
          <w:tcPr>
            <w:tcW w:type="dxa" w:w="2376"/>
            <w:shd w:val="clear" w:color="auto" w:fill="FFFFFF"/>
          </w:tcPr>
          <w:p>
            <w:pPr>
              <w:jc w:val="left"/>
            </w:pPr>
            <w:r/>
            <w:r>
              <w:rPr>
                <w:rFonts w:ascii="Calibri" w:hAnsi="Calibri"/>
                <w:b w:val="0"/>
                <w:color w:val="404040"/>
                <w:sz w:val="17"/>
              </w:rPr>
              <w:t>RDS Performance Insights + Prometheus</w:t>
            </w:r>
          </w:p>
        </w:tc>
        <w:tc>
          <w:tcPr>
            <w:tcW w:type="dxa" w:w="1512"/>
            <w:shd w:val="clear" w:color="auto" w:fill="FFFFFF"/>
          </w:tcPr>
          <w:p>
            <w:pPr>
              <w:jc w:val="left"/>
            </w:pPr>
            <w:r/>
            <w:r>
              <w:rPr>
                <w:rFonts w:ascii="Calibri" w:hAnsi="Calibri"/>
                <w:b w:val="0"/>
                <w:color w:val="404040"/>
                <w:sz w:val="17"/>
              </w:rPr>
              <w:t>Real-time</w:t>
            </w:r>
          </w:p>
        </w:tc>
      </w:tr>
      <w:tr>
        <w:tc>
          <w:tcPr>
            <w:tcW w:type="dxa" w:w="1872"/>
            <w:shd w:val="clear" w:color="auto" w:fill="EDF2F8"/>
          </w:tcPr>
          <w:p>
            <w:pPr>
              <w:jc w:val="left"/>
            </w:pPr>
            <w:r/>
            <w:r>
              <w:rPr>
                <w:rFonts w:ascii="Calibri" w:hAnsi="Calibri"/>
                <w:b w:val="0"/>
                <w:color w:val="404040"/>
                <w:sz w:val="17"/>
              </w:rPr>
              <w:t>Scalability</w:t>
            </w:r>
          </w:p>
        </w:tc>
        <w:tc>
          <w:tcPr>
            <w:tcW w:type="dxa" w:w="2448"/>
            <w:shd w:val="clear" w:color="auto" w:fill="EDF2F8"/>
          </w:tcPr>
          <w:p>
            <w:pPr>
              <w:jc w:val="left"/>
            </w:pPr>
            <w:r/>
            <w:r>
              <w:rPr>
                <w:rFonts w:ascii="Calibri" w:hAnsi="Calibri"/>
                <w:b w:val="0"/>
                <w:color w:val="404040"/>
                <w:sz w:val="17"/>
              </w:rPr>
              <w:t>Scale-to-zero capability</w:t>
            </w:r>
          </w:p>
        </w:tc>
        <w:tc>
          <w:tcPr>
            <w:tcW w:type="dxa" w:w="1944"/>
            <w:shd w:val="clear" w:color="auto" w:fill="EDF2F8"/>
          </w:tcPr>
          <w:p>
            <w:pPr>
              <w:jc w:val="left"/>
            </w:pPr>
            <w:r/>
            <w:r>
              <w:rPr>
                <w:rFonts w:ascii="Calibri" w:hAnsi="Calibri"/>
                <w:b w:val="0"/>
                <w:color w:val="404040"/>
                <w:sz w:val="17"/>
              </w:rPr>
              <w:t>Not supported</w:t>
            </w:r>
          </w:p>
        </w:tc>
        <w:tc>
          <w:tcPr>
            <w:tcW w:type="dxa" w:w="1944"/>
            <w:shd w:val="clear" w:color="auto" w:fill="EDF2F8"/>
          </w:tcPr>
          <w:p>
            <w:pPr>
              <w:jc w:val="left"/>
            </w:pPr>
            <w:r/>
            <w:r>
              <w:rPr>
                <w:rFonts w:ascii="Calibri" w:hAnsi="Calibri"/>
                <w:b w:val="0"/>
                <w:color w:val="404040"/>
                <w:sz w:val="17"/>
              </w:rPr>
              <w:t>100% of services</w:t>
            </w:r>
          </w:p>
        </w:tc>
        <w:tc>
          <w:tcPr>
            <w:tcW w:type="dxa" w:w="2376"/>
            <w:shd w:val="clear" w:color="auto" w:fill="EDF2F8"/>
          </w:tcPr>
          <w:p>
            <w:pPr>
              <w:jc w:val="left"/>
            </w:pPr>
            <w:r/>
            <w:r>
              <w:rPr>
                <w:rFonts w:ascii="Calibri" w:hAnsi="Calibri"/>
                <w:b w:val="0"/>
                <w:color w:val="404040"/>
                <w:sz w:val="17"/>
              </w:rPr>
              <w:t>Kubernetes HPA/KEDA configuration audit</w:t>
            </w:r>
          </w:p>
        </w:tc>
        <w:tc>
          <w:tcPr>
            <w:tcW w:type="dxa" w:w="1512"/>
            <w:shd w:val="clear" w:color="auto" w:fill="EDF2F8"/>
          </w:tcPr>
          <w:p>
            <w:pPr>
              <w:jc w:val="left"/>
            </w:pPr>
            <w:r/>
            <w:r>
              <w:rPr>
                <w:rFonts w:ascii="Calibri" w:hAnsi="Calibri"/>
                <w:b w:val="0"/>
                <w:color w:val="404040"/>
                <w:sz w:val="17"/>
              </w:rPr>
              <w:t>Monthly</w:t>
            </w:r>
          </w:p>
        </w:tc>
      </w:tr>
      <w:tr>
        <w:tc>
          <w:tcPr>
            <w:tcW w:type="dxa" w:w="1872"/>
            <w:shd w:val="clear" w:color="auto" w:fill="FFFFFF"/>
          </w:tcPr>
          <w:p>
            <w:pPr>
              <w:jc w:val="left"/>
            </w:pPr>
            <w:r/>
            <w:r>
              <w:rPr>
                <w:rFonts w:ascii="Calibri" w:hAnsi="Calibri"/>
                <w:b w:val="0"/>
                <w:color w:val="404040"/>
                <w:sz w:val="17"/>
              </w:rPr>
              <w:t>Scalability</w:t>
            </w:r>
          </w:p>
        </w:tc>
        <w:tc>
          <w:tcPr>
            <w:tcW w:type="dxa" w:w="2448"/>
            <w:shd w:val="clear" w:color="auto" w:fill="FFFFFF"/>
          </w:tcPr>
          <w:p>
            <w:pPr>
              <w:jc w:val="left"/>
            </w:pPr>
            <w:r/>
            <w:r>
              <w:rPr>
                <w:rFonts w:ascii="Calibri" w:hAnsi="Calibri"/>
                <w:b w:val="0"/>
                <w:color w:val="404040"/>
                <w:sz w:val="17"/>
              </w:rPr>
              <w:t>Time to scale out under load</w:t>
            </w:r>
          </w:p>
        </w:tc>
        <w:tc>
          <w:tcPr>
            <w:tcW w:type="dxa" w:w="1944"/>
            <w:shd w:val="clear" w:color="auto" w:fill="FFFFFF"/>
          </w:tcPr>
          <w:p>
            <w:pPr>
              <w:jc w:val="left"/>
            </w:pPr>
            <w:r/>
            <w:r>
              <w:rPr>
                <w:rFonts w:ascii="Calibri" w:hAnsi="Calibri"/>
                <w:b w:val="0"/>
                <w:color w:val="404040"/>
                <w:sz w:val="17"/>
              </w:rPr>
              <w:t>Manual (hours)</w:t>
            </w:r>
          </w:p>
        </w:tc>
        <w:tc>
          <w:tcPr>
            <w:tcW w:type="dxa" w:w="1944"/>
            <w:shd w:val="clear" w:color="auto" w:fill="FFFFFF"/>
          </w:tcPr>
          <w:p>
            <w:pPr>
              <w:jc w:val="left"/>
            </w:pPr>
            <w:r/>
            <w:r>
              <w:rPr>
                <w:rFonts w:ascii="Calibri" w:hAnsi="Calibri"/>
                <w:b w:val="0"/>
                <w:color w:val="404040"/>
                <w:sz w:val="17"/>
              </w:rPr>
              <w:t>&lt; 2 minutes automated</w:t>
            </w:r>
          </w:p>
        </w:tc>
        <w:tc>
          <w:tcPr>
            <w:tcW w:type="dxa" w:w="2376"/>
            <w:shd w:val="clear" w:color="auto" w:fill="FFFFFF"/>
          </w:tcPr>
          <w:p>
            <w:pPr>
              <w:jc w:val="left"/>
            </w:pPr>
            <w:r/>
            <w:r>
              <w:rPr>
                <w:rFonts w:ascii="Calibri" w:hAnsi="Calibri"/>
                <w:b w:val="0"/>
                <w:color w:val="404040"/>
                <w:sz w:val="17"/>
              </w:rPr>
              <w:t>HPA scale-out event logs</w:t>
            </w:r>
          </w:p>
        </w:tc>
        <w:tc>
          <w:tcPr>
            <w:tcW w:type="dxa" w:w="1512"/>
            <w:shd w:val="clear" w:color="auto" w:fill="FFFFFF"/>
          </w:tcPr>
          <w:p>
            <w:pPr>
              <w:jc w:val="left"/>
            </w:pPr>
            <w:r/>
            <w:r>
              <w:rPr>
                <w:rFonts w:ascii="Calibri" w:hAnsi="Calibri"/>
                <w:b w:val="0"/>
                <w:color w:val="404040"/>
                <w:sz w:val="17"/>
              </w:rPr>
              <w:t>Per event</w:t>
            </w:r>
          </w:p>
        </w:tc>
      </w:tr>
      <w:tr>
        <w:tc>
          <w:tcPr>
            <w:tcW w:type="dxa" w:w="1872"/>
            <w:shd w:val="clear" w:color="auto" w:fill="EDF2F8"/>
          </w:tcPr>
          <w:p>
            <w:pPr>
              <w:jc w:val="left"/>
            </w:pPr>
            <w:r/>
            <w:r>
              <w:rPr>
                <w:rFonts w:ascii="Calibri" w:hAnsi="Calibri"/>
                <w:b w:val="0"/>
                <w:color w:val="404040"/>
                <w:sz w:val="17"/>
              </w:rPr>
              <w:t>Cost Efficiency</w:t>
            </w:r>
          </w:p>
        </w:tc>
        <w:tc>
          <w:tcPr>
            <w:tcW w:type="dxa" w:w="2448"/>
            <w:shd w:val="clear" w:color="auto" w:fill="EDF2F8"/>
          </w:tcPr>
          <w:p>
            <w:pPr>
              <w:jc w:val="left"/>
            </w:pPr>
            <w:r/>
            <w:r>
              <w:rPr>
                <w:rFonts w:ascii="Calibri" w:hAnsi="Calibri"/>
                <w:b w:val="0"/>
                <w:color w:val="404040"/>
                <w:sz w:val="17"/>
              </w:rPr>
              <w:t>Infrastructure cost per transaction</w:t>
            </w:r>
          </w:p>
        </w:tc>
        <w:tc>
          <w:tcPr>
            <w:tcW w:type="dxa" w:w="1944"/>
            <w:shd w:val="clear" w:color="auto" w:fill="EDF2F8"/>
          </w:tcPr>
          <w:p>
            <w:pPr>
              <w:jc w:val="left"/>
            </w:pPr>
            <w:r/>
            <w:r>
              <w:rPr>
                <w:rFonts w:ascii="Calibri" w:hAnsi="Calibri"/>
                <w:b w:val="0"/>
                <w:color w:val="404040"/>
                <w:sz w:val="17"/>
              </w:rPr>
              <w:t>$0.0042</w:t>
            </w:r>
          </w:p>
        </w:tc>
        <w:tc>
          <w:tcPr>
            <w:tcW w:type="dxa" w:w="1944"/>
            <w:shd w:val="clear" w:color="auto" w:fill="EDF2F8"/>
          </w:tcPr>
          <w:p>
            <w:pPr>
              <w:jc w:val="left"/>
            </w:pPr>
            <w:r/>
            <w:r>
              <w:rPr>
                <w:rFonts w:ascii="Calibri" w:hAnsi="Calibri"/>
                <w:b w:val="0"/>
                <w:color w:val="404040"/>
                <w:sz w:val="17"/>
              </w:rPr>
              <w:t>&lt; $0.0025</w:t>
            </w:r>
          </w:p>
        </w:tc>
        <w:tc>
          <w:tcPr>
            <w:tcW w:type="dxa" w:w="2376"/>
            <w:shd w:val="clear" w:color="auto" w:fill="EDF2F8"/>
          </w:tcPr>
          <w:p>
            <w:pPr>
              <w:jc w:val="left"/>
            </w:pPr>
            <w:r/>
            <w:r>
              <w:rPr>
                <w:rFonts w:ascii="Calibri" w:hAnsi="Calibri"/>
                <w:b w:val="0"/>
                <w:color w:val="404040"/>
                <w:sz w:val="17"/>
              </w:rPr>
              <w:t>AWS Cost Explorer / transaction volume</w:t>
            </w:r>
          </w:p>
        </w:tc>
        <w:tc>
          <w:tcPr>
            <w:tcW w:type="dxa" w:w="1512"/>
            <w:shd w:val="clear" w:color="auto" w:fill="EDF2F8"/>
          </w:tcPr>
          <w:p>
            <w:pPr>
              <w:jc w:val="left"/>
            </w:pPr>
            <w:r/>
            <w:r>
              <w:rPr>
                <w:rFonts w:ascii="Calibri" w:hAnsi="Calibri"/>
                <w:b w:val="0"/>
                <w:color w:val="404040"/>
                <w:sz w:val="17"/>
              </w:rPr>
              <w:t>Monthly</w:t>
            </w:r>
          </w:p>
        </w:tc>
      </w:tr>
      <w:tr>
        <w:tc>
          <w:tcPr>
            <w:tcW w:type="dxa" w:w="1872"/>
            <w:shd w:val="clear" w:color="auto" w:fill="FFFFFF"/>
          </w:tcPr>
          <w:p>
            <w:pPr>
              <w:jc w:val="left"/>
            </w:pPr>
            <w:r/>
            <w:r>
              <w:rPr>
                <w:rFonts w:ascii="Calibri" w:hAnsi="Calibri"/>
                <w:b w:val="0"/>
                <w:color w:val="404040"/>
                <w:sz w:val="17"/>
              </w:rPr>
              <w:t>Cost Efficiency</w:t>
            </w:r>
          </w:p>
        </w:tc>
        <w:tc>
          <w:tcPr>
            <w:tcW w:type="dxa" w:w="2448"/>
            <w:shd w:val="clear" w:color="auto" w:fill="FFFFFF"/>
          </w:tcPr>
          <w:p>
            <w:pPr>
              <w:jc w:val="left"/>
            </w:pPr>
            <w:r/>
            <w:r>
              <w:rPr>
                <w:rFonts w:ascii="Calibri" w:hAnsi="Calibri"/>
                <w:b w:val="0"/>
                <w:color w:val="404040"/>
                <w:sz w:val="17"/>
              </w:rPr>
              <w:t>Annual infrastructure cost</w:t>
            </w:r>
          </w:p>
        </w:tc>
        <w:tc>
          <w:tcPr>
            <w:tcW w:type="dxa" w:w="1944"/>
            <w:shd w:val="clear" w:color="auto" w:fill="FFFFFF"/>
          </w:tcPr>
          <w:p>
            <w:pPr>
              <w:jc w:val="left"/>
            </w:pPr>
            <w:r/>
            <w:r>
              <w:rPr>
                <w:rFonts w:ascii="Calibri" w:hAnsi="Calibri"/>
                <w:b w:val="0"/>
                <w:color w:val="404040"/>
                <w:sz w:val="17"/>
              </w:rPr>
              <w:t>$2.1M/year</w:t>
            </w:r>
          </w:p>
        </w:tc>
        <w:tc>
          <w:tcPr>
            <w:tcW w:type="dxa" w:w="1944"/>
            <w:shd w:val="clear" w:color="auto" w:fill="FFFFFF"/>
          </w:tcPr>
          <w:p>
            <w:pPr>
              <w:jc w:val="left"/>
            </w:pPr>
            <w:r/>
            <w:r>
              <w:rPr>
                <w:rFonts w:ascii="Calibri" w:hAnsi="Calibri"/>
                <w:b w:val="0"/>
                <w:color w:val="404040"/>
                <w:sz w:val="17"/>
              </w:rPr>
              <w:t>&lt; $1.4M/year</w:t>
            </w:r>
          </w:p>
        </w:tc>
        <w:tc>
          <w:tcPr>
            <w:tcW w:type="dxa" w:w="2376"/>
            <w:shd w:val="clear" w:color="auto" w:fill="FFFFFF"/>
          </w:tcPr>
          <w:p>
            <w:pPr>
              <w:jc w:val="left"/>
            </w:pPr>
            <w:r/>
            <w:r>
              <w:rPr>
                <w:rFonts w:ascii="Calibri" w:hAnsi="Calibri"/>
                <w:b w:val="0"/>
                <w:color w:val="404040"/>
                <w:sz w:val="17"/>
              </w:rPr>
              <w:t>AWS Cost Explorer monthly report</w:t>
            </w:r>
          </w:p>
        </w:tc>
        <w:tc>
          <w:tcPr>
            <w:tcW w:type="dxa" w:w="1512"/>
            <w:shd w:val="clear" w:color="auto" w:fill="FFFFFF"/>
          </w:tcPr>
          <w:p>
            <w:pPr>
              <w:jc w:val="left"/>
            </w:pPr>
            <w:r/>
            <w:r>
              <w:rPr>
                <w:rFonts w:ascii="Calibri" w:hAnsi="Calibri"/>
                <w:b w:val="0"/>
                <w:color w:val="404040"/>
                <w:sz w:val="17"/>
              </w:rPr>
              <w:t>Monthly</w:t>
            </w:r>
          </w:p>
        </w:tc>
      </w:tr>
      <w:tr>
        <w:tc>
          <w:tcPr>
            <w:tcW w:type="dxa" w:w="1872"/>
            <w:shd w:val="clear" w:color="auto" w:fill="EDF2F8"/>
          </w:tcPr>
          <w:p>
            <w:pPr>
              <w:jc w:val="left"/>
            </w:pPr>
            <w:r/>
            <w:r>
              <w:rPr>
                <w:rFonts w:ascii="Calibri" w:hAnsi="Calibri"/>
                <w:b w:val="0"/>
                <w:color w:val="404040"/>
                <w:sz w:val="17"/>
              </w:rPr>
              <w:t>Developer Productivity</w:t>
            </w:r>
          </w:p>
        </w:tc>
        <w:tc>
          <w:tcPr>
            <w:tcW w:type="dxa" w:w="2448"/>
            <w:shd w:val="clear" w:color="auto" w:fill="EDF2F8"/>
          </w:tcPr>
          <w:p>
            <w:pPr>
              <w:jc w:val="left"/>
            </w:pPr>
            <w:r/>
            <w:r>
              <w:rPr>
                <w:rFonts w:ascii="Calibri" w:hAnsi="Calibri"/>
                <w:b w:val="0"/>
                <w:color w:val="404040"/>
                <w:sz w:val="17"/>
              </w:rPr>
              <w:t>Onboarding time (new engineer)</w:t>
            </w:r>
          </w:p>
        </w:tc>
        <w:tc>
          <w:tcPr>
            <w:tcW w:type="dxa" w:w="1944"/>
            <w:shd w:val="clear" w:color="auto" w:fill="EDF2F8"/>
          </w:tcPr>
          <w:p>
            <w:pPr>
              <w:jc w:val="left"/>
            </w:pPr>
            <w:r/>
            <w:r>
              <w:rPr>
                <w:rFonts w:ascii="Calibri" w:hAnsi="Calibri"/>
                <w:b w:val="0"/>
                <w:color w:val="404040"/>
                <w:sz w:val="17"/>
              </w:rPr>
              <w:t>~3 weeks</w:t>
            </w:r>
          </w:p>
        </w:tc>
        <w:tc>
          <w:tcPr>
            <w:tcW w:type="dxa" w:w="1944"/>
            <w:shd w:val="clear" w:color="auto" w:fill="EDF2F8"/>
          </w:tcPr>
          <w:p>
            <w:pPr>
              <w:jc w:val="left"/>
            </w:pPr>
            <w:r/>
            <w:r>
              <w:rPr>
                <w:rFonts w:ascii="Calibri" w:hAnsi="Calibri"/>
                <w:b w:val="0"/>
                <w:color w:val="404040"/>
                <w:sz w:val="17"/>
              </w:rPr>
              <w:t>&lt; 1 week</w:t>
            </w:r>
          </w:p>
        </w:tc>
        <w:tc>
          <w:tcPr>
            <w:tcW w:type="dxa" w:w="2376"/>
            <w:shd w:val="clear" w:color="auto" w:fill="EDF2F8"/>
          </w:tcPr>
          <w:p>
            <w:pPr>
              <w:jc w:val="left"/>
            </w:pPr>
            <w:r/>
            <w:r>
              <w:rPr>
                <w:rFonts w:ascii="Calibri" w:hAnsi="Calibri"/>
                <w:b w:val="0"/>
                <w:color w:val="404040"/>
                <w:sz w:val="17"/>
              </w:rPr>
              <w:t>Squad lead survey + onboarding task completion</w:t>
            </w:r>
          </w:p>
        </w:tc>
        <w:tc>
          <w:tcPr>
            <w:tcW w:type="dxa" w:w="1512"/>
            <w:shd w:val="clear" w:color="auto" w:fill="EDF2F8"/>
          </w:tcPr>
          <w:p>
            <w:pPr>
              <w:jc w:val="left"/>
            </w:pPr>
            <w:r/>
            <w:r>
              <w:rPr>
                <w:rFonts w:ascii="Calibri" w:hAnsi="Calibri"/>
                <w:b w:val="0"/>
                <w:color w:val="404040"/>
                <w:sz w:val="17"/>
              </w:rPr>
              <w:t>Per hire</w:t>
            </w:r>
          </w:p>
        </w:tc>
      </w:tr>
      <w:tr>
        <w:tc>
          <w:tcPr>
            <w:tcW w:type="dxa" w:w="1872"/>
            <w:shd w:val="clear" w:color="auto" w:fill="FFFFFF"/>
          </w:tcPr>
          <w:p>
            <w:pPr>
              <w:jc w:val="left"/>
            </w:pPr>
            <w:r/>
            <w:r>
              <w:rPr>
                <w:rFonts w:ascii="Calibri" w:hAnsi="Calibri"/>
                <w:b w:val="0"/>
                <w:color w:val="404040"/>
                <w:sz w:val="17"/>
              </w:rPr>
              <w:t>Developer Productivity</w:t>
            </w:r>
          </w:p>
        </w:tc>
        <w:tc>
          <w:tcPr>
            <w:tcW w:type="dxa" w:w="2448"/>
            <w:shd w:val="clear" w:color="auto" w:fill="FFFFFF"/>
          </w:tcPr>
          <w:p>
            <w:pPr>
              <w:jc w:val="left"/>
            </w:pPr>
            <w:r/>
            <w:r>
              <w:rPr>
                <w:rFonts w:ascii="Calibri" w:hAnsi="Calibri"/>
                <w:b w:val="0"/>
                <w:color w:val="404040"/>
                <w:sz w:val="17"/>
              </w:rPr>
              <w:t>Lead time for change</w:t>
            </w:r>
          </w:p>
        </w:tc>
        <w:tc>
          <w:tcPr>
            <w:tcW w:type="dxa" w:w="1944"/>
            <w:shd w:val="clear" w:color="auto" w:fill="FFFFFF"/>
          </w:tcPr>
          <w:p>
            <w:pPr>
              <w:jc w:val="left"/>
            </w:pPr>
            <w:r/>
            <w:r>
              <w:rPr>
                <w:rFonts w:ascii="Calibri" w:hAnsi="Calibri"/>
                <w:b w:val="0"/>
                <w:color w:val="404040"/>
                <w:sz w:val="17"/>
              </w:rPr>
              <w:t>~3 weeks</w:t>
            </w:r>
          </w:p>
        </w:tc>
        <w:tc>
          <w:tcPr>
            <w:tcW w:type="dxa" w:w="1944"/>
            <w:shd w:val="clear" w:color="auto" w:fill="FFFFFF"/>
          </w:tcPr>
          <w:p>
            <w:pPr>
              <w:jc w:val="left"/>
            </w:pPr>
            <w:r/>
            <w:r>
              <w:rPr>
                <w:rFonts w:ascii="Calibri" w:hAnsi="Calibri"/>
                <w:b w:val="0"/>
                <w:color w:val="404040"/>
                <w:sz w:val="17"/>
              </w:rPr>
              <w:t>&lt; 3 days</w:t>
            </w:r>
          </w:p>
        </w:tc>
        <w:tc>
          <w:tcPr>
            <w:tcW w:type="dxa" w:w="2376"/>
            <w:shd w:val="clear" w:color="auto" w:fill="FFFFFF"/>
          </w:tcPr>
          <w:p>
            <w:pPr>
              <w:jc w:val="left"/>
            </w:pPr>
            <w:r/>
            <w:r>
              <w:rPr>
                <w:rFonts w:ascii="Calibri" w:hAnsi="Calibri"/>
                <w:b w:val="0"/>
                <w:color w:val="404040"/>
                <w:sz w:val="17"/>
              </w:rPr>
              <w:t>GitLab DORA metrics integration</w:t>
            </w:r>
          </w:p>
        </w:tc>
        <w:tc>
          <w:tcPr>
            <w:tcW w:type="dxa" w:w="1512"/>
            <w:shd w:val="clear" w:color="auto" w:fill="FFFFFF"/>
          </w:tcPr>
          <w:p>
            <w:pPr>
              <w:jc w:val="left"/>
            </w:pPr>
            <w:r/>
            <w:r>
              <w:rPr>
                <w:rFonts w:ascii="Calibri" w:hAnsi="Calibri"/>
                <w:b w:val="0"/>
                <w:color w:val="404040"/>
                <w:sz w:val="17"/>
              </w:rPr>
              <w:t>Weekly</w:t>
            </w:r>
          </w:p>
        </w:tc>
      </w:tr>
      <w:tr>
        <w:tc>
          <w:tcPr>
            <w:tcW w:type="dxa" w:w="1872"/>
            <w:shd w:val="clear" w:color="auto" w:fill="EDF2F8"/>
          </w:tcPr>
          <w:p>
            <w:pPr>
              <w:jc w:val="left"/>
            </w:pPr>
            <w:r/>
            <w:r>
              <w:rPr>
                <w:rFonts w:ascii="Calibri" w:hAnsi="Calibri"/>
                <w:b w:val="0"/>
                <w:color w:val="404040"/>
                <w:sz w:val="17"/>
              </w:rPr>
              <w:t>Security</w:t>
            </w:r>
          </w:p>
        </w:tc>
        <w:tc>
          <w:tcPr>
            <w:tcW w:type="dxa" w:w="2448"/>
            <w:shd w:val="clear" w:color="auto" w:fill="EDF2F8"/>
          </w:tcPr>
          <w:p>
            <w:pPr>
              <w:jc w:val="left"/>
            </w:pPr>
            <w:r/>
            <w:r>
              <w:rPr>
                <w:rFonts w:ascii="Calibri" w:hAnsi="Calibri"/>
                <w:b w:val="0"/>
                <w:color w:val="404040"/>
                <w:sz w:val="17"/>
              </w:rPr>
              <w:t>Critical/High CVEs in production</w:t>
            </w:r>
          </w:p>
        </w:tc>
        <w:tc>
          <w:tcPr>
            <w:tcW w:type="dxa" w:w="1944"/>
            <w:shd w:val="clear" w:color="auto" w:fill="EDF2F8"/>
          </w:tcPr>
          <w:p>
            <w:pPr>
              <w:jc w:val="left"/>
            </w:pPr>
            <w:r/>
            <w:r>
              <w:rPr>
                <w:rFonts w:ascii="Calibri" w:hAnsi="Calibri"/>
                <w:b w:val="0"/>
                <w:color w:val="404040"/>
                <w:sz w:val="17"/>
              </w:rPr>
              <w:t>Not measured</w:t>
            </w:r>
          </w:p>
        </w:tc>
        <w:tc>
          <w:tcPr>
            <w:tcW w:type="dxa" w:w="1944"/>
            <w:shd w:val="clear" w:color="auto" w:fill="EDF2F8"/>
          </w:tcPr>
          <w:p>
            <w:pPr>
              <w:jc w:val="left"/>
            </w:pPr>
            <w:r/>
            <w:r>
              <w:rPr>
                <w:rFonts w:ascii="Calibri" w:hAnsi="Calibri"/>
                <w:b w:val="0"/>
                <w:color w:val="404040"/>
                <w:sz w:val="17"/>
              </w:rPr>
              <w:t>0 Critical, &lt; 5 High</w:t>
            </w:r>
          </w:p>
        </w:tc>
        <w:tc>
          <w:tcPr>
            <w:tcW w:type="dxa" w:w="2376"/>
            <w:shd w:val="clear" w:color="auto" w:fill="EDF2F8"/>
          </w:tcPr>
          <w:p>
            <w:pPr>
              <w:jc w:val="left"/>
            </w:pPr>
            <w:r/>
            <w:r>
              <w:rPr>
                <w:rFonts w:ascii="Calibri" w:hAnsi="Calibri"/>
                <w:b w:val="0"/>
                <w:color w:val="404040"/>
                <w:sz w:val="17"/>
              </w:rPr>
              <w:t>Trivy + Snyk dashboards; weekly scan reports</w:t>
            </w:r>
          </w:p>
        </w:tc>
        <w:tc>
          <w:tcPr>
            <w:tcW w:type="dxa" w:w="1512"/>
            <w:shd w:val="clear" w:color="auto" w:fill="EDF2F8"/>
          </w:tcPr>
          <w:p>
            <w:pPr>
              <w:jc w:val="left"/>
            </w:pPr>
            <w:r/>
            <w:r>
              <w:rPr>
                <w:rFonts w:ascii="Calibri" w:hAnsi="Calibri"/>
                <w:b w:val="0"/>
                <w:color w:val="404040"/>
                <w:sz w:val="17"/>
              </w:rPr>
              <w:t>Weekly</w:t>
            </w:r>
          </w:p>
        </w:tc>
      </w:tr>
      <w:tr>
        <w:tc>
          <w:tcPr>
            <w:tcW w:type="dxa" w:w="1872"/>
            <w:shd w:val="clear" w:color="auto" w:fill="FFFFFF"/>
          </w:tcPr>
          <w:p>
            <w:pPr>
              <w:jc w:val="left"/>
            </w:pPr>
            <w:r/>
            <w:r>
              <w:rPr>
                <w:rFonts w:ascii="Calibri" w:hAnsi="Calibri"/>
                <w:b w:val="0"/>
                <w:color w:val="404040"/>
                <w:sz w:val="17"/>
              </w:rPr>
              <w:t>Data Integrity</w:t>
            </w:r>
          </w:p>
        </w:tc>
        <w:tc>
          <w:tcPr>
            <w:tcW w:type="dxa" w:w="2448"/>
            <w:shd w:val="clear" w:color="auto" w:fill="FFFFFF"/>
          </w:tcPr>
          <w:p>
            <w:pPr>
              <w:jc w:val="left"/>
            </w:pPr>
            <w:r/>
            <w:r>
              <w:rPr>
                <w:rFonts w:ascii="Calibri" w:hAnsi="Calibri"/>
                <w:b w:val="0"/>
                <w:color w:val="404040"/>
                <w:sz w:val="17"/>
              </w:rPr>
              <w:t>Post-migration data reconciliation</w:t>
            </w:r>
          </w:p>
        </w:tc>
        <w:tc>
          <w:tcPr>
            <w:tcW w:type="dxa" w:w="1944"/>
            <w:shd w:val="clear" w:color="auto" w:fill="FFFFFF"/>
          </w:tcPr>
          <w:p>
            <w:pPr>
              <w:jc w:val="left"/>
            </w:pPr>
            <w:r/>
            <w:r>
              <w:rPr>
                <w:rFonts w:ascii="Calibri" w:hAnsi="Calibri"/>
                <w:b w:val="0"/>
                <w:color w:val="404040"/>
                <w:sz w:val="17"/>
              </w:rPr>
              <w:t>N/A</w:t>
            </w:r>
          </w:p>
        </w:tc>
        <w:tc>
          <w:tcPr>
            <w:tcW w:type="dxa" w:w="1944"/>
            <w:shd w:val="clear" w:color="auto" w:fill="FFFFFF"/>
          </w:tcPr>
          <w:p>
            <w:pPr>
              <w:jc w:val="left"/>
            </w:pPr>
            <w:r/>
            <w:r>
              <w:rPr>
                <w:rFonts w:ascii="Calibri" w:hAnsi="Calibri"/>
                <w:b w:val="0"/>
                <w:color w:val="404040"/>
                <w:sz w:val="17"/>
              </w:rPr>
              <w:t>100% parity</w:t>
            </w:r>
          </w:p>
        </w:tc>
        <w:tc>
          <w:tcPr>
            <w:tcW w:type="dxa" w:w="2376"/>
            <w:shd w:val="clear" w:color="auto" w:fill="FFFFFF"/>
          </w:tcPr>
          <w:p>
            <w:pPr>
              <w:jc w:val="left"/>
            </w:pPr>
            <w:r/>
            <w:r>
              <w:rPr>
                <w:rFonts w:ascii="Calibri" w:hAnsi="Calibri"/>
                <w:b w:val="0"/>
                <w:color w:val="404040"/>
                <w:sz w:val="17"/>
              </w:rPr>
              <w:t>Automated reconciliation job pass rate</w:t>
            </w:r>
          </w:p>
        </w:tc>
        <w:tc>
          <w:tcPr>
            <w:tcW w:type="dxa" w:w="1512"/>
            <w:shd w:val="clear" w:color="auto" w:fill="FFFFFF"/>
          </w:tcPr>
          <w:p>
            <w:pPr>
              <w:jc w:val="left"/>
            </w:pPr>
            <w:r/>
            <w:r>
              <w:rPr>
                <w:rFonts w:ascii="Calibri" w:hAnsi="Calibri"/>
                <w:b w:val="0"/>
                <w:color w:val="404040"/>
                <w:sz w:val="17"/>
              </w:rPr>
              <w:t>Per migration phase</w:t>
            </w:r>
          </w:p>
        </w:tc>
      </w:tr>
    </w:tbl>
    <w:p>
      <w:pPr>
        <w:spacing w:after="80"/>
      </w:pPr>
    </w:p>
    <w:p>
      <w:pPr>
        <w:spacing w:before="40" w:after="160"/>
      </w:pPr>
      <w:r>
        <w:rPr>
          <w:rFonts w:ascii="Calibri" w:hAnsi="Calibri"/>
          <w:i/>
          <w:color w:val="2E75B6"/>
          <w:sz w:val="17"/>
        </w:rPr>
        <w:t>Table 9.1 – Success Metrics and KPIs with Baseline and Target Values</w:t>
      </w:r>
    </w:p>
    <w:p>
      <w:r>
        <w:br w:type="page"/>
      </w:r>
    </w:p>
    <w:p>
      <w:pPr>
        <w:pStyle w:val="Heading1"/>
        <w:spacing w:before="280" w:after="120"/>
      </w:pPr>
      <w:r>
        <w:rPr>
          <w:rFonts w:ascii="Calibri" w:hAnsi="Calibri"/>
          <w:color w:val="1F3964"/>
          <w:sz w:val="32"/>
        </w:rPr>
        <w:t>10. Appendices</w:t>
      </w:r>
    </w:p>
    <w:p>
      <w:pPr>
        <w:pStyle w:val="Heading2"/>
        <w:spacing w:before="200" w:after="120"/>
      </w:pPr>
      <w:r>
        <w:rPr>
          <w:rFonts w:ascii="Calibri" w:hAnsi="Calibri"/>
          <w:color w:val="2E75B6"/>
          <w:sz w:val="26"/>
        </w:rPr>
        <w:t>Appendix A – Glossary of Terms</w:t>
      </w:r>
    </w:p>
    <w:tbl>
      <w:tblPr>
        <w:tblStyle w:val="TableGrid"/>
        <w:tblW w:type="auto" w:w="0"/>
        <w:jc w:val="center"/>
        <w:tblLook w:firstColumn="1" w:firstRow="1" w:lastColumn="0" w:lastRow="0" w:noHBand="0" w:noVBand="1" w:val="04A0"/>
      </w:tblPr>
      <w:tblGrid>
        <w:gridCol w:w="4464"/>
        <w:gridCol w:w="4464"/>
      </w:tblGrid>
      <w:tr>
        <w:tc>
          <w:tcPr>
            <w:tcW w:type="dxa" w:w="2304"/>
            <w:shd w:val="clear" w:color="auto" w:fill="1F3964"/>
          </w:tcPr>
          <w:p>
            <w:pPr>
              <w:jc w:val="center"/>
            </w:pPr>
            <w:r/>
            <w:r>
              <w:rPr>
                <w:rFonts w:ascii="Calibri" w:hAnsi="Calibri"/>
                <w:b/>
                <w:color w:val="FFFFFF"/>
                <w:sz w:val="18"/>
              </w:rPr>
              <w:t>Term / Acronym</w:t>
            </w:r>
          </w:p>
        </w:tc>
        <w:tc>
          <w:tcPr>
            <w:tcW w:type="dxa" w:w="9792"/>
            <w:shd w:val="clear" w:color="auto" w:fill="1F3964"/>
          </w:tcPr>
          <w:p>
            <w:pPr>
              <w:jc w:val="center"/>
            </w:pPr>
            <w:r/>
            <w:r>
              <w:rPr>
                <w:rFonts w:ascii="Calibri" w:hAnsi="Calibri"/>
                <w:b/>
                <w:color w:val="FFFFFF"/>
                <w:sz w:val="18"/>
              </w:rPr>
              <w:t>Definition</w:t>
            </w:r>
          </w:p>
        </w:tc>
      </w:tr>
      <w:tr>
        <w:tc>
          <w:tcPr>
            <w:tcW w:type="dxa" w:w="2304"/>
            <w:shd w:val="clear" w:color="auto" w:fill="FFFFFF"/>
          </w:tcPr>
          <w:p>
            <w:pPr>
              <w:jc w:val="left"/>
            </w:pPr>
            <w:r/>
            <w:r>
              <w:rPr>
                <w:rFonts w:ascii="Calibri" w:hAnsi="Calibri"/>
                <w:b w:val="0"/>
                <w:color w:val="404040"/>
                <w:sz w:val="17"/>
              </w:rPr>
              <w:t>ADR</w:t>
            </w:r>
          </w:p>
        </w:tc>
        <w:tc>
          <w:tcPr>
            <w:tcW w:type="dxa" w:w="9792"/>
            <w:shd w:val="clear" w:color="auto" w:fill="FFFFFF"/>
          </w:tcPr>
          <w:p>
            <w:pPr>
              <w:jc w:val="left"/>
            </w:pPr>
            <w:r/>
            <w:r>
              <w:rPr>
                <w:rFonts w:ascii="Calibri" w:hAnsi="Calibri"/>
                <w:b w:val="0"/>
                <w:color w:val="404040"/>
                <w:sz w:val="17"/>
              </w:rPr>
              <w:t>Architecture Decision Record – a document capturing an important architectural decision, its context, and consequences.</w:t>
            </w:r>
          </w:p>
        </w:tc>
      </w:tr>
      <w:tr>
        <w:tc>
          <w:tcPr>
            <w:tcW w:type="dxa" w:w="2304"/>
            <w:shd w:val="clear" w:color="auto" w:fill="EDF2F8"/>
          </w:tcPr>
          <w:p>
            <w:pPr>
              <w:jc w:val="left"/>
            </w:pPr>
            <w:r/>
            <w:r>
              <w:rPr>
                <w:rFonts w:ascii="Calibri" w:hAnsi="Calibri"/>
                <w:b w:val="0"/>
                <w:color w:val="404040"/>
                <w:sz w:val="17"/>
              </w:rPr>
              <w:t>API Gateway</w:t>
            </w:r>
          </w:p>
        </w:tc>
        <w:tc>
          <w:tcPr>
            <w:tcW w:type="dxa" w:w="9792"/>
            <w:shd w:val="clear" w:color="auto" w:fill="EDF2F8"/>
          </w:tcPr>
          <w:p>
            <w:pPr>
              <w:jc w:val="left"/>
            </w:pPr>
            <w:r/>
            <w:r>
              <w:rPr>
                <w:rFonts w:ascii="Calibri" w:hAnsi="Calibri"/>
                <w:b w:val="0"/>
                <w:color w:val="404040"/>
                <w:sz w:val="17"/>
              </w:rPr>
              <w:t>A server-side component that acts as the single entry point for client requests, handling routing, authentication, rate limiting, and transformation.</w:t>
            </w:r>
          </w:p>
        </w:tc>
      </w:tr>
      <w:tr>
        <w:tc>
          <w:tcPr>
            <w:tcW w:type="dxa" w:w="2304"/>
            <w:shd w:val="clear" w:color="auto" w:fill="FFFFFF"/>
          </w:tcPr>
          <w:p>
            <w:pPr>
              <w:jc w:val="left"/>
            </w:pPr>
            <w:r/>
            <w:r>
              <w:rPr>
                <w:rFonts w:ascii="Calibri" w:hAnsi="Calibri"/>
                <w:b w:val="0"/>
                <w:color w:val="404040"/>
                <w:sz w:val="17"/>
              </w:rPr>
              <w:t>Bounded Context</w:t>
            </w:r>
          </w:p>
        </w:tc>
        <w:tc>
          <w:tcPr>
            <w:tcW w:type="dxa" w:w="9792"/>
            <w:shd w:val="clear" w:color="auto" w:fill="FFFFFF"/>
          </w:tcPr>
          <w:p>
            <w:pPr>
              <w:jc w:val="left"/>
            </w:pPr>
            <w:r/>
            <w:r>
              <w:rPr>
                <w:rFonts w:ascii="Calibri" w:hAnsi="Calibri"/>
                <w:b w:val="0"/>
                <w:color w:val="404040"/>
                <w:sz w:val="17"/>
              </w:rPr>
              <w:t>A DDD concept defining the explicit boundary within which a domain model applies. Each microservice corresponds to one bounded context.</w:t>
            </w:r>
          </w:p>
        </w:tc>
      </w:tr>
      <w:tr>
        <w:tc>
          <w:tcPr>
            <w:tcW w:type="dxa" w:w="2304"/>
            <w:shd w:val="clear" w:color="auto" w:fill="EDF2F8"/>
          </w:tcPr>
          <w:p>
            <w:pPr>
              <w:jc w:val="left"/>
            </w:pPr>
            <w:r/>
            <w:r>
              <w:rPr>
                <w:rFonts w:ascii="Calibri" w:hAnsi="Calibri"/>
                <w:b w:val="0"/>
                <w:color w:val="404040"/>
                <w:sz w:val="17"/>
              </w:rPr>
              <w:t>BFF</w:t>
            </w:r>
          </w:p>
        </w:tc>
        <w:tc>
          <w:tcPr>
            <w:tcW w:type="dxa" w:w="9792"/>
            <w:shd w:val="clear" w:color="auto" w:fill="EDF2F8"/>
          </w:tcPr>
          <w:p>
            <w:pPr>
              <w:jc w:val="left"/>
            </w:pPr>
            <w:r/>
            <w:r>
              <w:rPr>
                <w:rFonts w:ascii="Calibri" w:hAnsi="Calibri"/>
                <w:b w:val="0"/>
                <w:color w:val="404040"/>
                <w:sz w:val="17"/>
              </w:rPr>
              <w:t>Backend for Frontend – a dedicated backend service tailored to the needs of a specific frontend client (web, mobile).</w:t>
            </w:r>
          </w:p>
        </w:tc>
      </w:tr>
      <w:tr>
        <w:tc>
          <w:tcPr>
            <w:tcW w:type="dxa" w:w="2304"/>
            <w:shd w:val="clear" w:color="auto" w:fill="FFFFFF"/>
          </w:tcPr>
          <w:p>
            <w:pPr>
              <w:jc w:val="left"/>
            </w:pPr>
            <w:r/>
            <w:r>
              <w:rPr>
                <w:rFonts w:ascii="Calibri" w:hAnsi="Calibri"/>
                <w:b w:val="0"/>
                <w:color w:val="404040"/>
                <w:sz w:val="17"/>
              </w:rPr>
              <w:t>CDC</w:t>
            </w:r>
          </w:p>
        </w:tc>
        <w:tc>
          <w:tcPr>
            <w:tcW w:type="dxa" w:w="9792"/>
            <w:shd w:val="clear" w:color="auto" w:fill="FFFFFF"/>
          </w:tcPr>
          <w:p>
            <w:pPr>
              <w:jc w:val="left"/>
            </w:pPr>
            <w:r/>
            <w:r>
              <w:rPr>
                <w:rFonts w:ascii="Calibri" w:hAnsi="Calibri"/>
                <w:b w:val="0"/>
                <w:color w:val="404040"/>
                <w:sz w:val="17"/>
              </w:rPr>
              <w:t>Change Data Capture – a technique for tracking row-level changes in a source database and propagating them to downstream systems.</w:t>
            </w:r>
          </w:p>
        </w:tc>
      </w:tr>
      <w:tr>
        <w:tc>
          <w:tcPr>
            <w:tcW w:type="dxa" w:w="2304"/>
            <w:shd w:val="clear" w:color="auto" w:fill="EDF2F8"/>
          </w:tcPr>
          <w:p>
            <w:pPr>
              <w:jc w:val="left"/>
            </w:pPr>
            <w:r/>
            <w:r>
              <w:rPr>
                <w:rFonts w:ascii="Calibri" w:hAnsi="Calibri"/>
                <w:b w:val="0"/>
                <w:color w:val="404040"/>
                <w:sz w:val="17"/>
              </w:rPr>
              <w:t>Circuit Breaker</w:t>
            </w:r>
          </w:p>
        </w:tc>
        <w:tc>
          <w:tcPr>
            <w:tcW w:type="dxa" w:w="9792"/>
            <w:shd w:val="clear" w:color="auto" w:fill="EDF2F8"/>
          </w:tcPr>
          <w:p>
            <w:pPr>
              <w:jc w:val="left"/>
            </w:pPr>
            <w:r/>
            <w:r>
              <w:rPr>
                <w:rFonts w:ascii="Calibri" w:hAnsi="Calibri"/>
                <w:b w:val="0"/>
                <w:color w:val="404040"/>
                <w:sz w:val="17"/>
              </w:rPr>
              <w:t>A resilience pattern that prevents cascading failures by stopping requests to a failing downstream service and returning a fallback response.</w:t>
            </w:r>
          </w:p>
        </w:tc>
      </w:tr>
      <w:tr>
        <w:tc>
          <w:tcPr>
            <w:tcW w:type="dxa" w:w="2304"/>
            <w:shd w:val="clear" w:color="auto" w:fill="FFFFFF"/>
          </w:tcPr>
          <w:p>
            <w:pPr>
              <w:jc w:val="left"/>
            </w:pPr>
            <w:r/>
            <w:r>
              <w:rPr>
                <w:rFonts w:ascii="Calibri" w:hAnsi="Calibri"/>
                <w:b w:val="0"/>
                <w:color w:val="404040"/>
                <w:sz w:val="17"/>
              </w:rPr>
              <w:t>CQRS</w:t>
            </w:r>
          </w:p>
        </w:tc>
        <w:tc>
          <w:tcPr>
            <w:tcW w:type="dxa" w:w="9792"/>
            <w:shd w:val="clear" w:color="auto" w:fill="FFFFFF"/>
          </w:tcPr>
          <w:p>
            <w:pPr>
              <w:jc w:val="left"/>
            </w:pPr>
            <w:r/>
            <w:r>
              <w:rPr>
                <w:rFonts w:ascii="Calibri" w:hAnsi="Calibri"/>
                <w:b w:val="0"/>
                <w:color w:val="404040"/>
                <w:sz w:val="17"/>
              </w:rPr>
              <w:t>Command Query Responsibility Segregation – separates read and write models to allow independent scaling and optimisation.</w:t>
            </w:r>
          </w:p>
        </w:tc>
      </w:tr>
      <w:tr>
        <w:tc>
          <w:tcPr>
            <w:tcW w:type="dxa" w:w="2304"/>
            <w:shd w:val="clear" w:color="auto" w:fill="EDF2F8"/>
          </w:tcPr>
          <w:p>
            <w:pPr>
              <w:jc w:val="left"/>
            </w:pPr>
            <w:r/>
            <w:r>
              <w:rPr>
                <w:rFonts w:ascii="Calibri" w:hAnsi="Calibri"/>
                <w:b w:val="0"/>
                <w:color w:val="404040"/>
                <w:sz w:val="17"/>
              </w:rPr>
              <w:t>DDD</w:t>
            </w:r>
          </w:p>
        </w:tc>
        <w:tc>
          <w:tcPr>
            <w:tcW w:type="dxa" w:w="9792"/>
            <w:shd w:val="clear" w:color="auto" w:fill="EDF2F8"/>
          </w:tcPr>
          <w:p>
            <w:pPr>
              <w:jc w:val="left"/>
            </w:pPr>
            <w:r/>
            <w:r>
              <w:rPr>
                <w:rFonts w:ascii="Calibri" w:hAnsi="Calibri"/>
                <w:b w:val="0"/>
                <w:color w:val="404040"/>
                <w:sz w:val="17"/>
              </w:rPr>
              <w:t>Domain-Driven Design – a software development approach focusing on modelling the business domain as the primary driver of technical design.</w:t>
            </w:r>
          </w:p>
        </w:tc>
      </w:tr>
      <w:tr>
        <w:tc>
          <w:tcPr>
            <w:tcW w:type="dxa" w:w="2304"/>
            <w:shd w:val="clear" w:color="auto" w:fill="FFFFFF"/>
          </w:tcPr>
          <w:p>
            <w:pPr>
              <w:jc w:val="left"/>
            </w:pPr>
            <w:r/>
            <w:r>
              <w:rPr>
                <w:rFonts w:ascii="Calibri" w:hAnsi="Calibri"/>
                <w:b w:val="0"/>
                <w:color w:val="404040"/>
                <w:sz w:val="17"/>
              </w:rPr>
              <w:t>DMS</w:t>
            </w:r>
          </w:p>
        </w:tc>
        <w:tc>
          <w:tcPr>
            <w:tcW w:type="dxa" w:w="9792"/>
            <w:shd w:val="clear" w:color="auto" w:fill="FFFFFF"/>
          </w:tcPr>
          <w:p>
            <w:pPr>
              <w:jc w:val="left"/>
            </w:pPr>
            <w:r/>
            <w:r>
              <w:rPr>
                <w:rFonts w:ascii="Calibri" w:hAnsi="Calibri"/>
                <w:b w:val="0"/>
                <w:color w:val="404040"/>
                <w:sz w:val="17"/>
              </w:rPr>
              <w:t>AWS Database Migration Service – a managed service for migrating databases to AWS with minimal downtime.</w:t>
            </w:r>
          </w:p>
        </w:tc>
      </w:tr>
      <w:tr>
        <w:tc>
          <w:tcPr>
            <w:tcW w:type="dxa" w:w="2304"/>
            <w:shd w:val="clear" w:color="auto" w:fill="EDF2F8"/>
          </w:tcPr>
          <w:p>
            <w:pPr>
              <w:jc w:val="left"/>
            </w:pPr>
            <w:r/>
            <w:r>
              <w:rPr>
                <w:rFonts w:ascii="Calibri" w:hAnsi="Calibri"/>
                <w:b w:val="0"/>
                <w:color w:val="404040"/>
                <w:sz w:val="17"/>
              </w:rPr>
              <w:t>DORA Metrics</w:t>
            </w:r>
          </w:p>
        </w:tc>
        <w:tc>
          <w:tcPr>
            <w:tcW w:type="dxa" w:w="9792"/>
            <w:shd w:val="clear" w:color="auto" w:fill="EDF2F8"/>
          </w:tcPr>
          <w:p>
            <w:pPr>
              <w:jc w:val="left"/>
            </w:pPr>
            <w:r/>
            <w:r>
              <w:rPr>
                <w:rFonts w:ascii="Calibri" w:hAnsi="Calibri"/>
                <w:b w:val="0"/>
                <w:color w:val="404040"/>
                <w:sz w:val="17"/>
              </w:rPr>
              <w:t>DevOps Research and Assessment metrics: Deployment Frequency, Lead Time for Changes, Change Failure Rate, and MTTR.</w:t>
            </w:r>
          </w:p>
        </w:tc>
      </w:tr>
      <w:tr>
        <w:tc>
          <w:tcPr>
            <w:tcW w:type="dxa" w:w="2304"/>
            <w:shd w:val="clear" w:color="auto" w:fill="FFFFFF"/>
          </w:tcPr>
          <w:p>
            <w:pPr>
              <w:jc w:val="left"/>
            </w:pPr>
            <w:r/>
            <w:r>
              <w:rPr>
                <w:rFonts w:ascii="Calibri" w:hAnsi="Calibri"/>
                <w:b w:val="0"/>
                <w:color w:val="404040"/>
                <w:sz w:val="17"/>
              </w:rPr>
              <w:t>EKS</w:t>
            </w:r>
          </w:p>
        </w:tc>
        <w:tc>
          <w:tcPr>
            <w:tcW w:type="dxa" w:w="9792"/>
            <w:shd w:val="clear" w:color="auto" w:fill="FFFFFF"/>
          </w:tcPr>
          <w:p>
            <w:pPr>
              <w:jc w:val="left"/>
            </w:pPr>
            <w:r/>
            <w:r>
              <w:rPr>
                <w:rFonts w:ascii="Calibri" w:hAnsi="Calibri"/>
                <w:b w:val="0"/>
                <w:color w:val="404040"/>
                <w:sz w:val="17"/>
              </w:rPr>
              <w:t>Amazon Elastic Kubernetes Service – a managed Kubernetes service on AWS.</w:t>
            </w:r>
          </w:p>
        </w:tc>
      </w:tr>
      <w:tr>
        <w:tc>
          <w:tcPr>
            <w:tcW w:type="dxa" w:w="2304"/>
            <w:shd w:val="clear" w:color="auto" w:fill="EDF2F8"/>
          </w:tcPr>
          <w:p>
            <w:pPr>
              <w:jc w:val="left"/>
            </w:pPr>
            <w:r/>
            <w:r>
              <w:rPr>
                <w:rFonts w:ascii="Calibri" w:hAnsi="Calibri"/>
                <w:b w:val="0"/>
                <w:color w:val="404040"/>
                <w:sz w:val="17"/>
              </w:rPr>
              <w:t>Event Sourcing</w:t>
            </w:r>
          </w:p>
        </w:tc>
        <w:tc>
          <w:tcPr>
            <w:tcW w:type="dxa" w:w="9792"/>
            <w:shd w:val="clear" w:color="auto" w:fill="EDF2F8"/>
          </w:tcPr>
          <w:p>
            <w:pPr>
              <w:jc w:val="left"/>
            </w:pPr>
            <w:r/>
            <w:r>
              <w:rPr>
                <w:rFonts w:ascii="Calibri" w:hAnsi="Calibri"/>
                <w:b w:val="0"/>
                <w:color w:val="404040"/>
                <w:sz w:val="17"/>
              </w:rPr>
              <w:t>A data pattern where state changes are stored as an immutable sequence of events rather than the current state alone.</w:t>
            </w:r>
          </w:p>
        </w:tc>
      </w:tr>
      <w:tr>
        <w:tc>
          <w:tcPr>
            <w:tcW w:type="dxa" w:w="2304"/>
            <w:shd w:val="clear" w:color="auto" w:fill="FFFFFF"/>
          </w:tcPr>
          <w:p>
            <w:pPr>
              <w:jc w:val="left"/>
            </w:pPr>
            <w:r/>
            <w:r>
              <w:rPr>
                <w:rFonts w:ascii="Calibri" w:hAnsi="Calibri"/>
                <w:b w:val="0"/>
                <w:color w:val="404040"/>
                <w:sz w:val="17"/>
              </w:rPr>
              <w:t>GitOps</w:t>
            </w:r>
          </w:p>
        </w:tc>
        <w:tc>
          <w:tcPr>
            <w:tcW w:type="dxa" w:w="9792"/>
            <w:shd w:val="clear" w:color="auto" w:fill="FFFFFF"/>
          </w:tcPr>
          <w:p>
            <w:pPr>
              <w:jc w:val="left"/>
            </w:pPr>
            <w:r/>
            <w:r>
              <w:rPr>
                <w:rFonts w:ascii="Calibri" w:hAnsi="Calibri"/>
                <w:b w:val="0"/>
                <w:color w:val="404040"/>
                <w:sz w:val="17"/>
              </w:rPr>
              <w:t>An operational model where the desired state of infrastructure and applications is declared in Git and automatically reconciled by tooling (e.g., ArgoCD).</w:t>
            </w:r>
          </w:p>
        </w:tc>
      </w:tr>
      <w:tr>
        <w:tc>
          <w:tcPr>
            <w:tcW w:type="dxa" w:w="2304"/>
            <w:shd w:val="clear" w:color="auto" w:fill="EDF2F8"/>
          </w:tcPr>
          <w:p>
            <w:pPr>
              <w:jc w:val="left"/>
            </w:pPr>
            <w:r/>
            <w:r>
              <w:rPr>
                <w:rFonts w:ascii="Calibri" w:hAnsi="Calibri"/>
                <w:b w:val="0"/>
                <w:color w:val="404040"/>
                <w:sz w:val="17"/>
              </w:rPr>
              <w:t>gRPC</w:t>
            </w:r>
          </w:p>
        </w:tc>
        <w:tc>
          <w:tcPr>
            <w:tcW w:type="dxa" w:w="9792"/>
            <w:shd w:val="clear" w:color="auto" w:fill="EDF2F8"/>
          </w:tcPr>
          <w:p>
            <w:pPr>
              <w:jc w:val="left"/>
            </w:pPr>
            <w:r/>
            <w:r>
              <w:rPr>
                <w:rFonts w:ascii="Calibri" w:hAnsi="Calibri"/>
                <w:b w:val="0"/>
                <w:color w:val="404040"/>
                <w:sz w:val="17"/>
              </w:rPr>
              <w:t>Google Remote Procedure Call – a high-performance RPC framework using Protocol Buffers for serialisation over HTTP/2.</w:t>
            </w:r>
          </w:p>
        </w:tc>
      </w:tr>
      <w:tr>
        <w:tc>
          <w:tcPr>
            <w:tcW w:type="dxa" w:w="2304"/>
            <w:shd w:val="clear" w:color="auto" w:fill="FFFFFF"/>
          </w:tcPr>
          <w:p>
            <w:pPr>
              <w:jc w:val="left"/>
            </w:pPr>
            <w:r/>
            <w:r>
              <w:rPr>
                <w:rFonts w:ascii="Calibri" w:hAnsi="Calibri"/>
                <w:b w:val="0"/>
                <w:color w:val="404040"/>
                <w:sz w:val="17"/>
              </w:rPr>
              <w:t>HPA</w:t>
            </w:r>
          </w:p>
        </w:tc>
        <w:tc>
          <w:tcPr>
            <w:tcW w:type="dxa" w:w="9792"/>
            <w:shd w:val="clear" w:color="auto" w:fill="FFFFFF"/>
          </w:tcPr>
          <w:p>
            <w:pPr>
              <w:jc w:val="left"/>
            </w:pPr>
            <w:r/>
            <w:r>
              <w:rPr>
                <w:rFonts w:ascii="Calibri" w:hAnsi="Calibri"/>
                <w:b w:val="0"/>
                <w:color w:val="404040"/>
                <w:sz w:val="17"/>
              </w:rPr>
              <w:t>Horizontal Pod Autoscaler – a Kubernetes resource that automatically scales the number of pods based on CPU, memory, or custom metrics.</w:t>
            </w:r>
          </w:p>
        </w:tc>
      </w:tr>
      <w:tr>
        <w:tc>
          <w:tcPr>
            <w:tcW w:type="dxa" w:w="2304"/>
            <w:shd w:val="clear" w:color="auto" w:fill="EDF2F8"/>
          </w:tcPr>
          <w:p>
            <w:pPr>
              <w:jc w:val="left"/>
            </w:pPr>
            <w:r/>
            <w:r>
              <w:rPr>
                <w:rFonts w:ascii="Calibri" w:hAnsi="Calibri"/>
                <w:b w:val="0"/>
                <w:color w:val="404040"/>
                <w:sz w:val="17"/>
              </w:rPr>
              <w:t>IdP</w:t>
            </w:r>
          </w:p>
        </w:tc>
        <w:tc>
          <w:tcPr>
            <w:tcW w:type="dxa" w:w="9792"/>
            <w:shd w:val="clear" w:color="auto" w:fill="EDF2F8"/>
          </w:tcPr>
          <w:p>
            <w:pPr>
              <w:jc w:val="left"/>
            </w:pPr>
            <w:r/>
            <w:r>
              <w:rPr>
                <w:rFonts w:ascii="Calibri" w:hAnsi="Calibri"/>
                <w:b w:val="0"/>
                <w:color w:val="404040"/>
                <w:sz w:val="17"/>
              </w:rPr>
              <w:t>Identity Provider – a system that creates, maintains, and manages identity information and provides authentication services.</w:t>
            </w:r>
          </w:p>
        </w:tc>
      </w:tr>
      <w:tr>
        <w:tc>
          <w:tcPr>
            <w:tcW w:type="dxa" w:w="2304"/>
            <w:shd w:val="clear" w:color="auto" w:fill="FFFFFF"/>
          </w:tcPr>
          <w:p>
            <w:pPr>
              <w:jc w:val="left"/>
            </w:pPr>
            <w:r/>
            <w:r>
              <w:rPr>
                <w:rFonts w:ascii="Calibri" w:hAnsi="Calibri"/>
                <w:b w:val="0"/>
                <w:color w:val="404040"/>
                <w:sz w:val="17"/>
              </w:rPr>
              <w:t>Istio</w:t>
            </w:r>
          </w:p>
        </w:tc>
        <w:tc>
          <w:tcPr>
            <w:tcW w:type="dxa" w:w="9792"/>
            <w:shd w:val="clear" w:color="auto" w:fill="FFFFFF"/>
          </w:tcPr>
          <w:p>
            <w:pPr>
              <w:jc w:val="left"/>
            </w:pPr>
            <w:r/>
            <w:r>
              <w:rPr>
                <w:rFonts w:ascii="Calibri" w:hAnsi="Calibri"/>
                <w:b w:val="0"/>
                <w:color w:val="404040"/>
                <w:sz w:val="17"/>
              </w:rPr>
              <w:t>An open-source service mesh providing traffic management, security (mTLS), and observability for microservices on Kubernetes.</w:t>
            </w:r>
          </w:p>
        </w:tc>
      </w:tr>
      <w:tr>
        <w:tc>
          <w:tcPr>
            <w:tcW w:type="dxa" w:w="2304"/>
            <w:shd w:val="clear" w:color="auto" w:fill="EDF2F8"/>
          </w:tcPr>
          <w:p>
            <w:pPr>
              <w:jc w:val="left"/>
            </w:pPr>
            <w:r/>
            <w:r>
              <w:rPr>
                <w:rFonts w:ascii="Calibri" w:hAnsi="Calibri"/>
                <w:b w:val="0"/>
                <w:color w:val="404040"/>
                <w:sz w:val="17"/>
              </w:rPr>
              <w:t>JWT</w:t>
            </w:r>
          </w:p>
        </w:tc>
        <w:tc>
          <w:tcPr>
            <w:tcW w:type="dxa" w:w="9792"/>
            <w:shd w:val="clear" w:color="auto" w:fill="EDF2F8"/>
          </w:tcPr>
          <w:p>
            <w:pPr>
              <w:jc w:val="left"/>
            </w:pPr>
            <w:r/>
            <w:r>
              <w:rPr>
                <w:rFonts w:ascii="Calibri" w:hAnsi="Calibri"/>
                <w:b w:val="0"/>
                <w:color w:val="404040"/>
                <w:sz w:val="17"/>
              </w:rPr>
              <w:t>JSON Web Token – a compact, URL-safe token format used for securely transmitting claims between parties as a JSON object signed with a private key.</w:t>
            </w:r>
          </w:p>
        </w:tc>
      </w:tr>
      <w:tr>
        <w:tc>
          <w:tcPr>
            <w:tcW w:type="dxa" w:w="2304"/>
            <w:shd w:val="clear" w:color="auto" w:fill="FFFFFF"/>
          </w:tcPr>
          <w:p>
            <w:pPr>
              <w:jc w:val="left"/>
            </w:pPr>
            <w:r/>
            <w:r>
              <w:rPr>
                <w:rFonts w:ascii="Calibri" w:hAnsi="Calibri"/>
                <w:b w:val="0"/>
                <w:color w:val="404040"/>
                <w:sz w:val="17"/>
              </w:rPr>
              <w:t>Kafka</w:t>
            </w:r>
          </w:p>
        </w:tc>
        <w:tc>
          <w:tcPr>
            <w:tcW w:type="dxa" w:w="9792"/>
            <w:shd w:val="clear" w:color="auto" w:fill="FFFFFF"/>
          </w:tcPr>
          <w:p>
            <w:pPr>
              <w:jc w:val="left"/>
            </w:pPr>
            <w:r/>
            <w:r>
              <w:rPr>
                <w:rFonts w:ascii="Calibri" w:hAnsi="Calibri"/>
                <w:b w:val="0"/>
                <w:color w:val="404040"/>
                <w:sz w:val="17"/>
              </w:rPr>
              <w:t>Apache Kafka – a distributed event streaming platform used for high-throughput, fault-tolerant asynchronous messaging.</w:t>
            </w:r>
          </w:p>
        </w:tc>
      </w:tr>
      <w:tr>
        <w:tc>
          <w:tcPr>
            <w:tcW w:type="dxa" w:w="2304"/>
            <w:shd w:val="clear" w:color="auto" w:fill="EDF2F8"/>
          </w:tcPr>
          <w:p>
            <w:pPr>
              <w:jc w:val="left"/>
            </w:pPr>
            <w:r/>
            <w:r>
              <w:rPr>
                <w:rFonts w:ascii="Calibri" w:hAnsi="Calibri"/>
                <w:b w:val="0"/>
                <w:color w:val="404040"/>
                <w:sz w:val="17"/>
              </w:rPr>
              <w:t>KEDA</w:t>
            </w:r>
          </w:p>
        </w:tc>
        <w:tc>
          <w:tcPr>
            <w:tcW w:type="dxa" w:w="9792"/>
            <w:shd w:val="clear" w:color="auto" w:fill="EDF2F8"/>
          </w:tcPr>
          <w:p>
            <w:pPr>
              <w:jc w:val="left"/>
            </w:pPr>
            <w:r/>
            <w:r>
              <w:rPr>
                <w:rFonts w:ascii="Calibri" w:hAnsi="Calibri"/>
                <w:b w:val="0"/>
                <w:color w:val="404040"/>
                <w:sz w:val="17"/>
              </w:rPr>
              <w:t>Kubernetes Event-Driven Autoscaling – extends HPA to scale based on external event sources such as Kafka consumer lag.</w:t>
            </w:r>
          </w:p>
        </w:tc>
      </w:tr>
      <w:tr>
        <w:tc>
          <w:tcPr>
            <w:tcW w:type="dxa" w:w="2304"/>
            <w:shd w:val="clear" w:color="auto" w:fill="FFFFFF"/>
          </w:tcPr>
          <w:p>
            <w:pPr>
              <w:jc w:val="left"/>
            </w:pPr>
            <w:r/>
            <w:r>
              <w:rPr>
                <w:rFonts w:ascii="Calibri" w:hAnsi="Calibri"/>
                <w:b w:val="0"/>
                <w:color w:val="404040"/>
                <w:sz w:val="17"/>
              </w:rPr>
              <w:t>KMS</w:t>
            </w:r>
          </w:p>
        </w:tc>
        <w:tc>
          <w:tcPr>
            <w:tcW w:type="dxa" w:w="9792"/>
            <w:shd w:val="clear" w:color="auto" w:fill="FFFFFF"/>
          </w:tcPr>
          <w:p>
            <w:pPr>
              <w:jc w:val="left"/>
            </w:pPr>
            <w:r/>
            <w:r>
              <w:rPr>
                <w:rFonts w:ascii="Calibri" w:hAnsi="Calibri"/>
                <w:b w:val="0"/>
                <w:color w:val="404040"/>
                <w:sz w:val="17"/>
              </w:rPr>
              <w:t>AWS Key Management Service – a managed service for creating and controlling cryptographic keys used to encrypt data.</w:t>
            </w:r>
          </w:p>
        </w:tc>
      </w:tr>
      <w:tr>
        <w:tc>
          <w:tcPr>
            <w:tcW w:type="dxa" w:w="2304"/>
            <w:shd w:val="clear" w:color="auto" w:fill="EDF2F8"/>
          </w:tcPr>
          <w:p>
            <w:pPr>
              <w:jc w:val="left"/>
            </w:pPr>
            <w:r/>
            <w:r>
              <w:rPr>
                <w:rFonts w:ascii="Calibri" w:hAnsi="Calibri"/>
                <w:b w:val="0"/>
                <w:color w:val="404040"/>
                <w:sz w:val="17"/>
              </w:rPr>
              <w:t>mTLS</w:t>
            </w:r>
          </w:p>
        </w:tc>
        <w:tc>
          <w:tcPr>
            <w:tcW w:type="dxa" w:w="9792"/>
            <w:shd w:val="clear" w:color="auto" w:fill="EDF2F8"/>
          </w:tcPr>
          <w:p>
            <w:pPr>
              <w:jc w:val="left"/>
            </w:pPr>
            <w:r/>
            <w:r>
              <w:rPr>
                <w:rFonts w:ascii="Calibri" w:hAnsi="Calibri"/>
                <w:b w:val="0"/>
                <w:color w:val="404040"/>
                <w:sz w:val="17"/>
              </w:rPr>
              <w:t>Mutual TLS – a variant of TLS where both the client and server authenticate each other using certificates.</w:t>
            </w:r>
          </w:p>
        </w:tc>
      </w:tr>
      <w:tr>
        <w:tc>
          <w:tcPr>
            <w:tcW w:type="dxa" w:w="2304"/>
            <w:shd w:val="clear" w:color="auto" w:fill="FFFFFF"/>
          </w:tcPr>
          <w:p>
            <w:pPr>
              <w:jc w:val="left"/>
            </w:pPr>
            <w:r/>
            <w:r>
              <w:rPr>
                <w:rFonts w:ascii="Calibri" w:hAnsi="Calibri"/>
                <w:b w:val="0"/>
                <w:color w:val="404040"/>
                <w:sz w:val="17"/>
              </w:rPr>
              <w:t>MSK</w:t>
            </w:r>
          </w:p>
        </w:tc>
        <w:tc>
          <w:tcPr>
            <w:tcW w:type="dxa" w:w="9792"/>
            <w:shd w:val="clear" w:color="auto" w:fill="FFFFFF"/>
          </w:tcPr>
          <w:p>
            <w:pPr>
              <w:jc w:val="left"/>
            </w:pPr>
            <w:r/>
            <w:r>
              <w:rPr>
                <w:rFonts w:ascii="Calibri" w:hAnsi="Calibri"/>
                <w:b w:val="0"/>
                <w:color w:val="404040"/>
                <w:sz w:val="17"/>
              </w:rPr>
              <w:t>Amazon Managed Streaming for Apache Kafka – a fully managed Kafka service on AWS.</w:t>
            </w:r>
          </w:p>
        </w:tc>
      </w:tr>
      <w:tr>
        <w:tc>
          <w:tcPr>
            <w:tcW w:type="dxa" w:w="2304"/>
            <w:shd w:val="clear" w:color="auto" w:fill="EDF2F8"/>
          </w:tcPr>
          <w:p>
            <w:pPr>
              <w:jc w:val="left"/>
            </w:pPr>
            <w:r/>
            <w:r>
              <w:rPr>
                <w:rFonts w:ascii="Calibri" w:hAnsi="Calibri"/>
                <w:b w:val="0"/>
                <w:color w:val="404040"/>
                <w:sz w:val="17"/>
              </w:rPr>
              <w:t>MTBF</w:t>
            </w:r>
          </w:p>
        </w:tc>
        <w:tc>
          <w:tcPr>
            <w:tcW w:type="dxa" w:w="9792"/>
            <w:shd w:val="clear" w:color="auto" w:fill="EDF2F8"/>
          </w:tcPr>
          <w:p>
            <w:pPr>
              <w:jc w:val="left"/>
            </w:pPr>
            <w:r/>
            <w:r>
              <w:rPr>
                <w:rFonts w:ascii="Calibri" w:hAnsi="Calibri"/>
                <w:b w:val="0"/>
                <w:color w:val="404040"/>
                <w:sz w:val="17"/>
              </w:rPr>
              <w:t>Mean Time Between Failures – the average time elapsed between recoverable failures of a system.</w:t>
            </w:r>
          </w:p>
        </w:tc>
      </w:tr>
      <w:tr>
        <w:tc>
          <w:tcPr>
            <w:tcW w:type="dxa" w:w="2304"/>
            <w:shd w:val="clear" w:color="auto" w:fill="FFFFFF"/>
          </w:tcPr>
          <w:p>
            <w:pPr>
              <w:jc w:val="left"/>
            </w:pPr>
            <w:r/>
            <w:r>
              <w:rPr>
                <w:rFonts w:ascii="Calibri" w:hAnsi="Calibri"/>
                <w:b w:val="0"/>
                <w:color w:val="404040"/>
                <w:sz w:val="17"/>
              </w:rPr>
              <w:t>MTTR</w:t>
            </w:r>
          </w:p>
        </w:tc>
        <w:tc>
          <w:tcPr>
            <w:tcW w:type="dxa" w:w="9792"/>
            <w:shd w:val="clear" w:color="auto" w:fill="FFFFFF"/>
          </w:tcPr>
          <w:p>
            <w:pPr>
              <w:jc w:val="left"/>
            </w:pPr>
            <w:r/>
            <w:r>
              <w:rPr>
                <w:rFonts w:ascii="Calibri" w:hAnsi="Calibri"/>
                <w:b w:val="0"/>
                <w:color w:val="404040"/>
                <w:sz w:val="17"/>
              </w:rPr>
              <w:t>Mean Time to Recovery – the average time taken to restore a system to full operation after a failure.</w:t>
            </w:r>
          </w:p>
        </w:tc>
      </w:tr>
      <w:tr>
        <w:tc>
          <w:tcPr>
            <w:tcW w:type="dxa" w:w="2304"/>
            <w:shd w:val="clear" w:color="auto" w:fill="EDF2F8"/>
          </w:tcPr>
          <w:p>
            <w:pPr>
              <w:jc w:val="left"/>
            </w:pPr>
            <w:r/>
            <w:r>
              <w:rPr>
                <w:rFonts w:ascii="Calibri" w:hAnsi="Calibri"/>
                <w:b w:val="0"/>
                <w:color w:val="404040"/>
                <w:sz w:val="17"/>
              </w:rPr>
              <w:t>MTD</w:t>
            </w:r>
          </w:p>
        </w:tc>
        <w:tc>
          <w:tcPr>
            <w:tcW w:type="dxa" w:w="9792"/>
            <w:shd w:val="clear" w:color="auto" w:fill="EDF2F8"/>
          </w:tcPr>
          <w:p>
            <w:pPr>
              <w:jc w:val="left"/>
            </w:pPr>
            <w:r/>
            <w:r>
              <w:rPr>
                <w:rFonts w:ascii="Calibri" w:hAnsi="Calibri"/>
                <w:b w:val="0"/>
                <w:color w:val="404040"/>
                <w:sz w:val="17"/>
              </w:rPr>
              <w:t>Mean Time to Deploy – the average duration from code commit to production deployment.</w:t>
            </w:r>
          </w:p>
        </w:tc>
      </w:tr>
      <w:tr>
        <w:tc>
          <w:tcPr>
            <w:tcW w:type="dxa" w:w="2304"/>
            <w:shd w:val="clear" w:color="auto" w:fill="FFFFFF"/>
          </w:tcPr>
          <w:p>
            <w:pPr>
              <w:jc w:val="left"/>
            </w:pPr>
            <w:r/>
            <w:r>
              <w:rPr>
                <w:rFonts w:ascii="Calibri" w:hAnsi="Calibri"/>
                <w:b w:val="0"/>
                <w:color w:val="404040"/>
                <w:sz w:val="17"/>
              </w:rPr>
              <w:t>OpenTelemetry</w:t>
            </w:r>
          </w:p>
        </w:tc>
        <w:tc>
          <w:tcPr>
            <w:tcW w:type="dxa" w:w="9792"/>
            <w:shd w:val="clear" w:color="auto" w:fill="FFFFFF"/>
          </w:tcPr>
          <w:p>
            <w:pPr>
              <w:jc w:val="left"/>
            </w:pPr>
            <w:r/>
            <w:r>
              <w:rPr>
                <w:rFonts w:ascii="Calibri" w:hAnsi="Calibri"/>
                <w:b w:val="0"/>
                <w:color w:val="404040"/>
                <w:sz w:val="17"/>
              </w:rPr>
              <w:t>An observability framework providing APIs and SDKs to instrument, generate, collect, and export telemetry data (metrics, logs, traces).</w:t>
            </w:r>
          </w:p>
        </w:tc>
      </w:tr>
      <w:tr>
        <w:tc>
          <w:tcPr>
            <w:tcW w:type="dxa" w:w="2304"/>
            <w:shd w:val="clear" w:color="auto" w:fill="EDF2F8"/>
          </w:tcPr>
          <w:p>
            <w:pPr>
              <w:jc w:val="left"/>
            </w:pPr>
            <w:r/>
            <w:r>
              <w:rPr>
                <w:rFonts w:ascii="Calibri" w:hAnsi="Calibri"/>
                <w:b w:val="0"/>
                <w:color w:val="404040"/>
                <w:sz w:val="17"/>
              </w:rPr>
              <w:t>PII</w:t>
            </w:r>
          </w:p>
        </w:tc>
        <w:tc>
          <w:tcPr>
            <w:tcW w:type="dxa" w:w="9792"/>
            <w:shd w:val="clear" w:color="auto" w:fill="EDF2F8"/>
          </w:tcPr>
          <w:p>
            <w:pPr>
              <w:jc w:val="left"/>
            </w:pPr>
            <w:r/>
            <w:r>
              <w:rPr>
                <w:rFonts w:ascii="Calibri" w:hAnsi="Calibri"/>
                <w:b w:val="0"/>
                <w:color w:val="404040"/>
                <w:sz w:val="17"/>
              </w:rPr>
              <w:t>Personally Identifiable Information – any data that could identify a specific individual, subject to GDPR and other data protection regulations.</w:t>
            </w:r>
          </w:p>
        </w:tc>
      </w:tr>
      <w:tr>
        <w:tc>
          <w:tcPr>
            <w:tcW w:type="dxa" w:w="2304"/>
            <w:shd w:val="clear" w:color="auto" w:fill="FFFFFF"/>
          </w:tcPr>
          <w:p>
            <w:pPr>
              <w:jc w:val="left"/>
            </w:pPr>
            <w:r/>
            <w:r>
              <w:rPr>
                <w:rFonts w:ascii="Calibri" w:hAnsi="Calibri"/>
                <w:b w:val="0"/>
                <w:color w:val="404040"/>
                <w:sz w:val="17"/>
              </w:rPr>
              <w:t>Saga Pattern</w:t>
            </w:r>
          </w:p>
        </w:tc>
        <w:tc>
          <w:tcPr>
            <w:tcW w:type="dxa" w:w="9792"/>
            <w:shd w:val="clear" w:color="auto" w:fill="FFFFFF"/>
          </w:tcPr>
          <w:p>
            <w:pPr>
              <w:jc w:val="left"/>
            </w:pPr>
            <w:r/>
            <w:r>
              <w:rPr>
                <w:rFonts w:ascii="Calibri" w:hAnsi="Calibri"/>
                <w:b w:val="0"/>
                <w:color w:val="404040"/>
                <w:sz w:val="17"/>
              </w:rPr>
              <w:t>A pattern for managing distributed transactions across multiple services using a sequence of local transactions, each publishing events to trigger the next step or a compensating transaction on failure.</w:t>
            </w:r>
          </w:p>
        </w:tc>
      </w:tr>
      <w:tr>
        <w:tc>
          <w:tcPr>
            <w:tcW w:type="dxa" w:w="2304"/>
            <w:shd w:val="clear" w:color="auto" w:fill="EDF2F8"/>
          </w:tcPr>
          <w:p>
            <w:pPr>
              <w:jc w:val="left"/>
            </w:pPr>
            <w:r/>
            <w:r>
              <w:rPr>
                <w:rFonts w:ascii="Calibri" w:hAnsi="Calibri"/>
                <w:b w:val="0"/>
                <w:color w:val="404040"/>
                <w:sz w:val="17"/>
              </w:rPr>
              <w:t>SCT</w:t>
            </w:r>
          </w:p>
        </w:tc>
        <w:tc>
          <w:tcPr>
            <w:tcW w:type="dxa" w:w="9792"/>
            <w:shd w:val="clear" w:color="auto" w:fill="EDF2F8"/>
          </w:tcPr>
          <w:p>
            <w:pPr>
              <w:jc w:val="left"/>
            </w:pPr>
            <w:r/>
            <w:r>
              <w:rPr>
                <w:rFonts w:ascii="Calibri" w:hAnsi="Calibri"/>
                <w:b w:val="0"/>
                <w:color w:val="404040"/>
                <w:sz w:val="17"/>
              </w:rPr>
              <w:t>AWS Schema Conversion Tool – converts source database schemas and application code to a target database engine.</w:t>
            </w:r>
          </w:p>
        </w:tc>
      </w:tr>
      <w:tr>
        <w:tc>
          <w:tcPr>
            <w:tcW w:type="dxa" w:w="2304"/>
            <w:shd w:val="clear" w:color="auto" w:fill="FFFFFF"/>
          </w:tcPr>
          <w:p>
            <w:pPr>
              <w:jc w:val="left"/>
            </w:pPr>
            <w:r/>
            <w:r>
              <w:rPr>
                <w:rFonts w:ascii="Calibri" w:hAnsi="Calibri"/>
                <w:b w:val="0"/>
                <w:color w:val="404040"/>
                <w:sz w:val="17"/>
              </w:rPr>
              <w:t>SLO</w:t>
            </w:r>
          </w:p>
        </w:tc>
        <w:tc>
          <w:tcPr>
            <w:tcW w:type="dxa" w:w="9792"/>
            <w:shd w:val="clear" w:color="auto" w:fill="FFFFFF"/>
          </w:tcPr>
          <w:p>
            <w:pPr>
              <w:jc w:val="left"/>
            </w:pPr>
            <w:r/>
            <w:r>
              <w:rPr>
                <w:rFonts w:ascii="Calibri" w:hAnsi="Calibri"/>
                <w:b w:val="0"/>
                <w:color w:val="404040"/>
                <w:sz w:val="17"/>
              </w:rPr>
              <w:t>Service Level Objective – a target value for a service level indicator (e.g., 99.9% availability over a rolling 30-day window).</w:t>
            </w:r>
          </w:p>
        </w:tc>
      </w:tr>
      <w:tr>
        <w:tc>
          <w:tcPr>
            <w:tcW w:type="dxa" w:w="2304"/>
            <w:shd w:val="clear" w:color="auto" w:fill="EDF2F8"/>
          </w:tcPr>
          <w:p>
            <w:pPr>
              <w:jc w:val="left"/>
            </w:pPr>
            <w:r/>
            <w:r>
              <w:rPr>
                <w:rFonts w:ascii="Calibri" w:hAnsi="Calibri"/>
                <w:b w:val="0"/>
                <w:color w:val="404040"/>
                <w:sz w:val="17"/>
              </w:rPr>
              <w:t>SPIFFE</w:t>
            </w:r>
          </w:p>
        </w:tc>
        <w:tc>
          <w:tcPr>
            <w:tcW w:type="dxa" w:w="9792"/>
            <w:shd w:val="clear" w:color="auto" w:fill="EDF2F8"/>
          </w:tcPr>
          <w:p>
            <w:pPr>
              <w:jc w:val="left"/>
            </w:pPr>
            <w:r/>
            <w:r>
              <w:rPr>
                <w:rFonts w:ascii="Calibri" w:hAnsi="Calibri"/>
                <w:b w:val="0"/>
                <w:color w:val="404040"/>
                <w:sz w:val="17"/>
              </w:rPr>
              <w:t>Secure Production Identity Framework for Everyone – a standard for workload identity in distributed systems.</w:t>
            </w:r>
          </w:p>
        </w:tc>
      </w:tr>
      <w:tr>
        <w:tc>
          <w:tcPr>
            <w:tcW w:type="dxa" w:w="2304"/>
            <w:shd w:val="clear" w:color="auto" w:fill="FFFFFF"/>
          </w:tcPr>
          <w:p>
            <w:pPr>
              <w:jc w:val="left"/>
            </w:pPr>
            <w:r/>
            <w:r>
              <w:rPr>
                <w:rFonts w:ascii="Calibri" w:hAnsi="Calibri"/>
                <w:b w:val="0"/>
                <w:color w:val="404040"/>
                <w:sz w:val="17"/>
              </w:rPr>
              <w:t>Strangler Fig</w:t>
            </w:r>
          </w:p>
        </w:tc>
        <w:tc>
          <w:tcPr>
            <w:tcW w:type="dxa" w:w="9792"/>
            <w:shd w:val="clear" w:color="auto" w:fill="FFFFFF"/>
          </w:tcPr>
          <w:p>
            <w:pPr>
              <w:jc w:val="left"/>
            </w:pPr>
            <w:r/>
            <w:r>
              <w:rPr>
                <w:rFonts w:ascii="Calibri" w:hAnsi="Calibri"/>
                <w:b w:val="0"/>
                <w:color w:val="404040"/>
                <w:sz w:val="17"/>
              </w:rPr>
              <w:t>A migration pattern where new functionality is incrementally built around the edges of the legacy system, eventually replacing it entirely.</w:t>
            </w:r>
          </w:p>
        </w:tc>
      </w:tr>
      <w:tr>
        <w:tc>
          <w:tcPr>
            <w:tcW w:type="dxa" w:w="2304"/>
            <w:shd w:val="clear" w:color="auto" w:fill="EDF2F8"/>
          </w:tcPr>
          <w:p>
            <w:pPr>
              <w:jc w:val="left"/>
            </w:pPr>
            <w:r/>
            <w:r>
              <w:rPr>
                <w:rFonts w:ascii="Calibri" w:hAnsi="Calibri"/>
                <w:b w:val="0"/>
                <w:color w:val="404040"/>
                <w:sz w:val="17"/>
              </w:rPr>
              <w:t>Vault</w:t>
            </w:r>
          </w:p>
        </w:tc>
        <w:tc>
          <w:tcPr>
            <w:tcW w:type="dxa" w:w="9792"/>
            <w:shd w:val="clear" w:color="auto" w:fill="EDF2F8"/>
          </w:tcPr>
          <w:p>
            <w:pPr>
              <w:jc w:val="left"/>
            </w:pPr>
            <w:r/>
            <w:r>
              <w:rPr>
                <w:rFonts w:ascii="Calibri" w:hAnsi="Calibri"/>
                <w:b w:val="0"/>
                <w:color w:val="404040"/>
                <w:sz w:val="17"/>
              </w:rPr>
              <w:t>HashiCorp Vault – a tool for secrets management, encryption as a service, and privileged access management.</w:t>
            </w:r>
          </w:p>
        </w:tc>
      </w:tr>
      <w:tr>
        <w:tc>
          <w:tcPr>
            <w:tcW w:type="dxa" w:w="2304"/>
            <w:shd w:val="clear" w:color="auto" w:fill="FFFFFF"/>
          </w:tcPr>
          <w:p>
            <w:pPr>
              <w:jc w:val="left"/>
            </w:pPr>
            <w:r/>
            <w:r>
              <w:rPr>
                <w:rFonts w:ascii="Calibri" w:hAnsi="Calibri"/>
                <w:b w:val="0"/>
                <w:color w:val="404040"/>
                <w:sz w:val="17"/>
              </w:rPr>
              <w:t>Zero-Trust</w:t>
            </w:r>
          </w:p>
        </w:tc>
        <w:tc>
          <w:tcPr>
            <w:tcW w:type="dxa" w:w="9792"/>
            <w:shd w:val="clear" w:color="auto" w:fill="FFFFFF"/>
          </w:tcPr>
          <w:p>
            <w:pPr>
              <w:jc w:val="left"/>
            </w:pPr>
            <w:r/>
            <w:r>
              <w:rPr>
                <w:rFonts w:ascii="Calibri" w:hAnsi="Calibri"/>
                <w:b w:val="0"/>
                <w:color w:val="404040"/>
                <w:sz w:val="17"/>
              </w:rPr>
              <w:t>A security model that assumes no implicit trust is granted to any entity inside or outside the network perimeter; all access must be explicitly verified.</w:t>
            </w:r>
          </w:p>
        </w:tc>
      </w:tr>
    </w:tbl>
    <w:p>
      <w:pPr>
        <w:spacing w:after="80"/>
      </w:pPr>
    </w:p>
    <w:p>
      <w:pPr>
        <w:spacing w:before="40" w:after="160"/>
      </w:pPr>
      <w:r>
        <w:rPr>
          <w:rFonts w:ascii="Calibri" w:hAnsi="Calibri"/>
          <w:i/>
          <w:color w:val="2E75B6"/>
          <w:sz w:val="17"/>
        </w:rPr>
        <w:t>Table A.1 – Glossary of Terms and Acronyms</w:t>
      </w:r>
    </w:p>
    <w:p>
      <w:pPr>
        <w:pStyle w:val="Heading2"/>
        <w:spacing w:before="200" w:after="120"/>
      </w:pPr>
      <w:r>
        <w:rPr>
          <w:rFonts w:ascii="Calibri" w:hAnsi="Calibri"/>
          <w:color w:val="2E75B6"/>
          <w:sz w:val="26"/>
        </w:rPr>
        <w:t>Appendix B – References</w:t>
      </w:r>
    </w:p>
    <w:tbl>
      <w:tblPr>
        <w:tblStyle w:val="TableGrid"/>
        <w:tblW w:type="auto" w:w="0"/>
        <w:jc w:val="center"/>
        <w:tblLook w:firstColumn="1" w:firstRow="1" w:lastColumn="0" w:lastRow="0" w:noHBand="0" w:noVBand="1" w:val="04A0"/>
      </w:tblPr>
      <w:tblGrid>
        <w:gridCol w:w="4464"/>
        <w:gridCol w:w="4464"/>
      </w:tblGrid>
      <w:tr>
        <w:tc>
          <w:tcPr>
            <w:tcW w:type="dxa" w:w="720"/>
            <w:shd w:val="clear" w:color="auto" w:fill="1F3964"/>
          </w:tcPr>
          <w:p>
            <w:pPr>
              <w:jc w:val="center"/>
            </w:pPr>
            <w:r/>
            <w:r>
              <w:rPr>
                <w:rFonts w:ascii="Calibri" w:hAnsi="Calibri"/>
                <w:b/>
                <w:color w:val="FFFFFF"/>
                <w:sz w:val="18"/>
              </w:rPr>
              <w:t>Ref #</w:t>
            </w:r>
          </w:p>
        </w:tc>
        <w:tc>
          <w:tcPr>
            <w:tcW w:type="dxa" w:w="11376"/>
            <w:shd w:val="clear" w:color="auto" w:fill="1F3964"/>
          </w:tcPr>
          <w:p>
            <w:pPr>
              <w:jc w:val="center"/>
            </w:pPr>
            <w:r/>
            <w:r>
              <w:rPr>
                <w:rFonts w:ascii="Calibri" w:hAnsi="Calibri"/>
                <w:b/>
                <w:color w:val="FFFFFF"/>
                <w:sz w:val="18"/>
              </w:rPr>
              <w:t>Reference</w:t>
            </w:r>
          </w:p>
        </w:tc>
      </w:tr>
      <w:tr>
        <w:tc>
          <w:tcPr>
            <w:tcW w:type="dxa" w:w="720"/>
            <w:shd w:val="clear" w:color="auto" w:fill="FFFFFF"/>
          </w:tcPr>
          <w:p>
            <w:pPr>
              <w:jc w:val="left"/>
            </w:pPr>
            <w:r/>
            <w:r>
              <w:rPr>
                <w:rFonts w:ascii="Calibri" w:hAnsi="Calibri"/>
                <w:b w:val="0"/>
                <w:color w:val="404040"/>
                <w:sz w:val="17"/>
              </w:rPr>
              <w:t>1</w:t>
            </w:r>
          </w:p>
        </w:tc>
        <w:tc>
          <w:tcPr>
            <w:tcW w:type="dxa" w:w="11376"/>
            <w:shd w:val="clear" w:color="auto" w:fill="FFFFFF"/>
          </w:tcPr>
          <w:p>
            <w:pPr>
              <w:jc w:val="left"/>
            </w:pPr>
            <w:r/>
            <w:r>
              <w:rPr>
                <w:rFonts w:ascii="Calibri" w:hAnsi="Calibri"/>
                <w:b w:val="0"/>
                <w:color w:val="404040"/>
                <w:sz w:val="17"/>
              </w:rPr>
              <w:t>Newman, S. (2021). Building Microservices: Designing Fine-Grained Systems (2nd ed.). O'Reilly Media.</w:t>
            </w:r>
          </w:p>
        </w:tc>
      </w:tr>
      <w:tr>
        <w:tc>
          <w:tcPr>
            <w:tcW w:type="dxa" w:w="720"/>
            <w:shd w:val="clear" w:color="auto" w:fill="EDF2F8"/>
          </w:tcPr>
          <w:p>
            <w:pPr>
              <w:jc w:val="left"/>
            </w:pPr>
            <w:r/>
            <w:r>
              <w:rPr>
                <w:rFonts w:ascii="Calibri" w:hAnsi="Calibri"/>
                <w:b w:val="0"/>
                <w:color w:val="404040"/>
                <w:sz w:val="17"/>
              </w:rPr>
              <w:t>2</w:t>
            </w:r>
          </w:p>
        </w:tc>
        <w:tc>
          <w:tcPr>
            <w:tcW w:type="dxa" w:w="11376"/>
            <w:shd w:val="clear" w:color="auto" w:fill="EDF2F8"/>
          </w:tcPr>
          <w:p>
            <w:pPr>
              <w:jc w:val="left"/>
            </w:pPr>
            <w:r/>
            <w:r>
              <w:rPr>
                <w:rFonts w:ascii="Calibri" w:hAnsi="Calibri"/>
                <w:b w:val="0"/>
                <w:color w:val="404040"/>
                <w:sz w:val="17"/>
              </w:rPr>
              <w:t>Richardson, C. (2018). Microservices Patterns: With examples in Java. Manning Publications.</w:t>
            </w:r>
          </w:p>
        </w:tc>
      </w:tr>
      <w:tr>
        <w:tc>
          <w:tcPr>
            <w:tcW w:type="dxa" w:w="720"/>
            <w:shd w:val="clear" w:color="auto" w:fill="FFFFFF"/>
          </w:tcPr>
          <w:p>
            <w:pPr>
              <w:jc w:val="left"/>
            </w:pPr>
            <w:r/>
            <w:r>
              <w:rPr>
                <w:rFonts w:ascii="Calibri" w:hAnsi="Calibri"/>
                <w:b w:val="0"/>
                <w:color w:val="404040"/>
                <w:sz w:val="17"/>
              </w:rPr>
              <w:t>3</w:t>
            </w:r>
          </w:p>
        </w:tc>
        <w:tc>
          <w:tcPr>
            <w:tcW w:type="dxa" w:w="11376"/>
            <w:shd w:val="clear" w:color="auto" w:fill="FFFFFF"/>
          </w:tcPr>
          <w:p>
            <w:pPr>
              <w:jc w:val="left"/>
            </w:pPr>
            <w:r/>
            <w:r>
              <w:rPr>
                <w:rFonts w:ascii="Calibri" w:hAnsi="Calibri"/>
                <w:b w:val="0"/>
                <w:color w:val="404040"/>
                <w:sz w:val="17"/>
              </w:rPr>
              <w:t>Evans, E. (2003). Domain-Driven Design: Tackling Complexity in the Heart of Software. Addison-Wesley.</w:t>
            </w:r>
          </w:p>
        </w:tc>
      </w:tr>
      <w:tr>
        <w:tc>
          <w:tcPr>
            <w:tcW w:type="dxa" w:w="720"/>
            <w:shd w:val="clear" w:color="auto" w:fill="EDF2F8"/>
          </w:tcPr>
          <w:p>
            <w:pPr>
              <w:jc w:val="left"/>
            </w:pPr>
            <w:r/>
            <w:r>
              <w:rPr>
                <w:rFonts w:ascii="Calibri" w:hAnsi="Calibri"/>
                <w:b w:val="0"/>
                <w:color w:val="404040"/>
                <w:sz w:val="17"/>
              </w:rPr>
              <w:t>4</w:t>
            </w:r>
          </w:p>
        </w:tc>
        <w:tc>
          <w:tcPr>
            <w:tcW w:type="dxa" w:w="11376"/>
            <w:shd w:val="clear" w:color="auto" w:fill="EDF2F8"/>
          </w:tcPr>
          <w:p>
            <w:pPr>
              <w:jc w:val="left"/>
            </w:pPr>
            <w:r/>
            <w:r>
              <w:rPr>
                <w:rFonts w:ascii="Calibri" w:hAnsi="Calibri"/>
                <w:b w:val="0"/>
                <w:color w:val="404040"/>
                <w:sz w:val="17"/>
              </w:rPr>
              <w:t>AWS Documentation. Amazon EKS Best Practices Guide. https://aws.github.io/aws-eks-best-practices/</w:t>
            </w:r>
          </w:p>
        </w:tc>
      </w:tr>
      <w:tr>
        <w:tc>
          <w:tcPr>
            <w:tcW w:type="dxa" w:w="720"/>
            <w:shd w:val="clear" w:color="auto" w:fill="FFFFFF"/>
          </w:tcPr>
          <w:p>
            <w:pPr>
              <w:jc w:val="left"/>
            </w:pPr>
            <w:r/>
            <w:r>
              <w:rPr>
                <w:rFonts w:ascii="Calibri" w:hAnsi="Calibri"/>
                <w:b w:val="0"/>
                <w:color w:val="404040"/>
                <w:sz w:val="17"/>
              </w:rPr>
              <w:t>5</w:t>
            </w:r>
          </w:p>
        </w:tc>
        <w:tc>
          <w:tcPr>
            <w:tcW w:type="dxa" w:w="11376"/>
            <w:shd w:val="clear" w:color="auto" w:fill="FFFFFF"/>
          </w:tcPr>
          <w:p>
            <w:pPr>
              <w:jc w:val="left"/>
            </w:pPr>
            <w:r/>
            <w:r>
              <w:rPr>
                <w:rFonts w:ascii="Calibri" w:hAnsi="Calibri"/>
                <w:b w:val="0"/>
                <w:color w:val="404040"/>
                <w:sz w:val="17"/>
              </w:rPr>
              <w:t>AWS Documentation. AWS Database Migration Service User Guide. https://docs.aws.amazon.com/dms/</w:t>
            </w:r>
          </w:p>
        </w:tc>
      </w:tr>
      <w:tr>
        <w:tc>
          <w:tcPr>
            <w:tcW w:type="dxa" w:w="720"/>
            <w:shd w:val="clear" w:color="auto" w:fill="EDF2F8"/>
          </w:tcPr>
          <w:p>
            <w:pPr>
              <w:jc w:val="left"/>
            </w:pPr>
            <w:r/>
            <w:r>
              <w:rPr>
                <w:rFonts w:ascii="Calibri" w:hAnsi="Calibri"/>
                <w:b w:val="0"/>
                <w:color w:val="404040"/>
                <w:sz w:val="17"/>
              </w:rPr>
              <w:t>6</w:t>
            </w:r>
          </w:p>
        </w:tc>
        <w:tc>
          <w:tcPr>
            <w:tcW w:type="dxa" w:w="11376"/>
            <w:shd w:val="clear" w:color="auto" w:fill="EDF2F8"/>
          </w:tcPr>
          <w:p>
            <w:pPr>
              <w:jc w:val="left"/>
            </w:pPr>
            <w:r/>
            <w:r>
              <w:rPr>
                <w:rFonts w:ascii="Calibri" w:hAnsi="Calibri"/>
                <w:b w:val="0"/>
                <w:color w:val="404040"/>
                <w:sz w:val="17"/>
              </w:rPr>
              <w:t>CNCF. (2023). Cloud Native Trail Map. Cloud Native Computing Foundation. https://www.cncf.io/</w:t>
            </w:r>
          </w:p>
        </w:tc>
      </w:tr>
      <w:tr>
        <w:tc>
          <w:tcPr>
            <w:tcW w:type="dxa" w:w="720"/>
            <w:shd w:val="clear" w:color="auto" w:fill="FFFFFF"/>
          </w:tcPr>
          <w:p>
            <w:pPr>
              <w:jc w:val="left"/>
            </w:pPr>
            <w:r/>
            <w:r>
              <w:rPr>
                <w:rFonts w:ascii="Calibri" w:hAnsi="Calibri"/>
                <w:b w:val="0"/>
                <w:color w:val="404040"/>
                <w:sz w:val="17"/>
              </w:rPr>
              <w:t>7</w:t>
            </w:r>
          </w:p>
        </w:tc>
        <w:tc>
          <w:tcPr>
            <w:tcW w:type="dxa" w:w="11376"/>
            <w:shd w:val="clear" w:color="auto" w:fill="FFFFFF"/>
          </w:tcPr>
          <w:p>
            <w:pPr>
              <w:jc w:val="left"/>
            </w:pPr>
            <w:r/>
            <w:r>
              <w:rPr>
                <w:rFonts w:ascii="Calibri" w:hAnsi="Calibri"/>
                <w:b w:val="0"/>
                <w:color w:val="404040"/>
                <w:sz w:val="17"/>
              </w:rPr>
              <w:t>Google. (2023). DORA State of DevOps Report 2023. https://dora.dev/research/2023/</w:t>
            </w:r>
          </w:p>
        </w:tc>
      </w:tr>
      <w:tr>
        <w:tc>
          <w:tcPr>
            <w:tcW w:type="dxa" w:w="720"/>
            <w:shd w:val="clear" w:color="auto" w:fill="EDF2F8"/>
          </w:tcPr>
          <w:p>
            <w:pPr>
              <w:jc w:val="left"/>
            </w:pPr>
            <w:r/>
            <w:r>
              <w:rPr>
                <w:rFonts w:ascii="Calibri" w:hAnsi="Calibri"/>
                <w:b w:val="0"/>
                <w:color w:val="404040"/>
                <w:sz w:val="17"/>
              </w:rPr>
              <w:t>8</w:t>
            </w:r>
          </w:p>
        </w:tc>
        <w:tc>
          <w:tcPr>
            <w:tcW w:type="dxa" w:w="11376"/>
            <w:shd w:val="clear" w:color="auto" w:fill="EDF2F8"/>
          </w:tcPr>
          <w:p>
            <w:pPr>
              <w:jc w:val="left"/>
            </w:pPr>
            <w:r/>
            <w:r>
              <w:rPr>
                <w:rFonts w:ascii="Calibri" w:hAnsi="Calibri"/>
                <w:b w:val="0"/>
                <w:color w:val="404040"/>
                <w:sz w:val="17"/>
              </w:rPr>
              <w:t>Istio Documentation. Istio Service Mesh Architecture. https://istio.io/latest/docs/</w:t>
            </w:r>
          </w:p>
        </w:tc>
      </w:tr>
      <w:tr>
        <w:tc>
          <w:tcPr>
            <w:tcW w:type="dxa" w:w="720"/>
            <w:shd w:val="clear" w:color="auto" w:fill="FFFFFF"/>
          </w:tcPr>
          <w:p>
            <w:pPr>
              <w:jc w:val="left"/>
            </w:pPr>
            <w:r/>
            <w:r>
              <w:rPr>
                <w:rFonts w:ascii="Calibri" w:hAnsi="Calibri"/>
                <w:b w:val="0"/>
                <w:color w:val="404040"/>
                <w:sz w:val="17"/>
              </w:rPr>
              <w:t>9</w:t>
            </w:r>
          </w:p>
        </w:tc>
        <w:tc>
          <w:tcPr>
            <w:tcW w:type="dxa" w:w="11376"/>
            <w:shd w:val="clear" w:color="auto" w:fill="FFFFFF"/>
          </w:tcPr>
          <w:p>
            <w:pPr>
              <w:jc w:val="left"/>
            </w:pPr>
            <w:r/>
            <w:r>
              <w:rPr>
                <w:rFonts w:ascii="Calibri" w:hAnsi="Calibri"/>
                <w:b w:val="0"/>
                <w:color w:val="404040"/>
                <w:sz w:val="17"/>
              </w:rPr>
              <w:t>Confluent. Apache Kafka Documentation 3.7. https://kafka.apache.org/documentation/</w:t>
            </w:r>
          </w:p>
        </w:tc>
      </w:tr>
      <w:tr>
        <w:tc>
          <w:tcPr>
            <w:tcW w:type="dxa" w:w="720"/>
            <w:shd w:val="clear" w:color="auto" w:fill="EDF2F8"/>
          </w:tcPr>
          <w:p>
            <w:pPr>
              <w:jc w:val="left"/>
            </w:pPr>
            <w:r/>
            <w:r>
              <w:rPr>
                <w:rFonts w:ascii="Calibri" w:hAnsi="Calibri"/>
                <w:b w:val="0"/>
                <w:color w:val="404040"/>
                <w:sz w:val="17"/>
              </w:rPr>
              <w:t>10</w:t>
            </w:r>
          </w:p>
        </w:tc>
        <w:tc>
          <w:tcPr>
            <w:tcW w:type="dxa" w:w="11376"/>
            <w:shd w:val="clear" w:color="auto" w:fill="EDF2F8"/>
          </w:tcPr>
          <w:p>
            <w:pPr>
              <w:jc w:val="left"/>
            </w:pPr>
            <w:r/>
            <w:r>
              <w:rPr>
                <w:rFonts w:ascii="Calibri" w:hAnsi="Calibri"/>
                <w:b w:val="0"/>
                <w:color w:val="404040"/>
                <w:sz w:val="17"/>
              </w:rPr>
              <w:t>HashiCorp. Vault Architecture Overview. https://developer.hashicorp.com/vault/docs/internals/architecture</w:t>
            </w:r>
          </w:p>
        </w:tc>
      </w:tr>
      <w:tr>
        <w:tc>
          <w:tcPr>
            <w:tcW w:type="dxa" w:w="720"/>
            <w:shd w:val="clear" w:color="auto" w:fill="FFFFFF"/>
          </w:tcPr>
          <w:p>
            <w:pPr>
              <w:jc w:val="left"/>
            </w:pPr>
            <w:r/>
            <w:r>
              <w:rPr>
                <w:rFonts w:ascii="Calibri" w:hAnsi="Calibri"/>
                <w:b w:val="0"/>
                <w:color w:val="404040"/>
                <w:sz w:val="17"/>
              </w:rPr>
              <w:t>11</w:t>
            </w:r>
          </w:p>
        </w:tc>
        <w:tc>
          <w:tcPr>
            <w:tcW w:type="dxa" w:w="11376"/>
            <w:shd w:val="clear" w:color="auto" w:fill="FFFFFF"/>
          </w:tcPr>
          <w:p>
            <w:pPr>
              <w:jc w:val="left"/>
            </w:pPr>
            <w:r/>
            <w:r>
              <w:rPr>
                <w:rFonts w:ascii="Calibri" w:hAnsi="Calibri"/>
                <w:b w:val="0"/>
                <w:color w:val="404040"/>
                <w:sz w:val="17"/>
              </w:rPr>
              <w:t>OpenTelemetry. OpenTelemetry Specification. https://opentelemetry.io/docs/specs/otel/</w:t>
            </w:r>
          </w:p>
        </w:tc>
      </w:tr>
      <w:tr>
        <w:tc>
          <w:tcPr>
            <w:tcW w:type="dxa" w:w="720"/>
            <w:shd w:val="clear" w:color="auto" w:fill="EDF2F8"/>
          </w:tcPr>
          <w:p>
            <w:pPr>
              <w:jc w:val="left"/>
            </w:pPr>
            <w:r/>
            <w:r>
              <w:rPr>
                <w:rFonts w:ascii="Calibri" w:hAnsi="Calibri"/>
                <w:b w:val="0"/>
                <w:color w:val="404040"/>
                <w:sz w:val="17"/>
              </w:rPr>
              <w:t>12</w:t>
            </w:r>
          </w:p>
        </w:tc>
        <w:tc>
          <w:tcPr>
            <w:tcW w:type="dxa" w:w="11376"/>
            <w:shd w:val="clear" w:color="auto" w:fill="EDF2F8"/>
          </w:tcPr>
          <w:p>
            <w:pPr>
              <w:jc w:val="left"/>
            </w:pPr>
            <w:r/>
            <w:r>
              <w:rPr>
                <w:rFonts w:ascii="Calibri" w:hAnsi="Calibri"/>
                <w:b w:val="0"/>
                <w:color w:val="404040"/>
                <w:sz w:val="17"/>
              </w:rPr>
              <w:t>PCI Security Standards Council. PCI DSS v4.0 (2022). https://www.pcisecuritystandards.org/</w:t>
            </w:r>
          </w:p>
        </w:tc>
      </w:tr>
      <w:tr>
        <w:tc>
          <w:tcPr>
            <w:tcW w:type="dxa" w:w="720"/>
            <w:shd w:val="clear" w:color="auto" w:fill="FFFFFF"/>
          </w:tcPr>
          <w:p>
            <w:pPr>
              <w:jc w:val="left"/>
            </w:pPr>
            <w:r/>
            <w:r>
              <w:rPr>
                <w:rFonts w:ascii="Calibri" w:hAnsi="Calibri"/>
                <w:b w:val="0"/>
                <w:color w:val="404040"/>
                <w:sz w:val="17"/>
              </w:rPr>
              <w:t>13</w:t>
            </w:r>
          </w:p>
        </w:tc>
        <w:tc>
          <w:tcPr>
            <w:tcW w:type="dxa" w:w="11376"/>
            <w:shd w:val="clear" w:color="auto" w:fill="FFFFFF"/>
          </w:tcPr>
          <w:p>
            <w:pPr>
              <w:jc w:val="left"/>
            </w:pPr>
            <w:r/>
            <w:r>
              <w:rPr>
                <w:rFonts w:ascii="Calibri" w:hAnsi="Calibri"/>
                <w:b w:val="0"/>
                <w:color w:val="404040"/>
                <w:sz w:val="17"/>
              </w:rPr>
              <w:t>ICO. Guide to the UK GDPR. https://ico.org.uk/for-organisations/uk-gdpr-guidance-and-resources/</w:t>
            </w:r>
          </w:p>
        </w:tc>
      </w:tr>
      <w:tr>
        <w:tc>
          <w:tcPr>
            <w:tcW w:type="dxa" w:w="720"/>
            <w:shd w:val="clear" w:color="auto" w:fill="EDF2F8"/>
          </w:tcPr>
          <w:p>
            <w:pPr>
              <w:jc w:val="left"/>
            </w:pPr>
            <w:r/>
            <w:r>
              <w:rPr>
                <w:rFonts w:ascii="Calibri" w:hAnsi="Calibri"/>
                <w:b w:val="0"/>
                <w:color w:val="404040"/>
                <w:sz w:val="17"/>
              </w:rPr>
              <w:t>14</w:t>
            </w:r>
          </w:p>
        </w:tc>
        <w:tc>
          <w:tcPr>
            <w:tcW w:type="dxa" w:w="11376"/>
            <w:shd w:val="clear" w:color="auto" w:fill="EDF2F8"/>
          </w:tcPr>
          <w:p>
            <w:pPr>
              <w:jc w:val="left"/>
            </w:pPr>
            <w:r/>
            <w:r>
              <w:rPr>
                <w:rFonts w:ascii="Calibri" w:hAnsi="Calibri"/>
                <w:b w:val="0"/>
                <w:color w:val="404040"/>
                <w:sz w:val="17"/>
              </w:rPr>
              <w:t>Fowler, M. Strangler Fig Application. https://martinfowler.com/bliki/StranglerFigApplication.html</w:t>
            </w:r>
          </w:p>
        </w:tc>
      </w:tr>
      <w:tr>
        <w:tc>
          <w:tcPr>
            <w:tcW w:type="dxa" w:w="720"/>
            <w:shd w:val="clear" w:color="auto" w:fill="FFFFFF"/>
          </w:tcPr>
          <w:p>
            <w:pPr>
              <w:jc w:val="left"/>
            </w:pPr>
            <w:r/>
            <w:r>
              <w:rPr>
                <w:rFonts w:ascii="Calibri" w:hAnsi="Calibri"/>
                <w:b w:val="0"/>
                <w:color w:val="404040"/>
                <w:sz w:val="17"/>
              </w:rPr>
              <w:t>15</w:t>
            </w:r>
          </w:p>
        </w:tc>
        <w:tc>
          <w:tcPr>
            <w:tcW w:type="dxa" w:w="11376"/>
            <w:shd w:val="clear" w:color="auto" w:fill="FFFFFF"/>
          </w:tcPr>
          <w:p>
            <w:pPr>
              <w:jc w:val="left"/>
            </w:pPr>
            <w:r/>
            <w:r>
              <w:rPr>
                <w:rFonts w:ascii="Calibri" w:hAnsi="Calibri"/>
                <w:b w:val="0"/>
                <w:color w:val="404040"/>
                <w:sz w:val="17"/>
              </w:rPr>
              <w:t>Fowler, M. &amp; Lewis, J. Microservices. https://martinfowler.com/articles/microservices.html</w:t>
            </w:r>
          </w:p>
        </w:tc>
      </w:tr>
    </w:tbl>
    <w:p>
      <w:pPr>
        <w:spacing w:after="80"/>
      </w:pPr>
    </w:p>
    <w:p>
      <w:pPr>
        <w:spacing w:before="40" w:after="160"/>
      </w:pPr>
      <w:r>
        <w:rPr>
          <w:rFonts w:ascii="Calibri" w:hAnsi="Calibri"/>
          <w:i/>
          <w:color w:val="2E75B6"/>
          <w:sz w:val="17"/>
        </w:rPr>
        <w:t>Table B.1 – References and Further Reading</w:t>
      </w:r>
    </w:p>
    <w:p>
      <w:r>
        <w:br w:type="page"/>
      </w:r>
    </w:p>
    <w:p>
      <w:pPr>
        <w:jc w:val="center"/>
      </w:pPr>
      <w:r>
        <w:rPr>
          <w:rFonts w:ascii="Calibri" w:hAnsi="Calibri"/>
          <w:i/>
          <w:color w:val="2E75B6"/>
          <w:sz w:val="20"/>
        </w:rPr>
        <w:t>— End of Document —</w:t>
      </w:r>
    </w:p>
    <w:p>
      <w:pPr>
        <w:jc w:val="center"/>
      </w:pPr>
      <w:r>
        <w:rPr>
          <w:rFonts w:ascii="Calibri" w:hAnsi="Calibri"/>
          <w:color w:val="808080"/>
          <w:sz w:val="16"/>
        </w:rPr>
        <w:t>Microservices Migration Technical Design Document  |  v1.0  |  July 2025  |  Internal – Confidential</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