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capabilities-mapping"/>
    <w:p>
      <w:pPr>
        <w:pStyle w:val="Heading1"/>
      </w:pPr>
      <w:r>
        <w:t xml:space="preserve">Capabilities Mapping</w:t>
      </w:r>
    </w:p>
    <w:bookmarkStart w:id="9" w:name="Xb0dd80b5df03e0b641d432adfd552fdbe04336c"/>
    <w:p>
      <w:pPr>
        <w:pStyle w:val="Heading2"/>
      </w:pPr>
      <w:r>
        <w:t xml:space="preserve">Gartner MQ / Critical Capabilities — AI Application Development Platforms 2026</w:t>
      </w:r>
    </w:p>
    <w:p>
      <w:pPr>
        <w:pStyle w:val="FirstParagraph"/>
      </w:pPr>
      <w:r>
        <w:t xml:space="preserve">Decision record for what we claim, where we prove it, and what must be verified first. Timecode index lives in</w:t>
      </w:r>
      <w:r>
        <w:t xml:space="preserve"> </w:t>
      </w:r>
      <w:r>
        <w:rPr>
          <w:rStyle w:val="VerbatimChar"/>
        </w:rPr>
        <w:t xml:space="preserve">table-of-contents.md</w:t>
      </w:r>
      <w:r>
        <w:t xml:space="preserve">; talk tracks in</w:t>
      </w:r>
      <w:r>
        <w:t xml:space="preserve"> </w:t>
      </w:r>
      <w:r>
        <w:rPr>
          <w:rStyle w:val="VerbatimChar"/>
        </w:rPr>
        <w:t xml:space="preserve">demo-script.md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git-ignored — Gartner-RESTRICTED, never commit):</w:t>
      </w:r>
      <w:r>
        <w:t xml:space="preserve"> </w:t>
      </w:r>
      <w:r>
        <w:rPr>
          <w:rStyle w:val="VerbatimChar"/>
        </w:rPr>
        <w:t xml:space="preserve">Welcome Packet for Magic Quadrant.pdf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Magic-Quadrant-and-Critical-Capabilities.xlsx</w:t>
      </w:r>
      <w:r>
        <w:t xml:space="preserve"> </w:t>
      </w:r>
      <w:r>
        <w:t xml:space="preserve">(the RFI) ·</w:t>
      </w:r>
      <w:r>
        <w:t xml:space="preserve"> </w:t>
      </w:r>
      <w:r>
        <w:rPr>
          <w:rStyle w:val="VerbatimChar"/>
        </w:rPr>
        <w:t xml:space="preserve">Vendor Demonstration Guidelines … 2026.pdf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yet in this repo; add before using §4 as a checklist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 legend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</w:t>
      </w:r>
      <w:r>
        <w:t xml:space="preserve"> </w:t>
      </w:r>
      <w:r>
        <w:t xml:space="preserve">confirmed generally available ·</w:t>
      </w:r>
      <w:r>
        <w:t xml:space="preserve"> </w:t>
      </w:r>
      <w:r>
        <w:rPr>
          <w:rStyle w:val="VerbatimChar"/>
        </w:rPr>
        <w:t xml:space="preserve">GA-VERIFY</w:t>
      </w:r>
      <w:r>
        <w:t xml:space="preserve"> </w:t>
      </w:r>
      <w:r>
        <w:t xml:space="preserve">believed GA, confirm against the 1 Aug 2026 service state (§6) ·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rPr>
          <w:b/>
          <w:bCs/>
        </w:rPr>
        <w:t xml:space="preserve">must not be presented as GA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3P</w:t>
      </w:r>
      <w:r>
        <w:t xml:space="preserve"> </w:t>
      </w:r>
      <w:r>
        <w:t xml:space="preserve">predominantly third-party, disclosed.</w:t>
      </w:r>
    </w:p>
    <w:p>
      <w:pPr>
        <w:pStyle w:val="BlockText"/>
      </w:pPr>
      <w:r>
        <w:rPr>
          <w:b/>
          <w:bCs/>
        </w:rPr>
        <w:t xml:space="preserve">Two taxonomies — do not conflate.</w:t>
      </w:r>
      <w:r>
        <w:t xml:space="preserve"> </w:t>
      </w:r>
      <w:r>
        <w:t xml:space="preserve">The Welcome Packet defines</w:t>
      </w:r>
      <w:r>
        <w:t xml:space="preserve"> </w:t>
      </w:r>
      <w:r>
        <w:rPr>
          <w:b/>
          <w:bCs/>
        </w:rPr>
        <w:t xml:space="preserve">twelve</w:t>
      </w:r>
      <w:r>
        <w:t xml:space="preserve"> </w:t>
      </w:r>
      <w:r>
        <w:t xml:space="preserve">Critical Capabilities and the published report scores against those. The RFI’s</w:t>
      </w:r>
      <w:r>
        <w:t xml:space="preserve"> </w:t>
      </w:r>
      <w:r>
        <w:rPr>
          <w:rStyle w:val="VerbatimChar"/>
        </w:rPr>
        <w:t xml:space="preserve">Subsection Name</w:t>
      </w:r>
      <w:r>
        <w:t xml:space="preserve"> </w:t>
      </w:r>
      <w:r>
        <w:t xml:space="preserve">column tags only</w:t>
      </w:r>
      <w:r>
        <w:t xml:space="preserve"> </w:t>
      </w:r>
      <w:r>
        <w:rPr>
          <w:b/>
          <w:bCs/>
        </w:rPr>
        <w:t xml:space="preserve">ten</w:t>
      </w:r>
      <w:r>
        <w:t xml:space="preserve">: Agent State Management is filed under</w:t>
      </w:r>
      <w:r>
        <w:t xml:space="preserve"> </w:t>
      </w:r>
      <w:r>
        <w:rPr>
          <w:i/>
          <w:iCs/>
        </w:rPr>
        <w:t xml:space="preserve">Agentic Framework</w:t>
      </w:r>
      <w:r>
        <w:t xml:space="preserve"> </w:t>
      </w:r>
      <w:r>
        <w:t xml:space="preserve">(Q35), Deployment is split across</w:t>
      </w:r>
      <w:r>
        <w:t xml:space="preserve"> </w:t>
      </w:r>
      <w:r>
        <w:rPr>
          <w:i/>
          <w:iCs/>
        </w:rPr>
        <w:t xml:space="preserve">Model Catalog</w:t>
      </w:r>
      <w:r>
        <w:t xml:space="preserve"> </w:t>
      </w:r>
      <w:r>
        <w:t xml:space="preserve">(Q28) and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(Q43–47). §3 is keyed to the Welcome Packet’s twelve. The RFI column tells you where to type the answer.</w:t>
      </w:r>
    </w:p>
    <w:p>
      <w:r>
        <w:pict>
          <v:rect style="width:0;height:1.5pt" o:hralign="center" o:hrstd="t" o:hr="t"/>
        </w:pict>
      </w:r>
    </w:p>
    <w:bookmarkEnd w:id="9"/>
    <w:bookmarkStart w:id="14" w:name="the-rules-that-shape-everything"/>
    <w:p>
      <w:pPr>
        <w:pStyle w:val="Heading2"/>
      </w:pPr>
      <w:r>
        <w:t xml:space="preserve">1. The rules that shape everything</w:t>
      </w:r>
    </w:p>
    <w:bookmarkStart w:id="10" w:name="Xee77e5f9f5220870db1af54816568c5b115dc5e"/>
    <w:p>
      <w:pPr>
        <w:pStyle w:val="Heading3"/>
      </w:pPr>
      <w:r>
        <w:t xml:space="preserve">1.1 Cutoff — preview features are not evaluated at all</w:t>
      </w:r>
    </w:p>
    <w:p>
      <w:pPr>
        <w:pStyle w:val="BlockText"/>
      </w:pPr>
      <w:r>
        <w:rPr>
          <w:i/>
          <w:iCs/>
        </w:rPr>
        <w:t xml:space="preserve">“Capabilities must be in production (or generally available) as of August 1, 2026… We will not evaluate products or capabilities that are available as a limited release or beta version.”</w:t>
      </w:r>
    </w:p>
    <w:p>
      <w:pPr>
        <w:pStyle w:val="FirstParagraph"/>
      </w:pPr>
      <w:r>
        <w:t xml:space="preserve">A preview feature shown as GA is not discounted, it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— and it casts doubt on every other claim. Excluded from the video, declared as beta in the RFI (the dropdown has a distinct</w:t>
      </w:r>
      <w:r>
        <w:t xml:space="preserve"> </w:t>
      </w:r>
      <w:r>
        <w:t xml:space="preserve">“Yes, in beta today”</w:t>
      </w:r>
      <w:r>
        <w:t xml:space="preserve"> </w:t>
      </w:r>
      <w:r>
        <w:t xml:space="preserve">option):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Capability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Handling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Registry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Preview (Apr 2026)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Cut from the video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retime to 52:30 — a preview capability is not evaluated, so the seconds went elsewhere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Payments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Preview (May 2026)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Not in the video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Optimization → Failure Insights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Preview (Jun 2026)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Omit. Recommendations, Config Bundles, A/B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Harness → Claude Agent SDK export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Coming soon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Strands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export exists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CLI → Terraform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Coming soon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Claim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CDK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</w:t>
            </w:r>
          </w:p>
        </w:tc>
      </w:tr>
    </w:tbl>
    <w:bookmarkEnd w:id="10"/>
    <w:bookmarkStart w:id="11" w:name="pro-code-is-the-posture"/>
    <w:p>
      <w:pPr>
        <w:pStyle w:val="Heading3"/>
      </w:pPr>
      <w:r>
        <w:t xml:space="preserve">1.2 Pro-code is the posture</w:t>
      </w:r>
    </w:p>
    <w:p>
      <w:pPr>
        <w:pStyle w:val="BlockText"/>
      </w:pPr>
      <w:r>
        <w:rPr>
          <w:i/>
          <w:iCs/>
        </w:rPr>
        <w:t xml:space="preserve">“We exclude vendors who emphasize no-code… or have a go-to-market strategy focused on low-code application platforms or primarily serving business users.”</w:t>
      </w:r>
    </w:p>
    <w:p>
      <w:pPr>
        <w:pStyle w:val="FirstParagraph"/>
      </w:pPr>
      <w:r>
        <w:t xml:space="preserve">Inclusion additionally requires pro-code capabilities,</w:t>
      </w:r>
      <w:r>
        <w:t xml:space="preserve"> </w:t>
      </w:r>
      <w:r>
        <w:rPr>
          <w:b/>
          <w:bCs/>
        </w:rPr>
        <w:t xml:space="preserve">software engineers as a core user persona</w:t>
      </w:r>
      <w:r>
        <w:t xml:space="preserve">, and building without mandated professional services. RFI Q5 is multi-select across Low/No/Pro-Code — answer all three there. But the</w:t>
      </w:r>
      <w:r>
        <w:t xml:space="preserve"> </w:t>
      </w:r>
      <w:r>
        <w:rPr>
          <w:b/>
          <w:bCs/>
        </w:rPr>
        <w:t xml:space="preserve">video’s centre of gravity is the software engineer</w:t>
      </w:r>
      <w:r>
        <w:t xml:space="preserve">: Harness framed as configuration-as-code in git, not a canvas; Marcus owns Blocks 1A–1G; Lena under three minutes as a reviewer inside an engineer-built interface. Enforced by V15.</w:t>
      </w:r>
    </w:p>
    <w:bookmarkEnd w:id="11"/>
    <w:bookmarkStart w:id="12" w:name="Xe63aad6f1086573f00940a286e25dd76933e272"/>
    <w:p>
      <w:pPr>
        <w:pStyle w:val="Heading3"/>
      </w:pPr>
      <w:r>
        <w:t xml:space="preserve">1.3 Mandatory features — all seven must be visible on camera</w:t>
      </w:r>
    </w:p>
    <w:p>
      <w:pPr>
        <w:pStyle w:val="FirstParagraph"/>
      </w:pPr>
      <w:r>
        <w:t xml:space="preserve">Miss one and the market definition itself is in question.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Mandatory feature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Where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Pro-code framework for assistants, agents, multimodal apps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Kiro specs; Harness as config-as-code; Strands export; any framework on Runtime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01:45, 03:45, 17:00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Grounding on organizational knowledge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Managed KB (S3/SharePoint/Confluence/Drive/OneDrive/Web Crawler); context engineering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27:55, 39:25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Guardrails in and out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Guardrails at model, at gateway (Guardrails in Policy), and on voice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07:55, 31:30, 41:25, 49:20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Model catalog, commercial and open-source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catalog, model cards, AI Service Cards; Mantle; LiteLLM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06:30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Deployment — cloud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i/>
                <w:iCs/>
                <w:sz w:val="17"/>
              </w:rPr>
              <w:t xml:space="preserve">and hybrid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Runtime;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plus EKS and on-prem Helm over PrivateLink</w:t>
            </w:r>
            <w:r>
              <w:rPr>
                <w:sz w:val="17"/>
              </w:rPr>
              <w:t xml:space="preserve">; Evaluations/Optimization govern agents on Lambda, EKS, off-AWS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25:30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Evaluations, prebuilt or custom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Evaluations — built-in, custom LLM, custom code (Lambda)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23:05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Orchestration for agent-to-agent collaboration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Supervisor + parallel section agents;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A2A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agent cards; Gateway HTTP targets; Step Functions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17:00, 36:40</w:t>
            </w:r>
          </w:p>
        </w:tc>
      </w:tr>
    </w:tbl>
    <w:p>
      <w:pPr>
        <w:pStyle w:val="BodyText"/>
      </w:pPr>
      <w:r>
        <w:t xml:space="preserve">Hybrid was the easiest of these to lose. It is mandatory, it is a live beat at 25:30, and V16 guards it.</w:t>
      </w:r>
    </w:p>
    <w:bookmarkEnd w:id="12"/>
    <w:bookmarkStart w:id="13" w:name="X88e6b49cad2be163531f6d2e8fe5d95b4d66923"/>
    <w:p>
      <w:pPr>
        <w:pStyle w:val="Heading3"/>
      </w:pPr>
      <w:r>
        <w:t xml:space="preserve">1.4 Optional features — claim only what is real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Optional feature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Answer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Security &amp; risk (DLP, sandbox, IAM)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Guardrails sensitive-information filters; Code Interpreter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Sandbox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network mode; Identity; Policy; PrivateLink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13:25, 19:35, 41:25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AI router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route by use case, performance, cost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Gateway inference targets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inference connector/provider targets, model discovery, ID translation, per-model token limits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09:55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Observability across the stack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Observability / CloudWatch GenAI Observability, OTEL-compatible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24:40, 44:10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Advanced grounding — knowledge graph, chunking, rerank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Managed KB hybrid search, chunking, ranking/reranking.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Graph search unresolved — V6.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27:55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Composability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Any framework; any model; OTEL to third-party; MCP and A2A; Cedar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throughout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Catalogs &amp; marketplaces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Gateway connectors and integration templates; AWS-curated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skills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catalog; AWS Marketplace AI Agents and Tools; Bedrock Marketplace.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Use these, not Registry — Registry is preview.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08:40, 09:55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use-cases"/>
    <w:p>
      <w:pPr>
        <w:pStyle w:val="Heading2"/>
      </w:pPr>
      <w:r>
        <w:t xml:space="preserve">2. Use cases</w:t>
      </w:r>
    </w:p>
    <w:p>
      <w:pPr>
        <w:pStyle w:val="FirstParagraph"/>
      </w:pPr>
      <w:r>
        <w:t xml:space="preserve">Three application types, all three required by the inclusion criteria. Timecodes and spans in</w:t>
      </w:r>
      <w:r>
        <w:t xml:space="preserve"> </w:t>
      </w:r>
      <w:r>
        <w:rPr>
          <w:rStyle w:val="VerbatimChar"/>
        </w:rPr>
        <w:t xml:space="preserve">table-of-contents.md</w:t>
      </w:r>
      <w:r>
        <w:t xml:space="preserve"> </w:t>
      </w:r>
      <w:r>
        <w:t xml:space="preserve">§1.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Use case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Carried by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Differentiated value claim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AI assistants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External customer assistant grounded on the step-1 report — text, images, voice; automatic quality control; verified page-level grounding and correct refusal; OOTB comprehensiveness / accuracy / latency / cost reporting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One grounding corpus serves the internal report, the external assistant, the customer agent and the voice channel — marketing cannot drift from what the assistant says. The same evaluator definitions run in CI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online in production.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AI agents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Deep research agent (plan → parallel multi-agent → synthesis) and the account-opening agent (KYC, eligibility, fraud, auditable decline)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Declared as config, running in four minutes, exported to open-source code when it needed to grow — no rewrite.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A2A across team boundaries carrying the customer’s identity</w:t>
            </w:r>
            <w:r>
              <w:rPr>
                <w:sz w:val="17"/>
              </w:rPr>
              <w:t xml:space="preserve">: one trace, one identity, two owners. Deterministic policy in front of every tool call.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Multimodal applications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Multimodal input (regulatory PDF, chart image, agent reasoning over its own generated chart) and output (logo, storefront, service tiles, speech); one chapter as text + images + speech; multilingual speech-to-speech with barge-in; agent-driven UI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Multimodal in both directions inside a single agent run. Generated images pass the same guardrail layer as text. Native per-language grounding, not translated output.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Avatars: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reasoning, grounding, guardrails, voice and imagery first-party; photorealistic rendering is a partner layer, disclosed in 30 seconds.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ritical-capabilities-the-scoring-spine"/>
    <w:p>
      <w:pPr>
        <w:pStyle w:val="Heading2"/>
      </w:pPr>
      <w:r>
        <w:t xml:space="preserve">3. Critical Capabilities — the scoring spine</w:t>
      </w:r>
    </w:p>
    <w:p>
      <w:pPr>
        <w:pStyle w:val="FirstParagraph"/>
      </w:pPr>
      <w:r>
        <w:t xml:space="preserve">All twelve from the Welcome Packet. Timecodes in</w:t>
      </w:r>
      <w:r>
        <w:t xml:space="preserve"> </w:t>
      </w:r>
      <w:r>
        <w:rPr>
          <w:rStyle w:val="VerbatimChar"/>
        </w:rPr>
        <w:t xml:space="preserve">table-of-contents.md</w:t>
      </w:r>
      <w:r>
        <w:t xml:space="preserve"> </w:t>
      </w:r>
      <w:r>
        <w:t xml:space="preserve">§3.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Capability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RFI Qs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Primary AWS answer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Grounding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4, 6, 7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Managed KB — hybrid search, chunking, encoding, ranking, reranking, six native connectors; context engineering; AgentCore Memory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Guardrails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8–13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Guardrails — content filters, denied topics, word filters, prompt-attack detection, sensitive-information filters, contextual grounding, Automated Reasoning checks; Guardrails in Policy at the gateway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Evaluations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14–20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Evaluations — built-in evaluators at session/trace/tool level, custom LLM and code-based, ground truth incl. expected tool sequence, user simulation, online/on-demand/batch/dataset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Observability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21–24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Observability / CloudWatch GenAI Observability — span trees, per-span latency/tokens/cost, OTEL export, cross-account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Model Catalog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25–31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Bedrock catalog, model cards, AI Service Cards; Amazon Nova family; customization, fine-tuning, distillation; Mantle and LiteLLM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Agentic Framework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32–36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Harness, Runtime, Memory; Strands Agents (first-party open source); prebuilt tool integrations via Gateway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Multimodal Framework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37–39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Amazon Nova multimodal models; image generation; speech-to-speech; Bedrock Data Automation; multimodal retrieval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Cost Management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40–42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Per-session cost by model and agent; allocation tags; budget alarms; prompt caching; batch inference; gateway token tracking;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prompt management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Bedrock Prompt Management, Advanced Prompt Optimization, AgentCore Optimization Recommendations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Agent State Management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35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(→ Agentic Framework)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Continuity: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Memory short/long-term strategies, cross-session context, session filesystem surviving VM replacement.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Operational: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retry, stuck detection, remediation, error handling, agent restart — managed, not hand-written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28, 43–47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(→ Model Catalog / Orchestration)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Runtime immutable versions and named endpoints with instant rollback;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EKS and on-prem Helm over PrivateLink</w:t>
            </w:r>
            <w:r>
              <w:rPr>
                <w:sz w:val="17"/>
              </w:rPr>
              <w:t xml:space="preserve">; CDK L2 stable constructs; GovCloud (US-West)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Orchestration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43–47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Gateway as AI gateway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token tracking/reporting, rate limiting, user limits, response caching, route tracing, multi-provider routing, generic APIs, request/response guardrails;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dynamic model routing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via inference targets; multi-agent + A2A; Step Functions; skills and CLI scaffolds as prebuilt patterns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Security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48–52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AgentCore Identity (3LO, OBO, Private Key JWT, token vault with CMK); Policy (Cedar + automated reasoning validation); Code Interpreter sandbox; VPC/PrivateLink; SOC 1/2/3; entitlement-aware retrieval; DLP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Rows 9 and 10 are the two most likely to be under-served,</w:t>
      </w:r>
      <w:r>
        <w:t xml:space="preserve"> </w:t>
      </w:r>
      <w:r>
        <w:t xml:space="preserve">because the RFI hides them under other tags and both are easy to assert rather than show: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 State Management</w:t>
      </w:r>
      <w:r>
        <w:t xml:space="preserve"> </w:t>
      </w:r>
      <w:r>
        <w:t xml:space="preserve">— the memory half demos itself; the operational half does not. Beat 17:00 must actually fail a tool mid-pipeline and show detection → retry → resume with state intact. Claiming stuck detection while nothing gets stuck is the weakest form of coverage.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— hybrid is a mandatory feature (§1.3) and Gartner separately asked for deployable containers or Helm. A slide does not satisfy it. See V16.</w:t>
      </w:r>
    </w:p>
    <w:p>
      <w:pPr>
        <w:pStyle w:val="FirstParagraph"/>
      </w:pPr>
      <w:r>
        <w:rPr>
          <w:b/>
          <w:bCs/>
        </w:rPr>
        <w:t xml:space="preserve">Combinations.</w:t>
      </w:r>
      <w:r>
        <w:t xml:space="preserve"> </w:t>
      </w:r>
      <w:r>
        <w:t xml:space="preserve">Gartner asks specifically to</w:t>
      </w:r>
      <w:r>
        <w:t xml:space="preserve"> </w:t>
      </w:r>
      <w:r>
        <w:rPr>
          <w:i/>
          <w:iCs/>
        </w:rPr>
        <w:t xml:space="preserve">“showcase how you combine various capabilities.”</w:t>
      </w:r>
      <w:r>
        <w:t xml:space="preserve"> </w:t>
      </w:r>
      <w:r>
        <w:t xml:space="preserve">Six are staged deliberately — governed research · auditable multi-agent · layered defence · quality as a release gate · closed improvement loop · one corpus four channels. Definitions and timecodes in</w:t>
      </w:r>
      <w:r>
        <w:t xml:space="preserve"> </w:t>
      </w:r>
      <w:r>
        <w:rPr>
          <w:rStyle w:val="VerbatimChar"/>
        </w:rPr>
        <w:t xml:space="preserve">table-of-contents.md</w:t>
      </w:r>
      <w:r>
        <w:t xml:space="preserve"> </w:t>
      </w:r>
      <w:r>
        <w:t xml:space="preserve">§3.1. Name each one on camera and in the RFI.</w:t>
      </w:r>
    </w:p>
    <w:p>
      <w:r>
        <w:pict>
          <v:rect style="width:0;height:1.5pt" o:hralign="center" o:hrstd="t" o:hr="t"/>
        </w:pict>
      </w:r>
    </w:p>
    <w:bookmarkEnd w:id="16"/>
    <w:bookmarkStart w:id="21" w:name="requirement-coverage"/>
    <w:p>
      <w:pPr>
        <w:pStyle w:val="Heading2"/>
      </w:pPr>
      <w:r>
        <w:t xml:space="preserve">4. Requirement coverage</w:t>
      </w:r>
    </w:p>
    <w:p>
      <w:pPr>
        <w:pStyle w:val="FirstParagraph"/>
      </w:pPr>
      <w:r>
        <w:t xml:space="preserve">Every requirement in the demo brief, grouped.</w:t>
      </w:r>
      <w:r>
        <w:t xml:space="preserve"> </w:t>
      </w:r>
      <w:r>
        <w:rPr>
          <w:b/>
          <w:bCs/>
        </w:rPr>
        <w:t xml:space="preserve">All GA unless flagged.</w:t>
      </w:r>
    </w:p>
    <w:bookmarkStart w:id="17" w:name="Xe81b80f0f1e283d3982feb1cce9dea6f7948dab"/>
    <w:p>
      <w:pPr>
        <w:pStyle w:val="Heading3"/>
      </w:pPr>
      <w:r>
        <w:t xml:space="preserve">4.1 Section 1 — deep research agent (reqs 1.1–1.31)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Requirement group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AWS answer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1.1–1.6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Full lifecycle: build with an agentic framework, design, implement, test, deploy, operationalize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Kiro specs (requirements → design → tasks, steering as governance-as-code); AgentCore CLI (</w:t>
            </w:r>
            <w:r>
              <w:rPr>
                <w:rStyle w:val="VerbatimChar"/>
                <w:sz w:val="17"/>
              </w:rPr>
              <w:t xml:space="preserve">create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add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dev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deploy</w:t>
            </w:r>
            <w:r>
              <w:rPr>
                <w:sz w:val="17"/>
              </w:rPr>
              <w:t xml:space="preserve">/</w:t>
            </w:r>
            <w:r>
              <w:rPr>
                <w:rStyle w:val="VerbatimChar"/>
                <w:sz w:val="17"/>
              </w:rPr>
              <w:t xml:space="preserve">invoke</w:t>
            </w:r>
            <w:r>
              <w:rPr>
                <w:sz w:val="17"/>
              </w:rPr>
              <w:t xml:space="preserve">); Kiro property-based tests + custom code evaluator asserting the citation invariant; CDK L2 with an evaluation gate, versions, endpoints, rollback, EKS + on-prem Helm; Observability, Optimization, cost attribution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01:45–05:30, 23:05, 25:30, 27:05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1.7–1.11, 1.13–1.14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Refine the query, decompose into sub-questions, produce a research plan naming objectives / methods 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evaluation criteria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expected outcomes, generate search queries, human review of plan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content, divide into sections with parallel multi-agent collaboration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Planner refinement + Advanced Prompt Optimization; 11 sub-questions across 6 sections;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research_plan.json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emitting all four named elements; per-section queries inheriting domain and date filters; HITL twice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inline_function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pause/resume and Gateway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elicitation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(Form and URL modes); supervisor + 6 parallel section agents + synthesis, session-isolated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14:10, 15:30, 17:00, 33:30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Tool calling / MCP such as web search APIs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Gateway MCP targets: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Web Search on AgentCore</w:t>
            </w:r>
            <w:r>
              <w:rPr>
                <w:sz w:val="17"/>
              </w:rPr>
              <w:t xml:space="preserve">, OpenAPI, Lambda, existing MCP servers; semantic tool search. Region and citation obligations —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V18, V19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09:55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1.15–1.16, 1.18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Multimodal input incl. data-analysis charts; multimodal output incl. graphics/logos/storefronts; one chapter as text + images +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speech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PDF + chart as design inputs; Code Interpreter chart fed back to the agent as an image; Nova image generation behind Guardrails image filters; services chapter with tiles and Nova speech narration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01:45, 19:35, 21:20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1.17, 1.19–1.20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Combine sections with introduction and conclusion; citations for all sources; export as PDF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Synthesis agent, single-recommendation discipline; per-claim source + page with clickthrough, enforced by a custom evaluator; versioned S3 PDFs for report and customer FAQ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21:20, 23:05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1.21–1.31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IDE / low-code / high-code / graphical development · model cataloguing · data preparation · tracing · evaluation · debugging · agent operations · observability · orchestration · cost management · control processes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Framed as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altitudes, pro-code first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(§1.2): Kiro IDE → declarative harness → Strands and BYO container → Agent Inspector and console. Bedrock catalog with residency-scoped inference profiles; Bedrock Data Automation + KB ingestion with pre-inference PII redaction; span trees with latency/tokens/cost; Evaluations; eval → trace → span → fix → verify plus interactive shells on a live session; dashboards with guardrail intervention counts; multi-agent + A2A + gateway routing + Step Functions; per-session cost, tags, budgets, caching, batch; steering files, spec approval, Policy with automated reasoning validation,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allowedTools</w:t>
            </w:r>
            <w:r>
              <w:rPr>
                <w:sz w:val="17"/>
              </w:rPr>
              <w:t xml:space="preserve">, evaluation release gate, versioned config bundles, audit records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01:45–27:05</w:t>
            </w:r>
          </w:p>
        </w:tc>
      </w:tr>
    </w:tbl>
    <w:bookmarkEnd w:id="17"/>
    <w:bookmarkStart w:id="18" w:name="X1b7234a4b9aa28bd9ae35067ce25d864283a3c0"/>
    <w:p>
      <w:pPr>
        <w:pStyle w:val="Heading3"/>
      </w:pPr>
      <w:r>
        <w:t xml:space="preserve">4.2 Section 2 — external customer assistant (reqs 2.1–2.11)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Requirement group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AWS answer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2.1–2.2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Assistant for external customers grounded on step 1; detailed service info as text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images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Managed KB over the step-1 PDF and imagery; BDA parses imagery so retrieval returns tiles; multimodal retrieval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27:55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2.3–2.4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Generate service images; speak account and investment progress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Nova image generation on demand within brand and content guardrails; Nova speech-to-speech with barge-in over grounded position data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30:10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2.5–2.8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Automatic quality control — format, length, filter, irrelevant information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Response schema validator (mandatory fee disclosure); channel length policy with regenerate; Guardrails content filters and denied topics; online evaluation on Context relevance and Response relevance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31:30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2.9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Human review to update service descriptions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Gateway elicitation Form mode; versioned content with attribution and diff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33:30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2.10–2.11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A/B test output across various models; continuous feedback loop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Optimization A/B — config-bundle variants, gateway traffic split, statistical significance, config-only promotion. Loop: signal → trace annotation → dataset → batch eval → recommendation → A/B → promotion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34:30, 35:40</w:t>
            </w:r>
          </w:p>
        </w:tc>
      </w:tr>
    </w:tbl>
    <w:bookmarkEnd w:id="18"/>
    <w:bookmarkStart w:id="19" w:name="Xcfddd7e07834655d8152b5d6f1c4a88bf308646"/>
    <w:p>
      <w:pPr>
        <w:pStyle w:val="Heading3"/>
      </w:pPr>
      <w:r>
        <w:t xml:space="preserve">4.3 Section 3 — customer agent, grounding, guardrails, DLP, reports (reqs 3.1–3.15)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Requirement group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AWS answer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3.1–3.4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Open an account; validate you can do business with them; take advantage of services; detect fraudulent accounts and transactions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Multi-step agent with visible tool calls through to account opened; KYC/sanctions Lambda target, jurisdiction eligibility, rule-cited decline; enrollment across checking, retirement, managed investing; inline fraud signals plus an A2A call to the fraud-research agent with OBO identity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36:40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3.5–3.7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Grounding via context/prompt engineering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RAG; quickly verify answers are grounded in the step-1 PDF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Inspectable structured context object with per-element token budget; Managed KB retrieval; three answers checked against cited pages side by side in 90 seconds, plus a correct refusal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39:25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3.8–3.10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Guardrails block non-bank requests; employee-salary questions trigger guardrails; DLP measures fire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Denied topics and content filters; entitlement-aware retrieval excludes internal-only salary bands for external identities; sensitive-information filters, prompt-attack detection, Policy denies the HR tool at the gateway, exfiltration blocked and logged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41:25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3.11–3.15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Out-of-the-box reports: comprehensiveness, accuracy, response time, costs, and metrics for marketing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Completeness by intent (trended); Groundedness/Faithfulness by intent; p50/p95/p99 plus time-to-first-token; cost per conversation and per resolved request incl. indirect costs, business-unit tagged; top intents, service-interest ranking, containment vs escalation, funnel drop-off, sentiment.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Prebuilt — nothing custom-built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44:10</w:t>
            </w:r>
          </w:p>
        </w:tc>
      </w:tr>
    </w:tbl>
    <w:bookmarkEnd w:id="19"/>
    <w:bookmarkStart w:id="20" w:name="X114cd3463b83bc965a1ca309b45ba6e45290757"/>
    <w:p>
      <w:pPr>
        <w:pStyle w:val="Heading3"/>
      </w:pPr>
      <w:r>
        <w:t xml:space="preserve">4.4 Section 4 — avatar / digital human (reqs 4.1–4.8)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Requirement group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AWS answer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4.1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Photorealistic avatar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Partner rendering layer on the AWS voice stream — 30-second disclosure, not demonstrated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46:25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3P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4.2, 4.5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At least two languages; guidance in multiple languages and voice tones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Nova speech-to-speech with native per-language grounding; prosody and tone control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46:55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GA-VERIFY (V2)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4.3–4.4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Ground the avatar to step-2 text and images; spoken Q&amp;A on why to choose the bank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Same Managed KB and content objects as the Block 2 assistant; live grounded voice Q&amp;A with citations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46:55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4.6–4.7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Show / indicate the item being discussed; change item on customer question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Agent-emitted UI tool call highlighting the tile, visible in the trace; mid-answer topic switch re-navigates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48:40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4.8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Test guardrails with out-of-scope questions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Three voice probes blocked by the identical rule set; unified audit log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49:20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GA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regional-and-regulatory-positioning"/>
    <w:p>
      <w:pPr>
        <w:pStyle w:val="Heading2"/>
      </w:pPr>
      <w:r>
        <w:t xml:space="preserve">5. Regional and regulatory positioning</w:t>
      </w:r>
    </w:p>
    <w:p>
      <w:pPr>
        <w:pStyle w:val="FirstParagraph"/>
      </w:pPr>
      <w:r>
        <w:t xml:space="preserve">The scenario names US, Europe and China. The Welcome Packet also lists China among the geographies for the 10+ enterprise customer test — so China needs a precise answer, not a smooth one.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Requirement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Position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Beat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EU data residency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Cross-Region inference profile scoped to EU Regions; KB and Runtime in-Region; EU-resident reviewer operating in the EU plane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06:30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EU suitability / MiFID II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Spec requirement 4 traces to the MiFID II extract dropped in at 01:45; denied topics block unlicensed advice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01:45, 41:25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US regulatory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KYC and sanctions screening, entitlement-aware retrieval, auditable decline reasons, retained decision records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36:40, 41:25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Network isolation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Every AgentCore capability supports VPC and PrivateLink; agent traffic need not traverse the public internet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01:05, 25:30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Attestation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SOC 1 / 2 / 3 (Jun 2026); GovCloud (US-West)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01:05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China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State plainly: AWS China Regions are a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separate partition under a local operating entity</w:t>
            </w:r>
            <w:r>
              <w:rPr>
                <w:sz w:val="17"/>
              </w:rPr>
              <w:t xml:space="preserve">. Trinity’s China business runs as a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separate deployment of the same source and Helm charts</w:t>
            </w:r>
            <w:r>
              <w:rPr>
                <w:sz w:val="17"/>
              </w:rPr>
              <w:t xml:space="preserve">, not a cross-border extension. Service and model availability differs and must be validated per service.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06:30</w:t>
            </w:r>
          </w:p>
        </w:tc>
      </w:tr>
    </w:tbl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imply a single global control plane spanning the China partition. Framing it as a repeatable separate deployment is both accurate and a strength — the packaging deliverable is what makes it repeatable.</w:t>
      </w:r>
    </w:p>
    <w:p>
      <w:r>
        <w:pict>
          <v:rect style="width:0;height:1.5pt" o:hralign="center" o:hrstd="t" o:hr="t"/>
        </w:pict>
      </w:r>
    </w:p>
    <w:bookmarkEnd w:id="22"/>
    <w:bookmarkStart w:id="23" w:name="verification-before-recording"/>
    <w:p>
      <w:pPr>
        <w:pStyle w:val="Heading2"/>
      </w:pPr>
      <w:r>
        <w:t xml:space="preserve">6. Verification before recording</w:t>
      </w:r>
    </w:p>
    <w:p>
      <w:pPr>
        <w:pStyle w:val="FirstParagraph"/>
      </w:pPr>
      <w:r>
        <w:t xml:space="preserve">Every row is a claim that appears on camera. Anything unconfirmed is cut from the video and declared in the RFI instead.</w:t>
      </w:r>
      <w:r>
        <w:t xml:space="preserve"> </w:t>
      </w:r>
      <w:r>
        <w:rPr>
          <w:b/>
          <w:bCs/>
        </w:rPr>
        <w:t xml:space="preserve">V-numbers are referenced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demo-script.md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table-of-contents.md</w:t>
      </w:r>
      <w:r>
        <w:rPr>
          <w:b/>
          <w:bCs/>
        </w:rPr>
        <w:t xml:space="preserve"> </w:t>
      </w:r>
      <w:r>
        <w:rPr>
          <w:b/>
          <w:bCs/>
        </w:rPr>
        <w:t xml:space="preserve">— do not renumber.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Verify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Why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Owner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Anything shipped in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August 2026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release notes reviewed for this script end at July 2026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New GA capabilities may be claimable; anything after 1 Aug is out of scope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Supported language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Nova speech-to-speech; pick the second demo language from 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Section 4 needs ≥2 languages.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Do not claim Mandarin unless listed.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V3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Whether a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first-party photorealistic avatar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GA on 1 Aug 2026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If yes, replace the 46:25 disclosure with a live demo and reclaim ~3 min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GA status of every AgentCore capability named on camera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especially Gateway elicitation, inference targets, HTTP passthrough targets, interactive shells, unified span destination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 visible preview badge invalidates the claim, and the capability is not evaluated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Exact model IDs and Regions</w:t>
            </w:r>
            <w:r>
              <w:rPr>
                <w:sz w:val="17"/>
              </w:rPr>
              <w:t xml:space="preserve">, each GA in the demo Region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The catalog beat is on camera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Graph search / knowledge graph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grounding availability (RFI Q4)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Currently unresolved in §1.4 — resolve to yes or 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Evaluator names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screen match the service. A Mar 2026 release note says 13 built-in evaluators; the prompt-templates page enumerates more.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Say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“more than a dozen”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and name specific evaluators rather than a count.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Reviewers cross-check video against docs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Per-unit pricing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quoting any figure. Verified only: Web Search $7.00/1,000 queries; Identity $0.010/1,000 requests (free via Runtime/Gateway); Observability = CloudWatch pricing; harness/CLI/skills no additional charge.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Runtime, Browser, Code Interpreter, Gateway, Policy, Memory, Evaluations, Optimization rates unconfirmed. Do not quote $/vCPU-hour.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Cost claims are the easiest to falsify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FinOps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Guardrails feature names</w:t>
            </w:r>
            <w:r>
              <w:rPr>
                <w:sz w:val="17"/>
              </w:rPr>
              <w:t xml:space="preserve">: content filters, denied topics, word filters, sensitive-information filters, contextual grounding, Automated Reasoning checks, prompt-attack detection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Block 3 depends on these firing visibly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Risk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AgentCore Region list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quoting a count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Data points conflict across announcements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Kiro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property-based testing, hooks, Supervised mode and the spec workflow are GA in the build recorded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The differentiator and the testing requirement rest on 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Kiro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China statement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§5, with legal and compliance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Regulatory claim on camera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Legal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V13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How many AWS products Gartner has under evaluation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guidelines require one demo per product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If &gt;1, the script must be split, not duplicated. Schedule-level change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Source package contains no internal-only references, package names or wiki links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Reviewers open the source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Watch the assembled video against §1.2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does it read as pro-code for software engineers? Recut Lena if hesitant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The exclusion criteria are explicit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25:30 hybrid beat shows on-prem/EKS actually working</w:t>
            </w:r>
            <w:r>
              <w:rPr>
                <w:sz w:val="17"/>
              </w:rPr>
              <w:t xml:space="preserve">, not a slide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It is a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mandatory feature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(§1.3)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V17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Cross-check video claims against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RFI answers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both go in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Questionnaire (17 Aug) and demo (24 Aug) are read together; a contradiction is worse than a gap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V18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Web Search Tool Region availability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documented as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us-east-1 only</w:t>
            </w:r>
            <w:r>
              <w:rPr>
                <w:sz w:val="17"/>
              </w:rPr>
              <w:t xml:space="preserve">. Reconcile with the EU residency claim at 06:30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Beat 09:55 depends on it. Prepared answer: residency governs inference and the corpus; public web retrieval is not customer data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V19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Web Search acceptable use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citations and links must be retained and displayed in end-user output; no bulk extraction or competing index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Contractual, not cosmetic. Reinforces req 1.19 — state citations as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required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Legal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bCs/>
                <w:sz w:val="17"/>
              </w:rPr>
              <w:t xml:space="preserve">Policy in AgentCore GA status and Regions</w:t>
            </w:r>
            <w:r>
              <w:rPr>
                <w:sz w:val="17"/>
              </w:rPr>
              <w:t xml:space="preserve">, specifically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Highest-consequence GA question in the script: not GA means not evaluated, and beats 13:25, 41:25 plus differentiator D2 collapse. Resolve before storyboarding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Platform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V21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Produce and re-verify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b/>
                <w:bCs/>
                <w:sz w:val="17"/>
              </w:rPr>
              <w:t xml:space="preserve">table-of-contents.md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timecodes against the final edit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Explicitly requested separate-file deliverable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Demo lead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known-gaps-and-how-to-handle-them"/>
    <w:p>
      <w:pPr>
        <w:pStyle w:val="Heading2"/>
      </w:pPr>
      <w:r>
        <w:t xml:space="preserve">7. Known gaps and how to handle them</w:t>
      </w:r>
    </w:p>
    <w:p>
      <w:pPr>
        <w:pStyle w:val="FirstParagraph"/>
      </w:pPr>
      <w:r>
        <w:t xml:space="preserve">Honesty scores better than coverage. The RFI has explicit</w:t>
      </w:r>
      <w:r>
        <w:t xml:space="preserve"> </w:t>
      </w:r>
      <w:r>
        <w:t xml:space="preserve">“Yes, in beta today”</w:t>
      </w:r>
      <w:r>
        <w:t xml:space="preserve"> </w:t>
      </w:r>
      <w:r>
        <w:t xml:space="preserve">and</w:t>
      </w:r>
      <w:r>
        <w:t xml:space="preserve"> </w:t>
      </w:r>
      <w:r>
        <w:t xml:space="preserve">“Not supported”</w:t>
      </w:r>
      <w:r>
        <w:t xml:space="preserve"> </w:t>
      </w:r>
      <w:r>
        <w:t xml:space="preserve">options, and the source-code deliverable makes overclaims discoverable.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 xml:space="preserve">Handling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Photorealistic avatar rendering is partner technology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30-second statement at 46:25. Answer the RFI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“Avatars”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line honestly. Do not demo the partner product.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Registry, Payments, Failure Insights are 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Excluded from video, marked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“Yes, in beta today.”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 Gateway connectors, skills catalog and AWS Marketplace for the catalog/marketplace optional feature.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Knowledge graph / graph search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Resolve via V6 and answer accordingly. Do not assume.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Terraform for AgentCore CLI; Claude Agent SDK harness export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Both coming soon. Claim CDK and Strands only.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China partition service and model availability differs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Stated plainly in §5 and at 06:30 as a separate deployment of identical artifacts.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Red team / purple team testing services (RFI Q19)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Not in the demo. Answer from the security organisation’s actual offerings, or mark not supported.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Sound-effect and music generation models (RFI Q30)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Not in the demo. Verify availability and answer in the RFI; spend no demo time.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Anything failing §6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7"/>
              </w:rPr>
              <w:t xml:space="preserve">Cut from the video, declared in the RFI.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A 50-minute accurate video scores better than a 60-minute one with a falsifiable claim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and a beta claim is not evaluated at all. The script targets 52:30 partly to make cuts cheap.</w:t>
            </w:r>
          </w:p>
        </w:tc>
      </w:tr>
    </w:tbl>
    <w:bookmarkEnd w:id="24"/>
    <w:bookmarkEnd w:id="25"/>
    <w:sectPr>
      <w:footnotePr>
        <w:numRestart w:val="eachSect"/>
      </w:footnotePr>
      <w:pgSz w:w="15840" w:h="12240" w:orient="landscape"/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2026-08-03T20:46:23Z</dcterms:created>
  <dcterms:modified xsi:type="dcterms:W3CDTF">2026-08-03T20:46:23Z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