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table-of-contents-aws-product-demo"/>
    <w:p>
      <w:pPr>
        <w:pStyle w:val="Heading1"/>
      </w:pPr>
      <w:r>
        <w:t xml:space="preserve">Table of Contents — AWS Product Demo</w:t>
      </w:r>
    </w:p>
    <w:bookmarkStart w:id="9" w:name="X91934e626f2ca16870b424255941c6d6b2addd8"/>
    <w:p>
      <w:pPr>
        <w:pStyle w:val="Heading2"/>
      </w:pPr>
      <w:r>
        <w:t xml:space="preserve">Magic Quadrant and Critical Capabilities for AI Application Development Platforms 2026</w:t>
      </w:r>
    </w:p>
    <w:p>
      <w:pPr>
        <w:pStyle w:val="FirstParagraph"/>
      </w:pPr>
      <w:r>
        <w:rPr>
          <w:b/>
          <w:bCs/>
        </w:rPr>
        <w:t xml:space="preserve">Provider:</w:t>
      </w:r>
      <w:r>
        <w:t xml:space="preserve"> </w:t>
      </w:r>
      <w:r>
        <w:t xml:space="preserve">Amazon Web Services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Amazon Bedrock AgentCore</w:t>
      </w:r>
      <w:r>
        <w:t xml:space="preserve"> </w:t>
      </w:r>
      <w:r>
        <w:rPr>
          <w:b/>
          <w:bCs/>
        </w:rPr>
        <w:t xml:space="preserve">Runtime:</w:t>
      </w:r>
      <w:r>
        <w:t xml:space="preserve"> </w:t>
      </w:r>
      <w:r>
        <w:t xml:space="preserve">52:30 · 1920×1080 · .mp4 · English · 1x playback</w:t>
      </w:r>
      <w:r>
        <w:t xml:space="preserve"> </w:t>
      </w:r>
      <w:r>
        <w:rPr>
          <w:b/>
          <w:bCs/>
        </w:rPr>
        <w:t xml:space="preserve">Scenario:</w:t>
      </w:r>
      <w:r>
        <w:t xml:space="preserve"> </w:t>
      </w:r>
      <w:r>
        <w:t xml:space="preserve">Trinity Reserve Bank — retail and wealth institution near the Texas Stock Exchange, Dallas</w:t>
      </w:r>
      <w:r>
        <w:t xml:space="preserve"> </w:t>
      </w:r>
      <w:r>
        <w:rPr>
          <w:b/>
          <w:bCs/>
        </w:rPr>
        <w:t xml:space="preserve">Capability cutoff:</w:t>
      </w:r>
      <w:r>
        <w:t xml:space="preserve"> </w:t>
      </w:r>
      <w:r>
        <w:t xml:space="preserve">all capabilities shown are generally available as of 1 August 2026</w:t>
      </w:r>
    </w:p>
    <w:p>
      <w:pPr>
        <w:pStyle w:val="BodyText"/>
      </w:pPr>
      <w:r>
        <w:t xml:space="preserve">Timecodes are minutes and seconds from the start of the video.</w:t>
      </w:r>
    </w:p>
    <w:p>
      <w:r>
        <w:pict>
          <v:rect style="width:0;height:1.5pt" o:hralign="center" o:hrstd="t" o:hr="t"/>
        </w:pict>
      </w:r>
    </w:p>
    <w:bookmarkEnd w:id="9"/>
    <w:bookmarkStart w:id="10" w:name="use-cases"/>
    <w:p>
      <w:pPr>
        <w:pStyle w:val="Heading2"/>
      </w:pPr>
      <w:r>
        <w:t xml:space="preserve">1. Use cases</w:t>
      </w:r>
    </w:p>
    <w:p>
      <w:pPr>
        <w:pStyle w:val="FirstParagraph"/>
      </w:pPr>
      <w:r>
        <w:t xml:space="preserve">The Welcome Packet defines three application types. Each is demonstrated end to end.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Use case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Starts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Runs to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Primary content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Building AI agents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[14:10]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[27:55]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Deep research agent — query refinement, research plan, human approval, six-agent parallel execution, synthesis, cited PDF report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[36:40]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[46:25]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Customer-facing account opening agent — KYC, eligibility, fraud detection, agent-to-agent collaboration, auditable decline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Building AI assistants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[27:55]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[36:40]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External customer assistant grounded on the step-1 report — text and images, spoken account progress, automatic quality control, human review, A/B testing, feedback loop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Building multimodal applications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[19:35]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[23:05]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Multimodal input and output in a single agent run — chart reasoning, generated imagery, a chapter as text plus images plus speech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[46:25]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Voice experience — multilingual grounded speech-to-speech, tone control, agent-driven visual synchronisation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eas-of-differentiation"/>
    <w:p>
      <w:pPr>
        <w:pStyle w:val="Heading2"/>
      </w:pPr>
      <w:r>
        <w:t xml:space="preserve">2. Areas of differentiation</w:t>
      </w:r>
    </w:p>
    <w:p>
      <w:pPr>
        <w:pStyle w:val="FirstParagraph"/>
      </w:pPr>
      <w:r>
        <w:t xml:space="preserve">Each is stated at [49:55] and demonstrated earlier at the timecodes given.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Differentiator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Stated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Demonstrated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Managed agent loop that exports to open-source code.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 agent declared as configuration and running in minutes, then exported to Strands and extended into a multi-agent topology — no rewrite.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[03:45]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[17:00]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D2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Deterministic policy in front of every tool call, validated by automated reasoning.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rule authored at [13:25] blocks an adversarial attack at [41:25], at the gateway, before the call leaves.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[13:25]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[41:25]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D3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Identity survives the whole path, including agent to agent.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research agent acts as the analyst; the customer agent carries the customer’s identity across an A2A call to another team’s agent. One trace, one identity, two owners.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[12:10]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[17:00]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[36:40]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D4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Composable and portable out.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Independent capabilities, any framework, any model routed at the gateway, OpenTelemetry export, cloud or on-premises from one artifact, and governance of agents running outside AgentCore.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[06:30]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[09:55]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[17:00]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[25:30]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D5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A closed, fully managed operational loop.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Customer signal to deployed fix across seven stages with no glue code: online evaluation, tracing, IDE fix, evaluation gate, optimization recommendation, A/B with statistical significance, promotion as configuration.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[23:05]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[24:40]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[25:30]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[27:05]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[34:30]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[35:40]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critical-capabilities"/>
    <w:p>
      <w:pPr>
        <w:pStyle w:val="Heading2"/>
      </w:pPr>
      <w:r>
        <w:t xml:space="preserve">3. Critical Capabilities</w:t>
      </w:r>
    </w:p>
    <w:p>
      <w:pPr>
        <w:pStyle w:val="FirstParagraph"/>
      </w:pPr>
      <w:r>
        <w:t xml:space="preserve">All twelve Critical Capabilities defined in the Welcome Packet are demonstrated. Primary beat in bold.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Critical Capability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Timecodes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Grounding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[27:55]</w:t>
            </w:r>
            <w:r>
              <w:rPr>
                <w:sz w:val="17"/>
              </w:rPr>
              <w:t xml:space="preserve">, [39:25], [46:55]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Guardrails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[07:55], [31:30],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[41:25]</w:t>
            </w:r>
            <w:r>
              <w:rPr>
                <w:sz w:val="17"/>
              </w:rPr>
              <w:t xml:space="preserve">, [49:20]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Evaluations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[23:05]</w:t>
            </w:r>
            <w:r>
              <w:rPr>
                <w:sz w:val="17"/>
              </w:rPr>
              <w:t xml:space="preserve">, [31:30], [34:30]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Observability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[24:40]</w:t>
            </w:r>
            <w:r>
              <w:rPr>
                <w:sz w:val="17"/>
              </w:rPr>
              <w:t xml:space="preserve">, [44:10]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Model Catalog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[06:30]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Agentic Framework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[03:45]</w:t>
            </w:r>
            <w:r>
              <w:rPr>
                <w:sz w:val="17"/>
              </w:rPr>
              <w:t xml:space="preserve">, [17:00], [19:00], [36:40]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Multimodal Framework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[19:35],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[21:20]</w:t>
            </w:r>
            <w:r>
              <w:rPr>
                <w:sz w:val="17"/>
              </w:rPr>
              <w:t xml:space="preserve">, [30:10], [46:55]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Cost Management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[09:55],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[27:05]</w:t>
            </w:r>
            <w:r>
              <w:rPr>
                <w:sz w:val="17"/>
              </w:rPr>
              <w:t xml:space="preserve">, [44:10]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Agent State Management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[03:45],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[17:00]</w:t>
            </w:r>
            <w:r>
              <w:rPr>
                <w:sz w:val="17"/>
              </w:rPr>
              <w:t xml:space="preserve">, [19:00]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Deployment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[25:30]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Orchestration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[09:55]</w:t>
            </w:r>
            <w:r>
              <w:rPr>
                <w:sz w:val="17"/>
              </w:rPr>
              <w:t xml:space="preserve">, [17:00], [25:30], [36:40]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[12:10], [13:25], [19:35],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[41:25]</w:t>
            </w:r>
          </w:p>
        </w:tc>
      </w:tr>
    </w:tbl>
    <w:bookmarkStart w:id="12" w:name="combined-capabilities"/>
    <w:p>
      <w:pPr>
        <w:pStyle w:val="Heading3"/>
      </w:pPr>
      <w:r>
        <w:t xml:space="preserve">3.1 Combined capabilities</w:t>
      </w:r>
    </w:p>
    <w:p>
      <w:pPr>
        <w:pStyle w:val="FirstParagraph"/>
      </w:pPr>
      <w:r>
        <w:t xml:space="preserve">Six deliberate combinations, each solving a business problem no single capability solves alone.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Combination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Capabilities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Timecodes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Governed research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Agentic Framework · Orchestration · Security · Grounding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[09:55]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[17:00]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Auditable multi-agent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Agentic Framework · Security · Observability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[36:40]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Layered defence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Guardrails · Security · Grounding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[41:25]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Quality as a release gate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Evaluations · Orchestration · Observability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[23:05]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[25:30]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Closed improvement loop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Evaluations · Cost Management · Orchestration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[34:30]</w:t>
            </w:r>
            <w:r>
              <w:rPr>
                <w:sz w:val="17"/>
              </w:rPr>
              <w:t xml:space="preserve">, [35:40]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One corpus, four channels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Grounding · Multimodal Framework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[27:55], [30:10], [39:25],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[46:55]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topics-in-sequence"/>
    <w:p>
      <w:pPr>
        <w:pStyle w:val="Heading2"/>
      </w:pPr>
      <w:r>
        <w:t xml:space="preserve">4. Topics in sequence</w:t>
      </w:r>
    </w:p>
    <w:bookmarkStart w:id="14" w:name="open"/>
    <w:p>
      <w:pPr>
        <w:pStyle w:val="Heading3"/>
      </w:pPr>
      <w:r>
        <w:t xml:space="preserve">Open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[00:00]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Scenario — Trinity Reserve Bank, the four applications, synthetic data statement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[01:05]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The AgentCore platform on one slide — capabilities, compliance posture, and the generally-available boundary</w:t>
            </w:r>
          </w:p>
        </w:tc>
      </w:tr>
    </w:tbl>
    <w:bookmarkEnd w:id="14"/>
    <w:bookmarkStart w:id="15" w:name="section-1-deep-research-agent"/>
    <w:p>
      <w:pPr>
        <w:pStyle w:val="Heading3"/>
      </w:pPr>
      <w:r>
        <w:t xml:space="preserve">Section 1 — Deep research agent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[01:45]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Multimodal intake and spec-driven design — the verbatim problem statement, a regulatory PDF and a chart image as design inputs, requirements traceability, governance as code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[03:45]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Declaring the agent — AgentCore Harness as configuration-as-code; managed agent loop; retry, stuck detection and failure recovery; least-privilege tool scoping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[05:30]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First working agent and the Agent Inspector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[06:30]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Model choice and the model catalog — model cards, first- and third-party models, mid-session provider switching, residency-scoped inference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[07:55]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Guardrails inside the agent loop — a live intervention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[08:40]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Skills — on-demand domain expertise, curated catalog, open specification, progressive disclosure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[09:55]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Gateway as the AI gateway — MCP and OpenAPI targets, first-party web search with domain and date governance, existing MCP servers, semantic tool selection, token tracking, rate limiting, response caching, dynamic model routing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[12:10]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Identity — the agent acting as the requesting analyst; token vault; delegated authorization; attribution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[13:25]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Policy — natural-language and Cedar authoring, automated reasoning validation, deterministic enforcement in front of every tool call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[14:10]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Query refinement and research plan — sub-question decomposition; objectives, methodology, evaluation criteria and expected outcomes; governed search query generation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[15:30]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Human in the loop, two ways — pause-and-resume approval and Gateway elicitation, with versioning and attribution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[17:00]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Export to Strands and scale out on Runtime — six section agents in parallel, session isolation, shared filesystem, A2A with agent card discovery, live session introspection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[19:00]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Memory — short-term and long-term strategies, cross-session continuity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[19:35]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Code Interpreter and Browser — sandboxed execution with network isolation, the agent reasoning over its own generated chart, browser automation with live view, pre-inference PII redaction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[21:20]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Multimodal output and the final report — generated logo, storefront and service imagery; the recommended-services chapter as text, images and speech; per-claim citations; PDF export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[23:05]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AgentCore Evaluations — built-in evaluators at session, trace and tool level; custom code-based evaluators; ground truth including expected tool trajectory; user simulation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[24:40]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Observability and debugging — span trees with per-span latency, tokens and cost; regression traced to a span and fixed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[25:30]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Deployment as infrastructure — CDK, CI/CD with an evaluation quality gate, immutable versions and named endpoints, rollback, Step Functions,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and hybrid deployment on Kubernetes and on-premises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[27:05]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Optimization and cost — prompt and tool-description recommendations, prompt management, per-component cost attribution including indirect costs</w:t>
            </w:r>
          </w:p>
        </w:tc>
      </w:tr>
    </w:tbl>
    <w:bookmarkEnd w:id="15"/>
    <w:bookmarkStart w:id="16" w:name="section-2-external-customer-ai-assistant"/>
    <w:p>
      <w:pPr>
        <w:pStyle w:val="Heading3"/>
      </w:pPr>
      <w:r>
        <w:t xml:space="preserve">Section 2 — External customer AI assistant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[27:55]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Grounding on the step-1 artifact — managed knowledge base with hybrid search, chunking, ranking and reranking; enterprise connectors; multimodal retrieval returning text and images; citation transparency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[30:10]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Generated imagery and spoken progress — on-demand service images within brand guardrails; real-time speech narrating account and investment position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[31:30]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Automatic quality control — format, length, content filtering and relevance checks on every response; the same evaluator definitions in CI and in production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[33:30]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Human-in-the-loop review of service descriptions — review queue, content versioning, reviewer attribution, immediate propagation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[34:30]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A/B testing across models — traffic split, multi-metric comparison with statistical significance, promotion by configuration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[35:40]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Continuous feedback loop — customer signal to dataset to batch evaluation to recommendation to A/B to promotion</w:t>
            </w:r>
          </w:p>
        </w:tc>
      </w:tr>
    </w:tbl>
    <w:bookmarkEnd w:id="16"/>
    <w:bookmarkStart w:id="17" w:name="X7537f316bdc5eeb241212c3e99ef321e1662e4c"/>
    <w:p>
      <w:pPr>
        <w:pStyle w:val="Heading3"/>
      </w:pPr>
      <w:r>
        <w:t xml:space="preserve">Section 3 — Customer agent, grounding, guardrails, DLP and reporting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[36:40]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The agent opens an account — KYC and sanctions screening, jurisdiction eligibility, product enrollment, fraud detection, A2A collaboration with identity propagation, an auditable decline citing its rule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[39:25]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Grounding verified rather than asserted — three answers checked against the cited pages of the step-1 PDF side by side, inspectable context assembly, and a correct refusal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[41:25]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Guardrails and data loss prevention under attack — denied topics, content filters, prompt-attack detection, sensitive information filters, entitlement-aware retrieval, employee salary probes blocked at three independent layers, audit evidence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[44:10]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Out-of-the-box reporting — comprehensiveness, accuracy, response time, cost per conversation, and marketing metrics. Nothing custom-built</w:t>
            </w:r>
          </w:p>
        </w:tc>
      </w:tr>
    </w:tbl>
    <w:bookmarkEnd w:id="17"/>
    <w:bookmarkStart w:id="18" w:name="Xb47172173b36c28e61cae85e13a3b59be953e88"/>
    <w:p>
      <w:pPr>
        <w:pStyle w:val="Heading3"/>
      </w:pPr>
      <w:r>
        <w:t xml:space="preserve">Section 4 — Voice experience and the avatar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[46:25]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The honest boundary — reasoning, grounding, guardrails, voice and visual generation are first-party; photorealistic avatar rendering is a partner layer. Disclosed per Gartner’s instruction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[46:55]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Multilingual grounded voice — speech-to-speech in two languages with native per-language grounding and voice tone control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[48:40]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Agent-driven visual synchronisation — the agent indicates the service under discussion and re-navigates when the customer changes topic, as a traceable tool call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[49:20]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Guardrails on the voice channel — out-of-scope spoken probes blocked by the identical rule set, unified audit log</w:t>
            </w:r>
          </w:p>
        </w:tc>
      </w:tr>
    </w:tbl>
    <w:bookmarkEnd w:id="18"/>
    <w:bookmarkStart w:id="19" w:name="close"/>
    <w:p>
      <w:pPr>
        <w:pStyle w:val="Heading3"/>
      </w:pPr>
      <w:r>
        <w:t xml:space="preserve">Close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Timecode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sz w:val="17"/>
              </w:rPr>
              <w:t xml:space="preserve">Topic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[49:55]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Differentiating capabilities — the five areas in section 2 above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7"/>
              </w:rPr>
              <w:t xml:space="preserve">[51:45]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7"/>
              </w:rPr>
              <w:t xml:space="preserve">Deliverables — source for all four applications, container images and Helm charts, and the one-command build plus CI/CD pipeline. Self-serve throughout; no professional services engagement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notes-for-the-reviewer"/>
    <w:p>
      <w:pPr>
        <w:pStyle w:val="Heading2"/>
      </w:pPr>
      <w:r>
        <w:t xml:space="preserve">5. Notes for the reviewer</w:t>
      </w:r>
    </w:p>
    <w:p>
      <w:pPr>
        <w:pStyle w:val="FirstParagraph"/>
      </w:pPr>
      <w:r>
        <w:rPr>
          <w:b/>
          <w:bCs/>
        </w:rPr>
        <w:t xml:space="preserve">Generally available only.</w:t>
      </w:r>
      <w:r>
        <w:t xml:space="preserve"> </w:t>
      </w:r>
      <w:r>
        <w:t xml:space="preserve">Every capability demonstrated is generally available as of 1 August 2026. No preview or limited-release capability appears in this recording; those are declared separately in the questionnaire response.</w:t>
      </w:r>
    </w:p>
    <w:p>
      <w:pPr>
        <w:pStyle w:val="BodyText"/>
      </w:pPr>
      <w:r>
        <w:rPr>
          <w:b/>
          <w:bCs/>
        </w:rPr>
        <w:t xml:space="preserve">Third-party technology.</w:t>
      </w:r>
      <w:r>
        <w:t xml:space="preserve"> </w:t>
      </w:r>
      <w:r>
        <w:t xml:space="preserve">One component is not predominantly AWS technology: photorealistic avatar rendering. It is disclosed at [46:25] in thirty seconds and is not demonstrated, per the demonstration guidelines.</w:t>
      </w:r>
    </w:p>
    <w:p>
      <w:pPr>
        <w:pStyle w:val="BodyText"/>
      </w:pPr>
      <w:r>
        <w:rPr>
          <w:b/>
          <w:bCs/>
        </w:rPr>
        <w:t xml:space="preserve">Pre-recorded modules.</w:t>
      </w:r>
      <w:r>
        <w:t xml:space="preserve"> </w:t>
      </w:r>
      <w:r>
        <w:t xml:space="preserve">Where a step’s real latency would exceed roughly twenty seconds, a pre-recorded module is used. Each is identified on screen and aloud, naming the functionality item it covers.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All customer, account, market and employee data is synthetic. No production or customer data appears.</w:t>
      </w:r>
    </w:p>
    <w:p>
      <w:pPr>
        <w:pStyle w:val="BodyText"/>
      </w:pPr>
      <w:r>
        <w:rPr>
          <w:b/>
          <w:bCs/>
        </w:rPr>
        <w:t xml:space="preserve">Accompanying material.</w:t>
      </w:r>
      <w:r>
        <w:t xml:space="preserve"> </w:t>
      </w:r>
      <w:r>
        <w:t xml:space="preserve">Source code for all four applications, container images with Helm charts, and the build and CI/CD definitions are submitted alongside this recording.</w:t>
      </w:r>
    </w:p>
    <w:bookmarkEnd w:id="21"/>
    <w:bookmarkEnd w:id="22"/>
    <w:sectPr>
      <w:footnotePr>
        <w:numRestart w:val="eachSect"/>
      </w:footnotePr>
      <w:pgSz w:w="15840" w:h="12240" w:orient="landscape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2026-08-03T20:46:23Z</dcterms:created>
  <dcterms:modified xsi:type="dcterms:W3CDTF">2026-08-03T20:46:23Z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