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pStyle w:val="DocTitle"/>
      </w:pPr>
      <w:r>
        <w:t xml:space="preserve">Vaccination Requirements for Cats in Europe</w:t>
      </w:r>
    </w:p>
    <w:p>
      <w:pPr>
        <w:pStyle w:val="DocSubtitle"/>
      </w:pPr>
      <w:r>
        <w:t xml:space="preserve">A guide to EU pet travel regulations, core vaccinations, and country-specific requirements for felines</w:t>
      </w:r>
    </w:p>
    <w:p>
      <w:pPr>
        <w:spacing w:after="600"/>
        <w:jc w:val="center"/>
      </w:pPr>
      <w:r>
        <w:rPr>
          <w:color w:val="999999"/>
          <w:sz w:val="20"/>
          <w:szCs w:val="20"/>
        </w:rPr>
        <w:t xml:space="preserve">Reference Document</w:t>
      </w:r>
    </w:p>
    <w:p>
      <w:pPr>
        <w:pStyle w:val="SectionHead"/>
      </w:pPr>
      <w:r>
        <w:t xml:space="preserve">Overview</w:t>
      </w:r>
    </w:p>
    <w:p>
      <w:pPr>
        <w:pStyle w:val="Body"/>
      </w:pPr>
      <w:r>
        <w:t xml:space="preserve">In Europe, cat vaccination protocols are guided by the European Advisory Board on Cat Diseases (ABCD), the World Small Animal Veterinary Association (WSAVA), and national veterinary bodies. The EU harmonizes pet travel through the EU Pet Passport system, which mandates rabies vaccination for cross-border travel.</w:t>
      </w:r>
    </w:p>
    <w:p>
      <w:pPr>
        <w:pStyle w:val="Body"/>
      </w:pPr>
      <w:r>
        <w:t xml:space="preserve">Unlike dogs, cats in many European countries have fewer legally mandated vaccinations beyond rabies for travel. However, veterinary organizations strongly recommend a comprehensive vaccination program, particularly for cats with outdoor access or those in multi-cat environments.</w:t>
      </w:r>
    </w:p>
    <w:p>
      <w:pPr>
        <w:pStyle w:val="SectionHead"/>
      </w:pPr>
      <w:r>
        <w:t xml:space="preserve">Core Vaccinations</w:t>
      </w:r>
    </w:p>
    <w:p>
      <w:pPr>
        <w:pStyle w:val="Body"/>
      </w:pPr>
      <w:r>
        <w:t xml:space="preserve">The ABCD and WSAVA recommend the following core vaccines for all cats in Europe, regardless of lifestyle.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960"/>
      </w:tblGrid>
      <w:tr>
        <w:tc>
          <w:tcPr>
            <w:tcW w:type="dxa" w:w="2200"/>
            <w:tcBorders>
              <w:top w:val="single" w:color="CCCCCC" w:sz="1"/>
              <w:left w:val="single" w:color="CCCCCC" w:sz="1"/>
              <w:bottom w:val="single" w:color="CCCCCC" w:sz="1"/>
              <w:right w:val="single" w:color="CCCCCC" w:sz="1"/>
            </w:tcBorders>
            <w:shd w:fill="E4D5F0" w:val="clear"/>
            <w:vAlign w:val="center"/>
          </w:tcPr>
          <w:p>
            <w:pPr>
              <w:spacing w:after="60" w:before="60"/>
              <w:jc w:val="center"/>
            </w:pPr>
            <w:r>
              <w:rPr>
                <w:b/>
                <w:bCs/>
                <w:color w:val="4A2C6B"/>
                <w:sz w:val="20"/>
                <w:szCs w:val="20"/>
              </w:rPr>
              <w:t xml:space="preserve">Vaccine</w:t>
            </w:r>
          </w:p>
        </w:tc>
        <w:tc>
          <w:tcPr>
            <w:tcW w:type="dxa" w:w="2000"/>
            <w:tcBorders>
              <w:top w:val="single" w:color="CCCCCC" w:sz="1"/>
              <w:left w:val="single" w:color="CCCCCC" w:sz="1"/>
              <w:bottom w:val="single" w:color="CCCCCC" w:sz="1"/>
              <w:right w:val="single" w:color="CCCCCC" w:sz="1"/>
            </w:tcBorders>
            <w:shd w:fill="E4D5F0" w:val="clear"/>
            <w:vAlign w:val="center"/>
          </w:tcPr>
          <w:p>
            <w:pPr>
              <w:spacing w:after="60" w:before="60"/>
              <w:jc w:val="center"/>
            </w:pPr>
            <w:r>
              <w:rPr>
                <w:b/>
                <w:bCs/>
                <w:color w:val="4A2C6B"/>
                <w:sz w:val="20"/>
                <w:szCs w:val="20"/>
              </w:rPr>
              <w:t xml:space="preserve">First Dose</w:t>
            </w:r>
          </w:p>
        </w:tc>
        <w:tc>
          <w:tcPr>
            <w:tcW w:type="dxa" w:w="2200"/>
            <w:tcBorders>
              <w:top w:val="single" w:color="CCCCCC" w:sz="1"/>
              <w:left w:val="single" w:color="CCCCCC" w:sz="1"/>
              <w:bottom w:val="single" w:color="CCCCCC" w:sz="1"/>
              <w:right w:val="single" w:color="CCCCCC" w:sz="1"/>
            </w:tcBorders>
            <w:shd w:fill="E4D5F0" w:val="clear"/>
            <w:vAlign w:val="center"/>
          </w:tcPr>
          <w:p>
            <w:pPr>
              <w:spacing w:after="60" w:before="60"/>
              <w:jc w:val="center"/>
            </w:pPr>
            <w:r>
              <w:rPr>
                <w:b/>
                <w:bCs/>
                <w:color w:val="4A2C6B"/>
                <w:sz w:val="20"/>
                <w:szCs w:val="20"/>
              </w:rPr>
              <w:t xml:space="preserve">Boosters</w:t>
            </w:r>
          </w:p>
        </w:tc>
        <w:tc>
          <w:tcPr>
            <w:tcW w:type="dxa" w:w="2960"/>
            <w:tcBorders>
              <w:top w:val="single" w:color="CCCCCC" w:sz="1"/>
              <w:left w:val="single" w:color="CCCCCC" w:sz="1"/>
              <w:bottom w:val="single" w:color="CCCCCC" w:sz="1"/>
              <w:right w:val="single" w:color="CCCCCC" w:sz="1"/>
            </w:tcBorders>
            <w:shd w:fill="E4D5F0" w:val="clear"/>
            <w:vAlign w:val="center"/>
          </w:tcPr>
          <w:p>
            <w:pPr>
              <w:spacing w:after="60" w:before="60"/>
              <w:jc w:val="center"/>
            </w:pPr>
            <w:r>
              <w:rPr>
                <w:b/>
                <w:bCs/>
                <w:color w:val="4A2C6B"/>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Rabies</w:t>
            </w:r>
          </w:p>
        </w:tc>
        <w:tc>
          <w:tcPr>
            <w:tcW w:type="dxa" w:w="20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12 weeks</w:t>
            </w:r>
          </w:p>
        </w:tc>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1 year, then every 1-3 years depending on country</w:t>
            </w:r>
          </w:p>
        </w:tc>
        <w:tc>
          <w:tcPr>
            <w:tcW w:type="dxa" w:w="2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Mandatory for EU pet travel; legally required in some countries for resident cats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Feline Panleukopenia (FPV)</w:t>
            </w:r>
          </w:p>
        </w:tc>
        <w:tc>
          <w:tcPr>
            <w:tcW w:type="dxa" w:w="20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6-8 weeks</w:t>
            </w:r>
          </w:p>
        </w:tc>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Every 3-4 weeks until 16 weeks, then every 3 years</w:t>
            </w:r>
          </w:p>
        </w:tc>
        <w:tc>
          <w:tcPr>
            <w:tcW w:type="dxa" w:w="2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Highly contagious parvovirus; outbreaks still occur in shelters and colonies across Europe</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Feline Herpesvirus-1 (FHV-1)</w:t>
            </w:r>
          </w:p>
        </w:tc>
        <w:tc>
          <w:tcPr>
            <w:tcW w:type="dxa" w:w="20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6-8 weeks</w:t>
            </w:r>
          </w:p>
        </w:tc>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Every 3-4 weeks until 16 weeks, then every 3 years</w:t>
            </w:r>
          </w:p>
        </w:tc>
        <w:tc>
          <w:tcPr>
            <w:tcW w:type="dxa" w:w="2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Major cause of cat flu in Europe; virus remains latent and can reactivate under stress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Feline Calicivirus (FCV)</w:t>
            </w:r>
          </w:p>
        </w:tc>
        <w:tc>
          <w:tcPr>
            <w:tcW w:type="dxa" w:w="20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6-8 weeks</w:t>
            </w:r>
          </w:p>
        </w:tc>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Every 3-4 weeks until 16 weeks, then every 3 years</w:t>
            </w:r>
          </w:p>
        </w:tc>
        <w:tc>
          <w:tcPr>
            <w:tcW w:type="dxa" w:w="29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Causes oral ulcers and respiratory disease; virulent strains can cause outbreaks</w:t>
            </w:r>
          </w:p>
        </w:tc>
      </w:tr>
    </w:tbl>
    <w:p>
      <w:pPr>
        <w:spacing w:after="200"/>
      </w:pPr>
    </w:p>
    <w:p>
      <w:pPr>
        <w:pStyle w:val="SectionHead"/>
      </w:pPr>
      <w:r>
        <w:t xml:space="preserve">Non-Core Vaccinations</w:t>
      </w:r>
    </w:p>
    <w:p>
      <w:pPr>
        <w:pStyle w:val="Body"/>
      </w:pPr>
      <w:r>
        <w:t xml:space="preserve">Non-core vaccines are recommended based on geographic risk, outdoor access, and multi-cat living situations.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E4D5F0" w:val="clear"/>
            <w:vAlign w:val="center"/>
          </w:tcPr>
          <w:p>
            <w:pPr>
              <w:spacing w:after="60" w:before="60"/>
              <w:jc w:val="center"/>
            </w:pPr>
            <w:r>
              <w:rPr>
                <w:b/>
                <w:bCs/>
                <w:color w:val="4A2C6B"/>
                <w:sz w:val="20"/>
                <w:szCs w:val="20"/>
              </w:rPr>
              <w:t xml:space="preserve">Vaccine</w:t>
            </w:r>
          </w:p>
        </w:tc>
        <w:tc>
          <w:tcPr>
            <w:tcW w:type="dxa" w:w="2400"/>
            <w:tcBorders>
              <w:top w:val="single" w:color="CCCCCC" w:sz="1"/>
              <w:left w:val="single" w:color="CCCCCC" w:sz="1"/>
              <w:bottom w:val="single" w:color="CCCCCC" w:sz="1"/>
              <w:right w:val="single" w:color="CCCCCC" w:sz="1"/>
            </w:tcBorders>
            <w:shd w:fill="E4D5F0" w:val="clear"/>
            <w:vAlign w:val="center"/>
          </w:tcPr>
          <w:p>
            <w:pPr>
              <w:spacing w:after="60" w:before="60"/>
              <w:jc w:val="center"/>
            </w:pPr>
            <w:r>
              <w:rPr>
                <w:b/>
                <w:bCs/>
                <w:color w:val="4A2C6B"/>
                <w:sz w:val="20"/>
                <w:szCs w:val="20"/>
              </w:rPr>
              <w:t xml:space="preserve">Recommended For</w:t>
            </w:r>
          </w:p>
        </w:tc>
        <w:tc>
          <w:tcPr>
            <w:tcW w:type="dxa" w:w="4760"/>
            <w:tcBorders>
              <w:top w:val="single" w:color="CCCCCC" w:sz="1"/>
              <w:left w:val="single" w:color="CCCCCC" w:sz="1"/>
              <w:bottom w:val="single" w:color="CCCCCC" w:sz="1"/>
              <w:right w:val="single" w:color="CCCCCC" w:sz="1"/>
            </w:tcBorders>
            <w:shd w:fill="E4D5F0" w:val="clear"/>
            <w:vAlign w:val="center"/>
          </w:tcPr>
          <w:p>
            <w:pPr>
              <w:spacing w:after="60" w:before="60"/>
              <w:jc w:val="center"/>
            </w:pPr>
            <w:r>
              <w:rPr>
                <w:b/>
                <w:bCs/>
                <w:color w:val="4A2C6B"/>
                <w:sz w:val="20"/>
                <w:szCs w:val="20"/>
              </w:rPr>
              <w:t xml:space="preserve">Details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Feline Leukemia Virus (FeLV)</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All kittens; outdoor cats</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ABCD recommends vaccination for all kittens. Two-dose series; annual boosters for at-risk cats. FeLV testing recommended before vaccination.</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Chlamydia felis</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Multi-cat environments with confirmed infections</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Causes conjunctivitis. Two-dose series; annual boosters. Most relevant in catteries and shelters.</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Bordetella bronchiseptica</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Cats in shelters, catteries, or high-density settings</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Intranasal vaccine; single dose. More commonly used in the UK and Northern Europe.</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Feline Infectious Peritonitis (FIP)</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Limited use</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Intranasal vaccine available in some European markets but not widely recommended by ABCD due to insufficient evidence of efficacy.</w:t>
            </w:r>
          </w:p>
        </w:tc>
      </w:tr>
      <w:tr>
        <w:tc>
          <w:tcPr>
            <w:tcW w:type="dxa" w:w="22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Dermatophytosis (Ringworm)</w:t>
            </w:r>
          </w:p>
        </w:tc>
        <w:tc>
          <w:tcPr>
            <w:tcW w:type="dxa" w:w="240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Catteries with endemic infections</w:t>
            </w:r>
          </w:p>
        </w:tc>
        <w:tc>
          <w:tcPr>
            <w:tcW w:type="dxa" w:w="4760"/>
            <w:tcBorders>
              <w:top w:val="single" w:color="CCCCCC" w:sz="1"/>
              <w:left w:val="single" w:color="CCCCCC" w:sz="1"/>
              <w:bottom w:val="single" w:color="CCCCCC" w:sz="1"/>
              <w:right w:val="single" w:color="CCCCCC" w:sz="1"/>
            </w:tcBorders>
            <w:shd w:fill="FFFFFF" w:val="clear"/>
          </w:tcPr>
          <w:p>
            <w:pPr>
              <w:spacing w:after="40" w:before="40"/>
            </w:pPr>
            <w:r>
              <w:rPr>
                <w:sz w:val="20"/>
                <w:szCs w:val="20"/>
              </w:rPr>
              <w:t xml:space="preserve">Vaccines available in some European countries (e.g., Russia, Eastern Europe) but not routinely recommended in Western Europe.</w:t>
            </w:r>
          </w:p>
        </w:tc>
      </w:tr>
    </w:tbl>
    <w:p>
      <w:pPr>
        <w:spacing w:after="200"/>
      </w:pPr>
    </w:p>
    <w:p>
      <w:pPr>
        <w:pStyle w:val="SectionHead"/>
      </w:pPr>
      <w:r>
        <w:t xml:space="preserve">EU Pet Passport &amp; Travel Requirements</w:t>
      </w:r>
    </w:p>
    <w:p>
      <w:pPr>
        <w:pStyle w:val="Body"/>
      </w:pPr>
      <w:r>
        <w:t xml:space="preserve">The EU Pet Passport system applies to cats as well as dogs. Key requirements for feline travel within the EU:</w:t>
      </w:r>
    </w:p>
    <w:p>
      <w:pPr>
        <w:pStyle w:val="Body"/>
        <w:numPr>
          <w:ilvl w:val="0"/>
          <w:numId w:val="2"/>
        </w:numPr>
      </w:pPr>
      <w:r>
        <w:rPr>
          <w:b/>
          <w:bCs/>
        </w:rPr>
        <w:t xml:space="preserve">Rabies vaccination: </w:t>
      </w:r>
      <w:r>
        <w:t xml:space="preserve">Mandatory. The cat must be vaccinated at least 21 days before travel. The vaccine must be administered after microchip implantation.</w:t>
      </w:r>
    </w:p>
    <w:p>
      <w:pPr>
        <w:pStyle w:val="Body"/>
        <w:numPr>
          <w:ilvl w:val="0"/>
          <w:numId w:val="2"/>
        </w:numPr>
      </w:pPr>
      <w:r>
        <w:rPr>
          <w:b/>
          <w:bCs/>
        </w:rPr>
        <w:t xml:space="preserve">Microchip: </w:t>
      </w:r>
      <w:r>
        <w:t xml:space="preserve">ISO 11784/11785 compliant microchip required before rabies vaccination.</w:t>
      </w:r>
    </w:p>
    <w:p>
      <w:pPr>
        <w:pStyle w:val="Body"/>
        <w:numPr>
          <w:ilvl w:val="0"/>
          <w:numId w:val="2"/>
        </w:numPr>
      </w:pPr>
      <w:r>
        <w:rPr>
          <w:b/>
          <w:bCs/>
        </w:rPr>
        <w:t xml:space="preserve">Pet Passport: </w:t>
      </w:r>
      <w:r>
        <w:t xml:space="preserve">Issued by an authorized veterinarian. Contains identification, vaccination records, and health information.</w:t>
      </w:r>
    </w:p>
    <w:p>
      <w:pPr>
        <w:pStyle w:val="Body"/>
        <w:numPr>
          <w:ilvl w:val="0"/>
          <w:numId w:val="2"/>
        </w:numPr>
      </w:pPr>
      <w:r>
        <w:rPr>
          <w:b/>
          <w:bCs/>
        </w:rPr>
        <w:t xml:space="preserve">Tapeworm treatment: </w:t>
      </w:r>
      <w:r>
        <w:t xml:space="preserve">Required for cats traveling to the UK, Ireland, Finland, Norway, and Malta. Must be administered 24-120 hours before arrival.</w:t>
      </w:r>
    </w:p>
    <w:p>
      <w:pPr>
        <w:pStyle w:val="Body"/>
        <w:numPr>
          <w:ilvl w:val="0"/>
          <w:numId w:val="2"/>
        </w:numPr>
      </w:pPr>
      <w:r>
        <w:rPr>
          <w:b/>
          <w:bCs/>
        </w:rPr>
        <w:t xml:space="preserve">Rabies titer test: </w:t>
      </w:r>
      <w:r>
        <w:t xml:space="preserve">Required when traveling from non-listed third countries. Blood test must show rabies antibodies ≥ 0.5 IU/ml.</w:t>
      </w:r>
    </w:p>
    <w:p>
      <w:pPr>
        <w:pStyle w:val="SectionHead"/>
      </w:pPr>
      <w:r>
        <w:t xml:space="preserve">Country-Specific Highlights</w:t>
      </w:r>
    </w:p>
    <w:p>
      <w:pPr>
        <w:pStyle w:val="SubHead"/>
      </w:pPr>
      <w:r>
        <w:t xml:space="preserve">United Kingdom</w:t>
      </w:r>
    </w:p>
    <w:p>
      <w:pPr>
        <w:pStyle w:val="Body"/>
        <w:numPr>
          <w:ilvl w:val="0"/>
          <w:numId w:val="2"/>
        </w:numPr>
      </w:pPr>
      <w:r>
        <w:t xml:space="preserve">Rabies vaccination mandatory for all cats entering the UK.</w:t>
      </w:r>
    </w:p>
    <w:p>
      <w:pPr>
        <w:pStyle w:val="Body"/>
        <w:numPr>
          <w:ilvl w:val="0"/>
          <w:numId w:val="2"/>
        </w:numPr>
      </w:pPr>
      <w:r>
        <w:t xml:space="preserve">Post-Brexit: An Animal Health Certificate (AHC) is required instead of the EU Pet Passport.</w:t>
      </w:r>
    </w:p>
    <w:p>
      <w:pPr>
        <w:pStyle w:val="Body"/>
        <w:numPr>
          <w:ilvl w:val="0"/>
          <w:numId w:val="2"/>
        </w:numPr>
      </w:pPr>
      <w:r>
        <w:t xml:space="preserve">Tapeworm treatment required 24-120 hours before entry.</w:t>
      </w:r>
    </w:p>
    <w:p>
      <w:pPr>
        <w:pStyle w:val="Body"/>
        <w:numPr>
          <w:ilvl w:val="0"/>
          <w:numId w:val="2"/>
        </w:numPr>
      </w:pPr>
      <w:r>
        <w:t xml:space="preserve">No mandatory vaccinations for resident cats, but FPV, FHV-1, FCV, and FeLV vaccines are strongly recommended.</w:t>
      </w:r>
    </w:p>
    <w:p>
      <w:pPr>
        <w:pStyle w:val="SubHead"/>
      </w:pPr>
      <w:r>
        <w:t xml:space="preserve">Germany</w:t>
      </w:r>
    </w:p>
    <w:p>
      <w:pPr>
        <w:pStyle w:val="Body"/>
        <w:numPr>
          <w:ilvl w:val="0"/>
          <w:numId w:val="2"/>
        </w:numPr>
      </w:pPr>
      <w:r>
        <w:t xml:space="preserve">Rabies vaccination required for cats traveling across borders.</w:t>
      </w:r>
    </w:p>
    <w:p>
      <w:pPr>
        <w:pStyle w:val="Body"/>
        <w:numPr>
          <w:ilvl w:val="0"/>
          <w:numId w:val="2"/>
        </w:numPr>
      </w:pPr>
      <w:r>
        <w:t xml:space="preserve">No mandatory vaccination for resident cats, though the StIKo Vet recommends FPV, FHV-1, and FCV for all cats.</w:t>
      </w:r>
    </w:p>
    <w:p>
      <w:pPr>
        <w:pStyle w:val="Body"/>
        <w:numPr>
          <w:ilvl w:val="0"/>
          <w:numId w:val="2"/>
        </w:numPr>
      </w:pPr>
      <w:r>
        <w:t xml:space="preserve">FeLV vaccination recommended for outdoor cats and cats in multi-cat households.</w:t>
      </w:r>
    </w:p>
    <w:p>
      <w:pPr>
        <w:pStyle w:val="SubHead"/>
      </w:pPr>
      <w:r>
        <w:t xml:space="preserve">France</w:t>
      </w:r>
    </w:p>
    <w:p>
      <w:pPr>
        <w:pStyle w:val="Body"/>
        <w:numPr>
          <w:ilvl w:val="0"/>
          <w:numId w:val="2"/>
        </w:numPr>
      </w:pPr>
      <w:r>
        <w:t xml:space="preserve">Rabies vaccination required for cats traveling outside France and for cats in certain administrative regions.</w:t>
      </w:r>
    </w:p>
    <w:p>
      <w:pPr>
        <w:pStyle w:val="Body"/>
        <w:numPr>
          <w:ilvl w:val="0"/>
          <w:numId w:val="2"/>
        </w:numPr>
      </w:pPr>
      <w:r>
        <w:t xml:space="preserve">FPV, FHV-1, and FCV vaccines strongly recommended for all cats.</w:t>
      </w:r>
    </w:p>
    <w:p>
      <w:pPr>
        <w:pStyle w:val="Body"/>
        <w:numPr>
          <w:ilvl w:val="0"/>
          <w:numId w:val="2"/>
        </w:numPr>
      </w:pPr>
      <w:r>
        <w:t xml:space="preserve">FeLV particularly important for outdoor cats in rural areas.</w:t>
      </w:r>
    </w:p>
    <w:p>
      <w:pPr>
        <w:pStyle w:val="SubHead"/>
      </w:pPr>
      <w:r>
        <w:t xml:space="preserve">Spain</w:t>
      </w:r>
    </w:p>
    <w:p>
      <w:pPr>
        <w:pStyle w:val="Body"/>
        <w:numPr>
          <w:ilvl w:val="0"/>
          <w:numId w:val="2"/>
        </w:numPr>
      </w:pPr>
      <w:r>
        <w:t xml:space="preserve">Rabies vaccination requirements for cats vary by autonomous community — mandatory in some regions, recommended in others.</w:t>
      </w:r>
    </w:p>
    <w:p>
      <w:pPr>
        <w:pStyle w:val="Body"/>
        <w:numPr>
          <w:ilvl w:val="0"/>
          <w:numId w:val="2"/>
        </w:numPr>
      </w:pPr>
      <w:r>
        <w:t xml:space="preserve">FeLV prevalence is notable in stray cat populations; vaccination recommended for outdoor cats.</w:t>
      </w:r>
    </w:p>
    <w:p>
      <w:pPr>
        <w:pStyle w:val="SubHead"/>
      </w:pPr>
      <w:r>
        <w:t xml:space="preserve">Scandinavian Countries (Sweden, Norway, Finland)</w:t>
      </w:r>
    </w:p>
    <w:p>
      <w:pPr>
        <w:pStyle w:val="Body"/>
        <w:numPr>
          <w:ilvl w:val="0"/>
          <w:numId w:val="2"/>
        </w:numPr>
      </w:pPr>
      <w:r>
        <w:t xml:space="preserve">Rabies vaccination required for cats entering the country.</w:t>
      </w:r>
    </w:p>
    <w:p>
      <w:pPr>
        <w:pStyle w:val="Body"/>
        <w:numPr>
          <w:ilvl w:val="0"/>
          <w:numId w:val="2"/>
        </w:numPr>
      </w:pPr>
      <w:r>
        <w:t xml:space="preserve">Tapeworm treatment required for cats entering Finland and Norway.</w:t>
      </w:r>
    </w:p>
    <w:p>
      <w:pPr>
        <w:pStyle w:val="Body"/>
        <w:numPr>
          <w:ilvl w:val="0"/>
          <w:numId w:val="2"/>
        </w:numPr>
      </w:pPr>
      <w:r>
        <w:t xml:space="preserve">Domestic vaccination requirements are minimal; veterinarians follow WSAVA/ABCD guidelines.</w:t>
      </w:r>
    </w:p>
    <w:p>
      <w:pPr>
        <w:pStyle w:val="Body"/>
        <w:numPr>
          <w:ilvl w:val="0"/>
          <w:numId w:val="2"/>
        </w:numPr>
      </w:pPr>
      <w:r>
        <w:t xml:space="preserve">Indoor cats are common in Scandinavia, reducing the need for some non-core vaccines.</w:t>
      </w:r>
    </w:p>
    <w:p>
      <w:pPr>
        <w:pStyle w:val="SectionHead"/>
      </w:pPr>
      <w:r>
        <w:t xml:space="preserve">Important Notes</w:t>
      </w:r>
    </w:p>
    <w:p>
      <w:pPr>
        <w:pStyle w:val="Body"/>
        <w:numPr>
          <w:ilvl w:val="0"/>
          <w:numId w:val="2"/>
        </w:numPr>
      </w:pPr>
      <w:r>
        <w:t xml:space="preserve">Injection-site sarcomas are a known risk with certain adjuvanted feline vaccines. The ABCD recommends non-adjuvanted vaccines where available.</w:t>
      </w:r>
    </w:p>
    <w:p>
      <w:pPr>
        <w:pStyle w:val="Body"/>
        <w:numPr>
          <w:ilvl w:val="0"/>
          <w:numId w:val="2"/>
        </w:numPr>
      </w:pPr>
      <w:r>
        <w:t xml:space="preserve">Vaccination protocols should be tailored to each cat's individual risk profile — indoor vs. outdoor, single vs. multi-cat household.</w:t>
      </w:r>
    </w:p>
    <w:p>
      <w:pPr>
        <w:pStyle w:val="Body"/>
        <w:numPr>
          <w:ilvl w:val="0"/>
          <w:numId w:val="2"/>
        </w:numPr>
      </w:pPr>
      <w:r>
        <w:t xml:space="preserve">The EU Pet Passport is not valid for UK travel post-Brexit; an Animal Health Certificate is required instead.</w:t>
      </w:r>
    </w:p>
    <w:p>
      <w:pPr>
        <w:pStyle w:val="Body"/>
        <w:numPr>
          <w:ilvl w:val="0"/>
          <w:numId w:val="2"/>
        </w:numPr>
      </w:pPr>
      <w:r>
        <w:t xml:space="preserve">Some countries may require additional health certificates or quarantine periods for cats arriving from non-EU countries.</w:t>
      </w:r>
    </w:p>
    <w:p>
      <w:pPr>
        <w:pStyle w:val="Body"/>
        <w:numPr>
          <w:ilvl w:val="0"/>
          <w:numId w:val="2"/>
        </w:numPr>
      </w:pPr>
      <w:r>
        <w:t xml:space="preserve">Always consult a local veterinarian for country-specific guidance and the latest regulatory requirements.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r>
      <w:rPr>
        <w:color w:val="999999"/>
        <w:sz w:val="18"/>
        <w:szCs w:val="18"/>
      </w:rPr>
      <w:t xml:space="preserve"> of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Cat Vaccinations — Europe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 Title"/>
    <w:basedOn w:val="Normal"/>
    <w:qFormat/>
    <w:pPr>
      <w:spacing w:after="100"/>
      <w:jc w:val="center"/>
    </w:pPr>
    <w:rPr>
      <w:b/>
      <w:bCs/>
      <w:color w:val="4A2C6B"/>
      <w:sz w:val="48"/>
      <w:szCs w:val="48"/>
    </w:rPr>
  </w:style>
  <w:style w:type="paragraph" w:styleId="DocSubtitle">
    <w:name w:val="Doc Subtitle"/>
    <w:basedOn w:val="Normal"/>
    <w:qFormat/>
    <w:pPr>
      <w:spacing w:after="300"/>
      <w:jc w:val="center"/>
    </w:pPr>
    <w:rPr>
      <w:i/>
      <w:iCs/>
      <w:color w:val="666666"/>
      <w:sz w:val="24"/>
      <w:szCs w:val="24"/>
    </w:rPr>
  </w:style>
  <w:style w:type="paragraph" w:styleId="SectionHead">
    <w:name w:val="Section Head"/>
    <w:basedOn w:val="Normal"/>
    <w:qFormat/>
    <w:pPr>
      <w:spacing w:after="160" w:before="360"/>
    </w:pPr>
    <w:rPr>
      <w:b/>
      <w:bCs/>
      <w:color w:val="4A2C6B"/>
      <w:sz w:val="30"/>
      <w:szCs w:val="30"/>
    </w:rPr>
  </w:style>
  <w:style w:type="paragraph" w:styleId="SubHead">
    <w:name w:val="Sub Head"/>
    <w:basedOn w:val="Normal"/>
    <w:qFormat/>
    <w:pPr>
      <w:spacing w:after="100" w:before="240"/>
    </w:pPr>
    <w:rPr>
      <w:b/>
      <w:bCs/>
      <w:color w:val="1A1A2E"/>
      <w:sz w:val="24"/>
      <w:szCs w:val="24"/>
    </w:rPr>
  </w:style>
  <w:style w:type="paragraph" w:styleId="Body">
    <w:name w:val="Body"/>
    <w:basedOn w:val="Normal"/>
    <w:pPr>
      <w:spacing w:after="140" w:line="312"/>
    </w:pPr>
    <w:rPr>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2026-04-24T20:08:31.572Z</dcterms:created>
  <dcterms:modified xsi:type="dcterms:W3CDTF">2026-04-24T20:08:31.572Z</dcterms:modified>
</cp:coreProperties>
</file>

<file path=docProps/custom.xml><?xml version="1.0" encoding="utf-8"?>
<Properties xmlns="http://schemas.openxmlformats.org/officeDocument/2006/custom-properties" xmlns:vt="http://schemas.openxmlformats.org/officeDocument/2006/docPropsVTypes"/>
</file>