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DocTitle"/>
      </w:pPr>
      <w:r>
        <w:t xml:space="preserve">Vaccination Requirements for Dogs in America</w:t>
      </w:r>
    </w:p>
    <w:p>
      <w:pPr>
        <w:pStyle w:val="DocSubtitle"/>
      </w:pPr>
      <w:r>
        <w:t xml:space="preserve">A guide to core and non-core vaccinations recommended by the AVMA and state regulations</w:t>
      </w:r>
    </w:p>
    <w:p>
      <w:pPr>
        <w:spacing w:after="600"/>
        <w:jc w:val="center"/>
      </w:pPr>
      <w:r>
        <w:rPr>
          <w:color w:val="999999"/>
          <w:sz w:val="20"/>
          <w:szCs w:val="20"/>
        </w:rPr>
        <w:t xml:space="preserve">Reference Document</w:t>
      </w:r>
    </w:p>
    <w:p>
      <w:pPr>
        <w:pStyle w:val="SectionHead"/>
      </w:pPr>
      <w:r>
        <w:t xml:space="preserve">Overview</w:t>
      </w:r>
    </w:p>
    <w:p>
      <w:pPr>
        <w:pStyle w:val="Body"/>
      </w:pPr>
      <w:r>
        <w:t xml:space="preserve">In the United States, dog vaccination requirements are governed by a combination of federal guidelines, state laws, and veterinary best practices. The American Veterinary Medical Association (AVMA) and the American Animal Hospital Association (AAHA) publish vaccination guidelines that most veterinarians follow. However, specific legal requirements — particularly for rabies — vary by state.</w:t>
      </w:r>
    </w:p>
    <w:p>
      <w:pPr>
        <w:pStyle w:val="SectionHead"/>
      </w:pPr>
      <w:r>
        <w:t xml:space="preserve">Core Vaccinations</w:t>
      </w:r>
    </w:p>
    <w:p>
      <w:pPr>
        <w:pStyle w:val="Body"/>
      </w:pPr>
      <w:r>
        <w:t xml:space="preserve">Core vaccines are recommended for all dogs regardless of lifestyle or geographic location. These protect against diseases that are widespread, highly contagious, or pose serious health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Vaccine</w:t>
            </w:r>
          </w:p>
        </w:tc>
        <w:tc>
          <w:tcPr>
            <w:tcW w:type="dxa" w:w="200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First Dose</w:t>
            </w:r>
          </w:p>
        </w:tc>
        <w:tc>
          <w:tcPr>
            <w:tcW w:type="dxa" w:w="220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Boosters</w:t>
            </w:r>
          </w:p>
        </w:tc>
        <w:tc>
          <w:tcPr>
            <w:tcW w:type="dxa" w:w="296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Rabies</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12-16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 year,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Legally required in all 50 states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Distemper (CDV)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Highly contagious viral disease</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Parvovirus (CPV)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Severe gastrointestinal illness, often fatal in puppies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Adenovirus (CAV-2)</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Protects against infectious hepatitis</w:t>
            </w:r>
          </w:p>
        </w:tc>
      </w:tr>
    </w:tbl>
    <w:p>
      <w:pPr>
        <w:spacing w:after="200"/>
      </w:pPr>
    </w:p>
    <w:p>
      <w:pPr>
        <w:pStyle w:val="SectionHead"/>
      </w:pPr>
      <w:r>
        <w:t xml:space="preserve">Non-Core Vaccinations</w:t>
      </w:r>
    </w:p>
    <w:p>
      <w:pPr>
        <w:pStyle w:val="Body"/>
      </w:pPr>
      <w:r>
        <w:t xml:space="preserve">Non-core vaccines are recommended based on a dog's lifestyle, geographic location, and risk of exposure. Your veterinarian will assess which of these are appropriate.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Vaccine</w:t>
            </w:r>
          </w:p>
        </w:tc>
        <w:tc>
          <w:tcPr>
            <w:tcW w:type="dxa" w:w="240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Recommended For</w:t>
            </w:r>
          </w:p>
        </w:tc>
        <w:tc>
          <w:tcPr>
            <w:tcW w:type="dxa" w:w="476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Bordetella (Kennel Cough)</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boarding, daycare, or dog parks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Administered intranasally or by injection; typically annually or every 6 months for high-risk dogs.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Leptospirosis</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exposed to wildlife or standing water</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Bacterial infection transmissible to humans (zoonotic). Two-dose initial series, then annual boosters.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Lyme Disease (Borrelia)</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tick-endemic regions (Northeast, Upper Midwest)</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Two-dose initial series at 2-4 week intervals. Annual boosters recommended in endemic areas.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Canine Influenza (H3N2/H3N8)</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social settings or outbreak areas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Two-dose initial series. Recommended in areas with confirmed outbreaks.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Rattlesnake Vaccine</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southwestern states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Reduces severity of rattlesnake bites. Not a substitute for emergency veterinary care.</w:t>
            </w:r>
          </w:p>
        </w:tc>
      </w:tr>
    </w:tbl>
    <w:p>
      <w:pPr>
        <w:spacing w:after="200"/>
      </w:pPr>
    </w:p>
    <w:p>
      <w:pPr>
        <w:pStyle w:val="SectionHead"/>
      </w:pPr>
      <w:r>
        <w:t xml:space="preserve">State-by-State Rabies Requirements</w:t>
      </w:r>
    </w:p>
    <w:p>
      <w:pPr>
        <w:pStyle w:val="Body"/>
      </w:pPr>
      <w:r>
        <w:t xml:space="preserve">Rabies vaccination is the only vaccination legally mandated across all 50 states. However, the specifics vary:</w:t>
      </w:r>
    </w:p>
    <w:p>
      <w:pPr>
        <w:pStyle w:val="Body"/>
        <w:numPr>
          <w:ilvl w:val="0"/>
          <w:numId w:val="2"/>
        </w:numPr>
      </w:pPr>
      <w:r>
        <w:rPr>
          <w:b/>
          <w:bCs/>
        </w:rPr>
        <w:t xml:space="preserve">First vaccination age: </w:t>
      </w:r>
      <w:r>
        <w:t xml:space="preserve">Most states require the first rabies vaccine between 12 and 16 weeks of age.</w:t>
      </w:r>
    </w:p>
    <w:p>
      <w:pPr>
        <w:pStyle w:val="Body"/>
        <w:numPr>
          <w:ilvl w:val="0"/>
          <w:numId w:val="2"/>
        </w:numPr>
      </w:pPr>
      <w:r>
        <w:rPr>
          <w:b/>
          <w:bCs/>
        </w:rPr>
        <w:t xml:space="preserve">Booster schedule: </w:t>
      </w:r>
      <w:r>
        <w:t xml:space="preserve">After the initial one-year booster, most states accept a 3-year rabies vaccine. A few states still require annual vaccination.</w:t>
      </w:r>
    </w:p>
    <w:p>
      <w:pPr>
        <w:pStyle w:val="Body"/>
        <w:numPr>
          <w:ilvl w:val="0"/>
          <w:numId w:val="2"/>
        </w:numPr>
      </w:pPr>
      <w:r>
        <w:rPr>
          <w:b/>
          <w:bCs/>
        </w:rPr>
        <w:t xml:space="preserve">Proof of vaccination: </w:t>
      </w:r>
      <w:r>
        <w:t xml:space="preserve">A rabies certificate issued by a licensed veterinarian is required. Many states also require a rabies tag on the dog's collar.</w:t>
      </w:r>
    </w:p>
    <w:p>
      <w:pPr>
        <w:pStyle w:val="Body"/>
        <w:numPr>
          <w:ilvl w:val="0"/>
          <w:numId w:val="2"/>
        </w:numPr>
      </w:pPr>
      <w:r>
        <w:rPr>
          <w:b/>
          <w:bCs/>
        </w:rPr>
        <w:t xml:space="preserve">Penalties for non-compliance: </w:t>
      </w:r>
      <w:r>
        <w:t xml:space="preserve">Fines, mandatory quarantine, or impoundment may result from failure to vaccinate.</w:t>
      </w:r>
    </w:p>
    <w:p>
      <w:pPr>
        <w:pStyle w:val="SectionHead"/>
      </w:pPr>
      <w:r>
        <w:t xml:space="preserve">Recommended Puppy Vaccination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Age</w:t>
            </w:r>
          </w:p>
        </w:tc>
        <w:tc>
          <w:tcPr>
            <w:tcW w:type="dxa" w:w="6960"/>
            <w:tcBorders>
              <w:top w:val="single" w:color="CCCCCC" w:sz="1"/>
              <w:left w:val="single" w:color="CCCCCC" w:sz="1"/>
              <w:bottom w:val="single" w:color="CCCCCC" w:sz="1"/>
              <w:right w:val="single" w:color="CCCCCC" w:sz="1"/>
            </w:tcBorders>
            <w:shd w:fill="D5EDE2" w:val="clear"/>
            <w:vAlign w:val="center"/>
          </w:tcPr>
          <w:p>
            <w:pPr>
              <w:spacing w:after="60" w:before="60"/>
              <w:jc w:val="center"/>
            </w:pPr>
            <w:r>
              <w:rPr>
                <w:b/>
                <w:bCs/>
                <w:color w:val="1B4D3E"/>
                <w:sz w:val="20"/>
                <w:szCs w:val="20"/>
              </w:rPr>
              <w:t xml:space="preserve">Vaccines</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Distemper, Parvovirus (first dose)</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10-12 weeks</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DHPP (Distemper, Hepatitis, Parainfluenza, Parvovirus) — 2nd dose; Leptospirosis (1st dose); Bordetella (if needed)</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14-16 weeks</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DHPP — 3rd dose; Rabies (1st dose); Leptospirosis (2nd dose); Lyme (if in endemic area)</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12-16 months</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DHPP booster; Rabies booster; Annual non-core boosters as recommended</w:t>
            </w:r>
          </w:p>
        </w:tc>
      </w:tr>
    </w:tbl>
    <w:p>
      <w:pPr>
        <w:spacing w:after="200"/>
      </w:pPr>
    </w:p>
    <w:p>
      <w:pPr>
        <w:pStyle w:val="SectionHead"/>
      </w:pPr>
      <w:r>
        <w:t xml:space="preserve">Important Notes</w:t>
      </w:r>
    </w:p>
    <w:p>
      <w:pPr>
        <w:pStyle w:val="Body"/>
        <w:numPr>
          <w:ilvl w:val="0"/>
          <w:numId w:val="2"/>
        </w:numPr>
      </w:pPr>
      <w:r>
        <w:t xml:space="preserve">Always consult your veterinarian for a vaccination plan tailored to your dog's age, breed, health, and lifestyle.</w:t>
      </w:r>
    </w:p>
    <w:p>
      <w:pPr>
        <w:pStyle w:val="Body"/>
        <w:numPr>
          <w:ilvl w:val="0"/>
          <w:numId w:val="2"/>
        </w:numPr>
      </w:pPr>
      <w:r>
        <w:t xml:space="preserve">Vaccination requirements may change — check your state's department of agriculture or animal control for the latest regulations.</w:t>
      </w:r>
    </w:p>
    <w:p>
      <w:pPr>
        <w:pStyle w:val="Body"/>
        <w:numPr>
          <w:ilvl w:val="0"/>
          <w:numId w:val="2"/>
        </w:numPr>
      </w:pPr>
      <w:r>
        <w:t xml:space="preserve">Titer testing (blood tests measuring immunity levels) may be accepted in some jurisdictions as an alternative to certain boosters.</w:t>
      </w:r>
    </w:p>
    <w:p>
      <w:pPr>
        <w:pStyle w:val="Body"/>
        <w:numPr>
          <w:ilvl w:val="0"/>
          <w:numId w:val="2"/>
        </w:numPr>
      </w:pPr>
      <w:r>
        <w:t xml:space="preserve">Adverse reactions to vaccines are rare but can occur. Discuss risks and benefits with your veterinarian.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Dog Vaccinations — America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00"/>
      <w:jc w:val="center"/>
    </w:pPr>
    <w:rPr>
      <w:rFonts w:ascii="Arial" w:cs="Arial" w:eastAsia="Arial" w:hAnsi="Arial"/>
      <w:b/>
      <w:bCs/>
      <w:color w:val="1B4D3E"/>
      <w:sz w:val="48"/>
      <w:szCs w:val="48"/>
    </w:rPr>
  </w:style>
  <w:style w:type="paragraph" w:styleId="DocSubtitle">
    <w:name w:val="Doc Subtitle"/>
    <w:basedOn w:val="Normal"/>
    <w:qFormat/>
    <w:pPr>
      <w:spacing w:after="300"/>
      <w:jc w:val="center"/>
    </w:pPr>
    <w:rPr>
      <w:i/>
      <w:iCs/>
      <w:color w:val="666666"/>
      <w:sz w:val="24"/>
      <w:szCs w:val="24"/>
    </w:rPr>
  </w:style>
  <w:style w:type="paragraph" w:styleId="SectionHead">
    <w:name w:val="Section Head"/>
    <w:basedOn w:val="Normal"/>
    <w:qFormat/>
    <w:pPr>
      <w:spacing w:after="160" w:before="360"/>
    </w:pPr>
    <w:rPr>
      <w:b/>
      <w:bCs/>
      <w:color w:val="1B4D3E"/>
      <w:sz w:val="30"/>
      <w:szCs w:val="30"/>
    </w:rPr>
  </w:style>
  <w:style w:type="paragraph" w:styleId="SubHead">
    <w:name w:val="Sub Head"/>
    <w:basedOn w:val="Normal"/>
    <w:qFormat/>
    <w:pPr>
      <w:spacing w:after="100" w:before="240"/>
    </w:pPr>
    <w:rPr>
      <w:b/>
      <w:bCs/>
      <w:color w:val="1A1A2E"/>
      <w:sz w:val="24"/>
      <w:szCs w:val="24"/>
    </w:rPr>
  </w:style>
  <w:style w:type="paragraph" w:styleId="Body">
    <w:name w:val="Body"/>
    <w:basedOn w:val="Normal"/>
    <w:pPr>
      <w:spacing w:after="140" w:line="312"/>
    </w:pPr>
    <w:rPr>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2026-04-24T20:05:00.889Z</dcterms:created>
  <dcterms:modified xsi:type="dcterms:W3CDTF">2026-04-24T20:05:00.889Z</dcterms:modified>
</cp:coreProperties>
</file>

<file path=docProps/custom.xml><?xml version="1.0" encoding="utf-8"?>
<Properties xmlns="http://schemas.openxmlformats.org/officeDocument/2006/custom-properties" xmlns:vt="http://schemas.openxmlformats.org/officeDocument/2006/docPropsVTypes"/>
</file>