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Style w:val="DocTitle"/>
      </w:pPr>
      <w:r>
        <w:t xml:space="preserve">Vaccination Requirements for Dogs in Europe</w:t>
      </w:r>
    </w:p>
    <w:p>
      <w:pPr>
        <w:pStyle w:val="DocSubtitle"/>
      </w:pPr>
      <w:r>
        <w:t xml:space="preserve">A guide to EU pet travel regulations, core vaccinations, and country-specific requirements</w:t>
      </w:r>
    </w:p>
    <w:p>
      <w:pPr>
        <w:spacing w:after="600"/>
        <w:jc w:val="center"/>
      </w:pPr>
      <w:r>
        <w:rPr>
          <w:color w:val="999999"/>
          <w:sz w:val="20"/>
          <w:szCs w:val="20"/>
        </w:rPr>
        <w:t xml:space="preserve">Reference Document</w:t>
      </w:r>
    </w:p>
    <w:p>
      <w:pPr>
        <w:pStyle w:val="SectionHead"/>
      </w:pPr>
      <w:r>
        <w:t xml:space="preserve">Overview</w:t>
      </w:r>
    </w:p>
    <w:p>
      <w:pPr>
        <w:pStyle w:val="Body"/>
      </w:pPr>
      <w:r>
        <w:t xml:space="preserve">In Europe, dog vaccination requirements are shaped by European Union regulations, national laws, and veterinary guidelines from organizations such as the World Small Animal Veterinary Association (WSAVA). The EU harmonizes pet travel rules through the EU Pet Passport system, while individual member states may impose additional requirements.</w:t>
      </w:r>
    </w:p>
    <w:p>
      <w:pPr>
        <w:pStyle w:val="Body"/>
      </w:pPr>
      <w:r>
        <w:t xml:space="preserve">Unlike the United States, where rabies is the only legally mandated vaccine, several European countries also require or strongly recommend additional vaccinations depending on regional disease prevalence.</w:t>
      </w:r>
    </w:p>
    <w:p>
      <w:pPr>
        <w:pStyle w:val="SectionHead"/>
      </w:pPr>
      <w:r>
        <w:t xml:space="preserve">Core Vaccinations</w:t>
      </w:r>
    </w:p>
    <w:p>
      <w:pPr>
        <w:pStyle w:val="Body"/>
      </w:pPr>
      <w:r>
        <w:t xml:space="preserve">The following vaccines are considered core by European veterinary authorities and are recommended for all dogs regardless of location or lifestyle.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2960"/>
      </w:tblGrid>
      <w:tr>
        <w:tc>
          <w:tcPr>
            <w:tcW w:type="dxa" w:w="2200"/>
            <w:tcBorders>
              <w:top w:val="single" w:color="CCCCCC" w:sz="1"/>
              <w:left w:val="single" w:color="CCCCCC" w:sz="1"/>
              <w:bottom w:val="single" w:color="CCCCCC" w:sz="1"/>
              <w:right w:val="single" w:color="CCCCCC" w:sz="1"/>
            </w:tcBorders>
            <w:shd w:fill="D5DEEE" w:val="clear"/>
            <w:vAlign w:val="center"/>
          </w:tcPr>
          <w:p>
            <w:pPr>
              <w:spacing w:after="60" w:before="60"/>
              <w:jc w:val="center"/>
            </w:pPr>
            <w:r>
              <w:rPr>
                <w:b/>
                <w:bCs/>
                <w:color w:val="2C3E7B"/>
                <w:sz w:val="20"/>
                <w:szCs w:val="20"/>
              </w:rPr>
              <w:t xml:space="preserve">Vaccine</w:t>
            </w:r>
          </w:p>
        </w:tc>
        <w:tc>
          <w:tcPr>
            <w:tcW w:type="dxa" w:w="2000"/>
            <w:tcBorders>
              <w:top w:val="single" w:color="CCCCCC" w:sz="1"/>
              <w:left w:val="single" w:color="CCCCCC" w:sz="1"/>
              <w:bottom w:val="single" w:color="CCCCCC" w:sz="1"/>
              <w:right w:val="single" w:color="CCCCCC" w:sz="1"/>
            </w:tcBorders>
            <w:shd w:fill="D5DEEE" w:val="clear"/>
            <w:vAlign w:val="center"/>
          </w:tcPr>
          <w:p>
            <w:pPr>
              <w:spacing w:after="60" w:before="60"/>
              <w:jc w:val="center"/>
            </w:pPr>
            <w:r>
              <w:rPr>
                <w:b/>
                <w:bCs/>
                <w:color w:val="2C3E7B"/>
                <w:sz w:val="20"/>
                <w:szCs w:val="20"/>
              </w:rPr>
              <w:t xml:space="preserve">First Dose</w:t>
            </w:r>
          </w:p>
        </w:tc>
        <w:tc>
          <w:tcPr>
            <w:tcW w:type="dxa" w:w="2200"/>
            <w:tcBorders>
              <w:top w:val="single" w:color="CCCCCC" w:sz="1"/>
              <w:left w:val="single" w:color="CCCCCC" w:sz="1"/>
              <w:bottom w:val="single" w:color="CCCCCC" w:sz="1"/>
              <w:right w:val="single" w:color="CCCCCC" w:sz="1"/>
            </w:tcBorders>
            <w:shd w:fill="D5DEEE" w:val="clear"/>
            <w:vAlign w:val="center"/>
          </w:tcPr>
          <w:p>
            <w:pPr>
              <w:spacing w:after="60" w:before="60"/>
              <w:jc w:val="center"/>
            </w:pPr>
            <w:r>
              <w:rPr>
                <w:b/>
                <w:bCs/>
                <w:color w:val="2C3E7B"/>
                <w:sz w:val="20"/>
                <w:szCs w:val="20"/>
              </w:rPr>
              <w:t xml:space="preserve">Boosters</w:t>
            </w:r>
          </w:p>
        </w:tc>
        <w:tc>
          <w:tcPr>
            <w:tcW w:type="dxa" w:w="2960"/>
            <w:tcBorders>
              <w:top w:val="single" w:color="CCCCCC" w:sz="1"/>
              <w:left w:val="single" w:color="CCCCCC" w:sz="1"/>
              <w:bottom w:val="single" w:color="CCCCCC" w:sz="1"/>
              <w:right w:val="single" w:color="CCCCCC" w:sz="1"/>
            </w:tcBorders>
            <w:shd w:fill="D5DEEE" w:val="clear"/>
            <w:vAlign w:val="center"/>
          </w:tcPr>
          <w:p>
            <w:pPr>
              <w:spacing w:after="60" w:before="60"/>
              <w:jc w:val="center"/>
            </w:pPr>
            <w:r>
              <w:rPr>
                <w:b/>
                <w:bCs/>
                <w:color w:val="2C3E7B"/>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Rabies</w:t>
            </w:r>
          </w:p>
        </w:tc>
        <w:tc>
          <w:tcPr>
            <w:tcW w:type="dxa" w:w="20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12 weeks</w:t>
            </w:r>
          </w:p>
        </w:tc>
        <w:tc>
          <w:tcPr>
            <w:tcW w:type="dxa" w:w="22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1 year, then every 1-3 years depending on country</w:t>
            </w:r>
          </w:p>
        </w:tc>
        <w:tc>
          <w:tcPr>
            <w:tcW w:type="dxa" w:w="296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Mandatory for EU pet travel; required by law in many countries</w:t>
            </w:r>
          </w:p>
        </w:tc>
      </w:tr>
      <w:tr>
        <w:tc>
          <w:tcPr>
            <w:tcW w:type="dxa" w:w="22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Distemper (CDV)</w:t>
            </w:r>
          </w:p>
        </w:tc>
        <w:tc>
          <w:tcPr>
            <w:tcW w:type="dxa" w:w="20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6-8 weeks</w:t>
            </w:r>
          </w:p>
        </w:tc>
        <w:tc>
          <w:tcPr>
            <w:tcW w:type="dxa" w:w="22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Every 3-4 weeks until 16 weeks, then every 3 years</w:t>
            </w:r>
          </w:p>
        </w:tc>
        <w:tc>
          <w:tcPr>
            <w:tcW w:type="dxa" w:w="296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Highly contagious; outbreaks still occur in parts of Eastern Europe</w:t>
            </w:r>
          </w:p>
        </w:tc>
      </w:tr>
      <w:tr>
        <w:tc>
          <w:tcPr>
            <w:tcW w:type="dxa" w:w="22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Parvovirus (CPV)</w:t>
            </w:r>
          </w:p>
        </w:tc>
        <w:tc>
          <w:tcPr>
            <w:tcW w:type="dxa" w:w="20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6-8 weeks</w:t>
            </w:r>
          </w:p>
        </w:tc>
        <w:tc>
          <w:tcPr>
            <w:tcW w:type="dxa" w:w="22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Every 3-4 weeks until 16 weeks, then every 3 years</w:t>
            </w:r>
          </w:p>
        </w:tc>
        <w:tc>
          <w:tcPr>
            <w:tcW w:type="dxa" w:w="296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Severe gastrointestinal disease, high fatality in puppies</w:t>
            </w:r>
          </w:p>
        </w:tc>
      </w:tr>
      <w:tr>
        <w:tc>
          <w:tcPr>
            <w:tcW w:type="dxa" w:w="22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Adenovirus (CAV-2)</w:t>
            </w:r>
          </w:p>
        </w:tc>
        <w:tc>
          <w:tcPr>
            <w:tcW w:type="dxa" w:w="20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6-8 weeks</w:t>
            </w:r>
          </w:p>
        </w:tc>
        <w:tc>
          <w:tcPr>
            <w:tcW w:type="dxa" w:w="22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Every 3-4 weeks until 16 weeks, then every 3 years</w:t>
            </w:r>
          </w:p>
        </w:tc>
        <w:tc>
          <w:tcPr>
            <w:tcW w:type="dxa" w:w="296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Protects against infectious canine hepatitis</w:t>
            </w:r>
          </w:p>
        </w:tc>
      </w:tr>
    </w:tbl>
    <w:p>
      <w:pPr>
        <w:spacing w:after="200"/>
      </w:pPr>
    </w:p>
    <w:p>
      <w:pPr>
        <w:pStyle w:val="SectionHead"/>
      </w:pPr>
      <w:r>
        <w:t xml:space="preserve">Non-Core Vaccinations</w:t>
      </w:r>
    </w:p>
    <w:p>
      <w:pPr>
        <w:pStyle w:val="Body"/>
      </w:pPr>
      <w:r>
        <w:t xml:space="preserve">Non-core vaccines are administered based on geographic risk, lifestyle, and travel plans. European veterinarians assess these on a case-by-case basis.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D5DEEE" w:val="clear"/>
            <w:vAlign w:val="center"/>
          </w:tcPr>
          <w:p>
            <w:pPr>
              <w:spacing w:after="60" w:before="60"/>
              <w:jc w:val="center"/>
            </w:pPr>
            <w:r>
              <w:rPr>
                <w:b/>
                <w:bCs/>
                <w:color w:val="2C3E7B"/>
                <w:sz w:val="20"/>
                <w:szCs w:val="20"/>
              </w:rPr>
              <w:t xml:space="preserve">Vaccine</w:t>
            </w:r>
          </w:p>
        </w:tc>
        <w:tc>
          <w:tcPr>
            <w:tcW w:type="dxa" w:w="2400"/>
            <w:tcBorders>
              <w:top w:val="single" w:color="CCCCCC" w:sz="1"/>
              <w:left w:val="single" w:color="CCCCCC" w:sz="1"/>
              <w:bottom w:val="single" w:color="CCCCCC" w:sz="1"/>
              <w:right w:val="single" w:color="CCCCCC" w:sz="1"/>
            </w:tcBorders>
            <w:shd w:fill="D5DEEE" w:val="clear"/>
            <w:vAlign w:val="center"/>
          </w:tcPr>
          <w:p>
            <w:pPr>
              <w:spacing w:after="60" w:before="60"/>
              <w:jc w:val="center"/>
            </w:pPr>
            <w:r>
              <w:rPr>
                <w:b/>
                <w:bCs/>
                <w:color w:val="2C3E7B"/>
                <w:sz w:val="20"/>
                <w:szCs w:val="20"/>
              </w:rPr>
              <w:t xml:space="preserve">Recommended For</w:t>
            </w:r>
          </w:p>
        </w:tc>
        <w:tc>
          <w:tcPr>
            <w:tcW w:type="dxa" w:w="4760"/>
            <w:tcBorders>
              <w:top w:val="single" w:color="CCCCCC" w:sz="1"/>
              <w:left w:val="single" w:color="CCCCCC" w:sz="1"/>
              <w:bottom w:val="single" w:color="CCCCCC" w:sz="1"/>
              <w:right w:val="single" w:color="CCCCCC" w:sz="1"/>
            </w:tcBorders>
            <w:shd w:fill="D5DEEE" w:val="clear"/>
            <w:vAlign w:val="center"/>
          </w:tcPr>
          <w:p>
            <w:pPr>
              <w:spacing w:after="60" w:before="60"/>
              <w:jc w:val="center"/>
            </w:pPr>
            <w:r>
              <w:rPr>
                <w:b/>
                <w:bCs/>
                <w:color w:val="2C3E7B"/>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Leptospirosis</w:t>
            </w:r>
          </w:p>
        </w:tc>
        <w:tc>
          <w:tcPr>
            <w:tcW w:type="dxa" w:w="24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Dogs in rural areas or exposed to water sources</w:t>
            </w:r>
          </w:p>
        </w:tc>
        <w:tc>
          <w:tcPr>
            <w:tcW w:type="dxa" w:w="476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Particularly important in the UK, Netherlands, and parts of Germany. Two-dose initial series, annual boosters.</w:t>
            </w:r>
          </w:p>
        </w:tc>
      </w:tr>
      <w:tr>
        <w:tc>
          <w:tcPr>
            <w:tcW w:type="dxa" w:w="22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Kennel Cough (Bordetella + Parainfluenza)</w:t>
            </w:r>
          </w:p>
        </w:tc>
        <w:tc>
          <w:tcPr>
            <w:tcW w:type="dxa" w:w="24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Dogs in boarding, shows, or social settings</w:t>
            </w:r>
          </w:p>
        </w:tc>
        <w:tc>
          <w:tcPr>
            <w:tcW w:type="dxa" w:w="476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Often required by boarding kennels. Intranasal or injectable; typically annual.</w:t>
            </w:r>
          </w:p>
        </w:tc>
      </w:tr>
      <w:tr>
        <w:tc>
          <w:tcPr>
            <w:tcW w:type="dxa" w:w="22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Leishmaniasis</w:t>
            </w:r>
          </w:p>
        </w:tc>
        <w:tc>
          <w:tcPr>
            <w:tcW w:type="dxa" w:w="24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Dogs in Mediterranean regions</w:t>
            </w:r>
          </w:p>
        </w:tc>
        <w:tc>
          <w:tcPr>
            <w:tcW w:type="dxa" w:w="476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Spread by sandflies in Spain, Portugal, Italy, Greece, and southern France. Vaccine plus insect repellent recommended.</w:t>
            </w:r>
          </w:p>
        </w:tc>
      </w:tr>
      <w:tr>
        <w:tc>
          <w:tcPr>
            <w:tcW w:type="dxa" w:w="22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Lyme Disease (Borrelia)</w:t>
            </w:r>
          </w:p>
        </w:tc>
        <w:tc>
          <w:tcPr>
            <w:tcW w:type="dxa" w:w="24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Dogs in Central Europe, Scandinavia</w:t>
            </w:r>
          </w:p>
        </w:tc>
        <w:tc>
          <w:tcPr>
            <w:tcW w:type="dxa" w:w="476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Tick-borne disease endemic in forested regions of Germany, Austria, Czech Republic, and Sweden.</w:t>
            </w:r>
          </w:p>
        </w:tc>
      </w:tr>
      <w:tr>
        <w:tc>
          <w:tcPr>
            <w:tcW w:type="dxa" w:w="22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Babesiosis</w:t>
            </w:r>
          </w:p>
        </w:tc>
        <w:tc>
          <w:tcPr>
            <w:tcW w:type="dxa" w:w="24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Dogs in France, Hungary, and Mediterranean countries</w:t>
            </w:r>
          </w:p>
        </w:tc>
        <w:tc>
          <w:tcPr>
            <w:tcW w:type="dxa" w:w="476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Tick-borne protozoal disease. Vaccine available in some European markets.</w:t>
            </w:r>
          </w:p>
        </w:tc>
      </w:tr>
    </w:tbl>
    <w:p>
      <w:pPr>
        <w:spacing w:after="200"/>
      </w:pPr>
    </w:p>
    <w:p>
      <w:pPr>
        <w:pStyle w:val="SectionHead"/>
      </w:pPr>
      <w:r>
        <w:t xml:space="preserve">EU Pet Passport &amp; Travel Requirements</w:t>
      </w:r>
    </w:p>
    <w:p>
      <w:pPr>
        <w:pStyle w:val="Body"/>
      </w:pPr>
      <w:r>
        <w:t xml:space="preserve">The EU Pet Passport is an official document that facilitates travel with pets between EU member states. Key requirements include:</w:t>
      </w:r>
    </w:p>
    <w:p>
      <w:pPr>
        <w:pStyle w:val="Body"/>
        <w:numPr>
          <w:ilvl w:val="0"/>
          <w:numId w:val="2"/>
        </w:numPr>
      </w:pPr>
      <w:r>
        <w:rPr>
          <w:b/>
          <w:bCs/>
        </w:rPr>
        <w:t xml:space="preserve">Rabies vaccination: </w:t>
      </w:r>
      <w:r>
        <w:t xml:space="preserve">Mandatory. The dog must be vaccinated at least 21 days before travel. The vaccine must be administered after the microchip is implanted.</w:t>
      </w:r>
    </w:p>
    <w:p>
      <w:pPr>
        <w:pStyle w:val="Body"/>
        <w:numPr>
          <w:ilvl w:val="0"/>
          <w:numId w:val="2"/>
        </w:numPr>
      </w:pPr>
      <w:r>
        <w:rPr>
          <w:b/>
          <w:bCs/>
        </w:rPr>
        <w:t xml:space="preserve">Microchip: </w:t>
      </w:r>
      <w:r>
        <w:t xml:space="preserve">All dogs must be identified with an ISO 11784/11785 compliant microchip before rabies vaccination.</w:t>
      </w:r>
    </w:p>
    <w:p>
      <w:pPr>
        <w:pStyle w:val="Body"/>
        <w:numPr>
          <w:ilvl w:val="0"/>
          <w:numId w:val="2"/>
        </w:numPr>
      </w:pPr>
      <w:r>
        <w:rPr>
          <w:b/>
          <w:bCs/>
        </w:rPr>
        <w:t xml:space="preserve">Pet Passport: </w:t>
      </w:r>
      <w:r>
        <w:t xml:space="preserve">Issued by an authorized veterinarian. Contains the dog's identification, vaccination history, and health information.</w:t>
      </w:r>
    </w:p>
    <w:p>
      <w:pPr>
        <w:pStyle w:val="Body"/>
        <w:numPr>
          <w:ilvl w:val="0"/>
          <w:numId w:val="2"/>
        </w:numPr>
      </w:pPr>
      <w:r>
        <w:rPr>
          <w:b/>
          <w:bCs/>
        </w:rPr>
        <w:t xml:space="preserve">Tapeworm treatment: </w:t>
      </w:r>
      <w:r>
        <w:t xml:space="preserve">Required for travel to the UK, Ireland, Finland, Norway, and Malta. Must be administered 24-120 hours before arrival.</w:t>
      </w:r>
    </w:p>
    <w:p>
      <w:pPr>
        <w:pStyle w:val="Body"/>
        <w:numPr>
          <w:ilvl w:val="0"/>
          <w:numId w:val="2"/>
        </w:numPr>
      </w:pPr>
      <w:r>
        <w:rPr>
          <w:b/>
          <w:bCs/>
        </w:rPr>
        <w:t xml:space="preserve">Rabies titer test: </w:t>
      </w:r>
      <w:r>
        <w:t xml:space="preserve">Required when traveling from non-listed third countries. A blood sample must show adequate rabies antibodies (≥0.5 IU/ml).</w:t>
      </w:r>
    </w:p>
    <w:p>
      <w:pPr>
        <w:pStyle w:val="SectionHead"/>
      </w:pPr>
      <w:r>
        <w:t xml:space="preserve">Country-Specific Highlights</w:t>
      </w:r>
    </w:p>
    <w:p>
      <w:pPr>
        <w:pStyle w:val="SubHead"/>
      </w:pPr>
      <w:r>
        <w:t xml:space="preserve">United Kingdom</w:t>
      </w:r>
    </w:p>
    <w:p>
      <w:pPr>
        <w:pStyle w:val="Body"/>
        <w:numPr>
          <w:ilvl w:val="0"/>
          <w:numId w:val="2"/>
        </w:numPr>
      </w:pPr>
      <w:r>
        <w:t xml:space="preserve">Rabies vaccination mandatory for entry (even post-Brexit, UK follows similar rules to the EU pet travel scheme).</w:t>
      </w:r>
    </w:p>
    <w:p>
      <w:pPr>
        <w:pStyle w:val="Body"/>
        <w:numPr>
          <w:ilvl w:val="0"/>
          <w:numId w:val="2"/>
        </w:numPr>
      </w:pPr>
      <w:r>
        <w:t xml:space="preserve">Tapeworm (Echinococcus) treatment required 24-120 hours before entry.</w:t>
      </w:r>
    </w:p>
    <w:p>
      <w:pPr>
        <w:pStyle w:val="Body"/>
        <w:numPr>
          <w:ilvl w:val="0"/>
          <w:numId w:val="2"/>
        </w:numPr>
      </w:pPr>
      <w:r>
        <w:t xml:space="preserve">No mandatory vaccination for resident dogs beyond rabies for travel purposes.</w:t>
      </w:r>
    </w:p>
    <w:p>
      <w:pPr>
        <w:pStyle w:val="Body"/>
        <w:numPr>
          <w:ilvl w:val="0"/>
          <w:numId w:val="2"/>
        </w:numPr>
      </w:pPr>
      <w:r>
        <w:t xml:space="preserve">Leptospirosis vaccine strongly recommended due to high prevalence.</w:t>
      </w:r>
    </w:p>
    <w:p>
      <w:pPr>
        <w:pStyle w:val="SubHead"/>
      </w:pPr>
      <w:r>
        <w:t xml:space="preserve">Germany</w:t>
      </w:r>
    </w:p>
    <w:p>
      <w:pPr>
        <w:pStyle w:val="Body"/>
        <w:numPr>
          <w:ilvl w:val="0"/>
          <w:numId w:val="2"/>
        </w:numPr>
      </w:pPr>
      <w:r>
        <w:t xml:space="preserve">Rabies vaccination legally required for all dogs.</w:t>
      </w:r>
    </w:p>
    <w:p>
      <w:pPr>
        <w:pStyle w:val="Body"/>
        <w:numPr>
          <w:ilvl w:val="0"/>
          <w:numId w:val="2"/>
        </w:numPr>
      </w:pPr>
      <w:r>
        <w:t xml:space="preserve">Distemper, Parvovirus, and Leptospirosis vaccines strongly recommended by the StIKo Vet (Standing Vaccination Commission for Veterinary Medicine).</w:t>
      </w:r>
    </w:p>
    <w:p>
      <w:pPr>
        <w:pStyle w:val="Body"/>
        <w:numPr>
          <w:ilvl w:val="0"/>
          <w:numId w:val="2"/>
        </w:numPr>
      </w:pPr>
      <w:r>
        <w:t xml:space="preserve">Lyme disease vaccine recommended in tick-endemic regions (Bavaria, Baden-Württemberg).</w:t>
      </w:r>
    </w:p>
    <w:p>
      <w:pPr>
        <w:pStyle w:val="SubHead"/>
      </w:pPr>
      <w:r>
        <w:t xml:space="preserve">France</w:t>
      </w:r>
    </w:p>
    <w:p>
      <w:pPr>
        <w:pStyle w:val="Body"/>
        <w:numPr>
          <w:ilvl w:val="0"/>
          <w:numId w:val="2"/>
        </w:numPr>
      </w:pPr>
      <w:r>
        <w:t xml:space="preserve">Rabies vaccination required for dogs in category 1 and 2 (dangerous breeds) and for all dogs traveling outside France.</w:t>
      </w:r>
    </w:p>
    <w:p>
      <w:pPr>
        <w:pStyle w:val="Body"/>
        <w:numPr>
          <w:ilvl w:val="0"/>
          <w:numId w:val="2"/>
        </w:numPr>
      </w:pPr>
      <w:r>
        <w:t xml:space="preserve">Leishmaniasis vaccine recommended for dogs in southern regions.</w:t>
      </w:r>
    </w:p>
    <w:p>
      <w:pPr>
        <w:pStyle w:val="Body"/>
        <w:numPr>
          <w:ilvl w:val="0"/>
          <w:numId w:val="2"/>
        </w:numPr>
      </w:pPr>
      <w:r>
        <w:t xml:space="preserve">Babesiosis vaccination available and recommended in endemic areas.</w:t>
      </w:r>
    </w:p>
    <w:p>
      <w:pPr>
        <w:pStyle w:val="SubHead"/>
      </w:pPr>
      <w:r>
        <w:t xml:space="preserve">Spain</w:t>
      </w:r>
    </w:p>
    <w:p>
      <w:pPr>
        <w:pStyle w:val="Body"/>
        <w:numPr>
          <w:ilvl w:val="0"/>
          <w:numId w:val="2"/>
        </w:numPr>
      </w:pPr>
      <w:r>
        <w:t xml:space="preserve">Rabies vaccination mandatory in all autonomous communities except Catalonia, Galicia, and the Basque Country (where it is recommended but not legally required for resident dogs).</w:t>
      </w:r>
    </w:p>
    <w:p>
      <w:pPr>
        <w:pStyle w:val="Body"/>
        <w:numPr>
          <w:ilvl w:val="0"/>
          <w:numId w:val="2"/>
        </w:numPr>
      </w:pPr>
      <w:r>
        <w:t xml:space="preserve">Leishmaniasis is highly prevalent — vaccination and sandfly prevention are critical.</w:t>
      </w:r>
    </w:p>
    <w:p>
      <w:pPr>
        <w:pStyle w:val="SubHead"/>
      </w:pPr>
      <w:r>
        <w:t xml:space="preserve">Scandinavian Countries (Sweden, Norway, Finland)</w:t>
      </w:r>
    </w:p>
    <w:p>
      <w:pPr>
        <w:pStyle w:val="Body"/>
        <w:numPr>
          <w:ilvl w:val="0"/>
          <w:numId w:val="2"/>
        </w:numPr>
      </w:pPr>
      <w:r>
        <w:t xml:space="preserve">Rabies vaccination required for entry.</w:t>
      </w:r>
    </w:p>
    <w:p>
      <w:pPr>
        <w:pStyle w:val="Body"/>
        <w:numPr>
          <w:ilvl w:val="0"/>
          <w:numId w:val="2"/>
        </w:numPr>
      </w:pPr>
      <w:r>
        <w:t xml:space="preserve">Tapeworm treatment required before entry into Finland and Norway.</w:t>
      </w:r>
    </w:p>
    <w:p>
      <w:pPr>
        <w:pStyle w:val="Body"/>
        <w:numPr>
          <w:ilvl w:val="0"/>
          <w:numId w:val="2"/>
        </w:numPr>
      </w:pPr>
      <w:r>
        <w:t xml:space="preserve">Domestic vaccination requirements are minimal; vets follow WSAVA guidelines.</w:t>
      </w:r>
    </w:p>
    <w:p>
      <w:pPr>
        <w:pStyle w:val="SectionHead"/>
      </w:pPr>
      <w:r>
        <w:t xml:space="preserve">Important Notes</w:t>
      </w:r>
    </w:p>
    <w:p>
      <w:pPr>
        <w:pStyle w:val="Body"/>
        <w:numPr>
          <w:ilvl w:val="0"/>
          <w:numId w:val="2"/>
        </w:numPr>
      </w:pPr>
      <w:r>
        <w:t xml:space="preserve">Vaccination protocols vary — always consult a local veterinarian for country-specific guidance.</w:t>
      </w:r>
    </w:p>
    <w:p>
      <w:pPr>
        <w:pStyle w:val="Body"/>
        <w:numPr>
          <w:ilvl w:val="0"/>
          <w:numId w:val="2"/>
        </w:numPr>
      </w:pPr>
      <w:r>
        <w:t xml:space="preserve">The EU Pet Passport is not valid for travel to/from the UK post-Brexit; an Animal Health Certificate (AHC) is now required instead.</w:t>
      </w:r>
    </w:p>
    <w:p>
      <w:pPr>
        <w:pStyle w:val="Body"/>
        <w:numPr>
          <w:ilvl w:val="0"/>
          <w:numId w:val="2"/>
        </w:numPr>
      </w:pPr>
      <w:r>
        <w:t xml:space="preserve">Some countries may require additional health certificates or quarantine periods for dogs arriving from non-EU countries.</w:t>
      </w:r>
    </w:p>
    <w:p>
      <w:pPr>
        <w:pStyle w:val="Body"/>
        <w:numPr>
          <w:ilvl w:val="0"/>
          <w:numId w:val="2"/>
        </w:numPr>
      </w:pPr>
      <w:r>
        <w:t xml:space="preserve">Titer testing may be accepted as evidence of immunity in certain countries, but this is not universally recognized across the EU.</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r>
      <w:rPr>
        <w:color w:val="999999"/>
        <w:sz w:val="18"/>
        <w:szCs w:val="18"/>
      </w:rPr>
      <w:t xml:space="preserve"> of </w:t>
    </w:r>
    <w:r>
      <w:rPr>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8"/>
        <w:szCs w:val="18"/>
      </w:rPr>
      <w:t xml:space="preserve">Dog Vaccinations — Europe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 Title"/>
    <w:basedOn w:val="Normal"/>
    <w:qFormat/>
    <w:pPr>
      <w:spacing w:after="100"/>
      <w:jc w:val="center"/>
    </w:pPr>
    <w:rPr>
      <w:rFonts w:ascii="Arial" w:cs="Arial" w:eastAsia="Arial" w:hAnsi="Arial"/>
      <w:b/>
      <w:bCs/>
      <w:color w:val="2C3E7B"/>
      <w:sz w:val="48"/>
      <w:szCs w:val="48"/>
    </w:rPr>
  </w:style>
  <w:style w:type="paragraph" w:styleId="DocSubtitle">
    <w:name w:val="Doc Subtitle"/>
    <w:basedOn w:val="Normal"/>
    <w:qFormat/>
    <w:pPr>
      <w:spacing w:after="300"/>
      <w:jc w:val="center"/>
    </w:pPr>
    <w:rPr>
      <w:i/>
      <w:iCs/>
      <w:color w:val="666666"/>
      <w:sz w:val="24"/>
      <w:szCs w:val="24"/>
    </w:rPr>
  </w:style>
  <w:style w:type="paragraph" w:styleId="SectionHead">
    <w:name w:val="Section Head"/>
    <w:basedOn w:val="Normal"/>
    <w:qFormat/>
    <w:pPr>
      <w:spacing w:after="160" w:before="360"/>
    </w:pPr>
    <w:rPr>
      <w:b/>
      <w:bCs/>
      <w:color w:val="2C3E7B"/>
      <w:sz w:val="30"/>
      <w:szCs w:val="30"/>
    </w:rPr>
  </w:style>
  <w:style w:type="paragraph" w:styleId="SubHead">
    <w:name w:val="Sub Head"/>
    <w:basedOn w:val="Normal"/>
    <w:qFormat/>
    <w:pPr>
      <w:spacing w:after="100" w:before="240"/>
    </w:pPr>
    <w:rPr>
      <w:b/>
      <w:bCs/>
      <w:color w:val="1A1A2E"/>
      <w:sz w:val="24"/>
      <w:szCs w:val="24"/>
    </w:rPr>
  </w:style>
  <w:style w:type="paragraph" w:styleId="Body">
    <w:name w:val="Body"/>
    <w:basedOn w:val="Normal"/>
    <w:pPr>
      <w:spacing w:after="140" w:line="312"/>
    </w:pPr>
    <w:rPr>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2026-04-24T20:05:38.980Z</dcterms:created>
  <dcterms:modified xsi:type="dcterms:W3CDTF">2026-04-24T20:05:38.980Z</dcterms:modified>
</cp:coreProperties>
</file>

<file path=docProps/custom.xml><?xml version="1.0" encoding="utf-8"?>
<Properties xmlns="http://schemas.openxmlformats.org/officeDocument/2006/custom-properties" xmlns:vt="http://schemas.openxmlformats.org/officeDocument/2006/docPropsVTypes"/>
</file>