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Calibri" w:hAnsi="Calibri"/>
          <w:b/>
          <w:color w:val="232F3E"/>
          <w:sz w:val="64"/>
        </w:rPr>
        <w:t>CREDIT UNION DATA LAKE</w:t>
      </w:r>
    </w:p>
    <w:p>
      <w:pPr>
        <w:jc w:val="center"/>
      </w:pPr>
      <w:r>
        <w:rPr>
          <w:rFonts w:ascii="Calibri" w:hAnsi="Calibri"/>
          <w:color w:val="FF9900"/>
          <w:sz w:val="36"/>
        </w:rPr>
        <w:t>Blog Post Planning Document</w:t>
      </w:r>
    </w:p>
    <w:p>
      <w:pPr>
        <w:spacing w:before="400"/>
        <w:jc w:val="center"/>
      </w:pPr>
      <w:r>
        <w:rPr>
          <w:rFonts w:ascii="Calibri" w:hAnsi="Calibri"/>
          <w:color w:val="666666"/>
          <w:sz w:val="28"/>
        </w:rPr>
        <w:t>Rize Credit Union × AWS</w:t>
      </w:r>
    </w:p>
    <w:p>
      <w:pPr>
        <w:spacing w:before="800"/>
        <w:jc w:val="center"/>
      </w:pPr>
      <w:r>
        <w:rPr>
          <w:rFonts w:ascii="Calibri" w:hAnsi="Calibri"/>
          <w:color w:val="999999"/>
          <w:sz w:val="22"/>
        </w:rPr>
        <w:t>Prepared: April 06, 2026</w:t>
      </w:r>
    </w:p>
    <w:p>
      <w:pPr>
        <w:jc w:val="center"/>
      </w:pPr>
      <w:r>
        <w:rPr>
          <w:rFonts w:ascii="Calibri" w:hAnsi="Calibri"/>
          <w:i/>
          <w:color w:val="999999"/>
          <w:sz w:val="22"/>
        </w:rPr>
        <w:t>Status: DRAFT — For Internal Planning Only</w:t>
      </w:r>
    </w:p>
    <w:p>
      <w:r>
        <w:br w:type="page"/>
      </w:r>
    </w:p>
    <w:p>
      <w:pPr>
        <w:pStyle w:val="Heading1"/>
      </w:pPr>
      <w:r>
        <w:t>Contents</w:t>
      </w:r>
    </w:p>
    <w:p>
      <w:pPr>
        <w:tabs>
          <w:tab w:pos="8504" w:val="right" w:leader="dot"/>
        </w:tabs>
        <w:spacing w:after="40"/>
      </w:pPr>
      <w:r>
        <w:rPr>
          <w:rFonts w:ascii="Calibri" w:hAnsi="Calibri"/>
          <w:b/>
          <w:sz w:val="22"/>
        </w:rPr>
        <w:t xml:space="preserve">1.  </w:t>
      </w:r>
      <w:r>
        <w:rPr>
          <w:rFonts w:ascii="Calibri" w:hAnsi="Calibri"/>
          <w:sz w:val="22"/>
        </w:rPr>
        <w:t>Background</w:t>
      </w:r>
      <w:r>
        <w:rPr>
          <w:rFonts w:ascii="Calibri" w:hAnsi="Calibri"/>
          <w:color w:val="999999"/>
          <w:sz w:val="22"/>
        </w:rPr>
        <w:tab/>
        <w:t>3</w:t>
      </w:r>
    </w:p>
    <w:p>
      <w:pPr>
        <w:tabs>
          <w:tab w:pos="8504" w:val="right" w:leader="dot"/>
        </w:tabs>
        <w:spacing w:after="40"/>
      </w:pPr>
      <w:r>
        <w:rPr>
          <w:rFonts w:ascii="Calibri" w:hAnsi="Calibri"/>
          <w:b/>
          <w:sz w:val="22"/>
        </w:rPr>
        <w:t xml:space="preserve">2.  </w:t>
      </w:r>
      <w:r>
        <w:rPr>
          <w:rFonts w:ascii="Calibri" w:hAnsi="Calibri"/>
          <w:sz w:val="22"/>
        </w:rPr>
        <w:t>Blog Post Options</w:t>
      </w:r>
      <w:r>
        <w:rPr>
          <w:rFonts w:ascii="Calibri" w:hAnsi="Calibri"/>
          <w:color w:val="999999"/>
          <w:sz w:val="22"/>
        </w:rPr>
        <w:tab/>
        <w:t>3</w:t>
      </w:r>
    </w:p>
    <w:p>
      <w:pPr>
        <w:tabs>
          <w:tab w:pos="8504" w:val="right" w:leader="dot"/>
        </w:tabs>
        <w:spacing w:after="40"/>
      </w:pPr>
      <w:r>
        <w:rPr>
          <w:rFonts w:ascii="Calibri" w:hAnsi="Calibri"/>
          <w:sz w:val="22"/>
        </w:rPr>
        <w:t xml:space="preserve">   Option A — Pure Technical Walkthrough</w:t>
      </w:r>
      <w:r>
        <w:rPr>
          <w:rFonts w:ascii="Calibri" w:hAnsi="Calibri"/>
          <w:color w:val="999999"/>
          <w:sz w:val="22"/>
        </w:rPr>
        <w:tab/>
        <w:t>4</w:t>
      </w:r>
    </w:p>
    <w:p>
      <w:pPr>
        <w:tabs>
          <w:tab w:pos="8504" w:val="right" w:leader="dot"/>
        </w:tabs>
        <w:spacing w:after="40"/>
      </w:pPr>
      <w:r>
        <w:rPr>
          <w:rFonts w:ascii="Calibri" w:hAnsi="Calibri"/>
          <w:sz w:val="22"/>
        </w:rPr>
        <w:t xml:space="preserve">   Option B — Customer Success Story</w:t>
      </w:r>
      <w:r>
        <w:rPr>
          <w:rFonts w:ascii="Calibri" w:hAnsi="Calibri"/>
          <w:color w:val="999999"/>
          <w:sz w:val="22"/>
        </w:rPr>
        <w:tab/>
        <w:t>5</w:t>
      </w:r>
    </w:p>
    <w:p>
      <w:pPr>
        <w:tabs>
          <w:tab w:pos="8504" w:val="right" w:leader="dot"/>
        </w:tabs>
        <w:spacing w:after="40"/>
      </w:pPr>
      <w:r>
        <w:rPr>
          <w:rFonts w:ascii="Calibri" w:hAnsi="Calibri"/>
          <w:sz w:val="22"/>
        </w:rPr>
        <w:t xml:space="preserve">   Option C — Combined Story + Walkthrough</w:t>
      </w:r>
      <w:r>
        <w:rPr>
          <w:rFonts w:ascii="Calibri" w:hAnsi="Calibri"/>
          <w:color w:val="999999"/>
          <w:sz w:val="22"/>
        </w:rPr>
        <w:tab/>
        <w:t>6</w:t>
      </w:r>
    </w:p>
    <w:p>
      <w:pPr>
        <w:tabs>
          <w:tab w:pos="8504" w:val="right" w:leader="dot"/>
        </w:tabs>
        <w:spacing w:after="40"/>
      </w:pPr>
      <w:r>
        <w:rPr>
          <w:rFonts w:ascii="Calibri" w:hAnsi="Calibri"/>
          <w:b/>
          <w:sz w:val="22"/>
        </w:rPr>
        <w:t xml:space="preserve">3.  </w:t>
      </w:r>
      <w:r>
        <w:rPr>
          <w:rFonts w:ascii="Calibri" w:hAnsi="Calibri"/>
          <w:sz w:val="22"/>
        </w:rPr>
        <w:t>Side-by-Side Comparison</w:t>
      </w:r>
      <w:r>
        <w:rPr>
          <w:rFonts w:ascii="Calibri" w:hAnsi="Calibri"/>
          <w:color w:val="999999"/>
          <w:sz w:val="22"/>
        </w:rPr>
        <w:tab/>
        <w:t>7</w:t>
      </w:r>
    </w:p>
    <w:p>
      <w:pPr>
        <w:tabs>
          <w:tab w:pos="8504" w:val="right" w:leader="dot"/>
        </w:tabs>
        <w:spacing w:after="40"/>
      </w:pPr>
      <w:r>
        <w:rPr>
          <w:rFonts w:ascii="Calibri" w:hAnsi="Calibri"/>
          <w:b/>
          <w:sz w:val="22"/>
        </w:rPr>
        <w:t xml:space="preserve">4.  </w:t>
      </w:r>
      <w:r>
        <w:rPr>
          <w:rFonts w:ascii="Calibri" w:hAnsi="Calibri"/>
          <w:sz w:val="22"/>
        </w:rPr>
        <w:t>Recommendation</w:t>
      </w:r>
      <w:r>
        <w:rPr>
          <w:rFonts w:ascii="Calibri" w:hAnsi="Calibri"/>
          <w:color w:val="999999"/>
          <w:sz w:val="22"/>
        </w:rPr>
        <w:tab/>
        <w:t>8</w:t>
      </w:r>
    </w:p>
    <w:p>
      <w:pPr>
        <w:tabs>
          <w:tab w:pos="8504" w:val="right" w:leader="dot"/>
        </w:tabs>
        <w:spacing w:after="40"/>
      </w:pPr>
      <w:r>
        <w:rPr>
          <w:rFonts w:ascii="Calibri" w:hAnsi="Calibri"/>
          <w:b/>
          <w:sz w:val="22"/>
        </w:rPr>
        <w:t xml:space="preserve">5.  </w:t>
      </w:r>
      <w:r>
        <w:rPr>
          <w:rFonts w:ascii="Calibri" w:hAnsi="Calibri"/>
          <w:sz w:val="22"/>
        </w:rPr>
        <w:t>Open Questions &amp; Next Steps</w:t>
      </w:r>
      <w:r>
        <w:rPr>
          <w:rFonts w:ascii="Calibri" w:hAnsi="Calibri"/>
          <w:color w:val="999999"/>
          <w:sz w:val="22"/>
        </w:rPr>
        <w:tab/>
        <w:t>8</w:t>
      </w:r>
    </w:p>
    <w:p>
      <w:pPr>
        <w:tabs>
          <w:tab w:pos="8504" w:val="right" w:leader="dot"/>
        </w:tabs>
        <w:spacing w:after="40"/>
      </w:pPr>
      <w:r>
        <w:rPr>
          <w:rFonts w:ascii="Calibri" w:hAnsi="Calibri"/>
          <w:b/>
          <w:sz w:val="22"/>
        </w:rPr>
        <w:t xml:space="preserve">6.  </w:t>
      </w:r>
      <w:r>
        <w:rPr>
          <w:rFonts w:ascii="Calibri" w:hAnsi="Calibri"/>
          <w:sz w:val="22"/>
        </w:rPr>
        <w:t>Supporting Artifacts</w:t>
      </w:r>
      <w:r>
        <w:rPr>
          <w:rFonts w:ascii="Calibri" w:hAnsi="Calibri"/>
          <w:color w:val="999999"/>
          <w:sz w:val="22"/>
        </w:rPr>
        <w:tab/>
        <w:t>9</w:t>
      </w:r>
    </w:p>
    <w:p>
      <w:r>
        <w:br w:type="page"/>
      </w:r>
    </w:p>
    <w:p>
      <w:pPr>
        <w:pStyle w:val="Heading1"/>
      </w:pPr>
      <w:r>
        <w:t>1. Background</w:t>
      </w:r>
    </w:p>
    <w:p>
      <w:r>
        <w:t>Rize Credit Union (formerly SCE Credit Union) is a Community Development Financial Institution (CDFI) founded in 1952, serving communities across southern California and southern Nevada. Their mission is to uplift underserved communities through financial empowerment — providing banking products, education, and personalized care to members often overlooked by traditional financial institutions.</w:t>
      </w:r>
    </w:p>
    <w:p>
      <w:r>
        <w:t>AWS worked with Rize CU to build a Member 360 data lake that unifies member data from five source systems (core banking, digital channels, loan origination, CRM, and credit cards) into a single, analytics-ready member profile. The solution is fully automated, deployed as infrastructure as code using the AWS CDK, and produces a unified profile with 51 attributes.</w:t>
      </w:r>
    </w:p>
    <w:p>
      <w:r>
        <w:t>Rize CU has expressed interest in a joint blog post to share this work publicly. The solution code is also being prepared for publication as an open-source repository. This document outlines three options for the blog post format to help align on the right approach before writing begins.</w:t>
      </w:r>
    </w:p>
    <w:p>
      <w:pPr>
        <w:spacing w:before="240" w:after="240"/>
        <w:pBdr>
          <w:bottom w:val="single" w:sz="6" w:space="1" w:color="CCCCCC"/>
        </w:pBdr>
      </w:pPr>
    </w:p>
    <w:p>
      <w:pPr>
        <w:pStyle w:val="Heading1"/>
      </w:pPr>
      <w:r>
        <w:t>2. Blog Post Options</w:t>
      </w:r>
    </w:p>
    <w:p>
      <w:r>
        <w:t>Three approaches are outlined below. Each targets a different audience and blog channel. They can also be mixed — for example, publishing Option A on the Big Data Blog and Option B as a case study on the Solutions page.</w:t>
      </w:r>
    </w:p>
    <w:p>
      <w:pPr>
        <w:pStyle w:val="Heading2"/>
      </w:pPr>
      <w:r>
        <w:t>Option A — Pure Technical Walkthrough</w:t>
      </w:r>
    </w:p>
    <w:tbl>
      <w:tblPr>
        <w:tblStyle w:val="TableGrid"/>
        <w:tblW w:type="auto" w:w="0"/>
        <w:jc w:val="center"/>
        <w:tblLook w:firstColumn="1" w:firstRow="1" w:lastColumn="0" w:lastRow="0" w:noHBand="0" w:noVBand="1" w:val="04A0"/>
      </w:tblPr>
      <w:tblGrid>
        <w:gridCol w:w="4703"/>
        <w:gridCol w:w="4703"/>
      </w:tblGrid>
      <w:tr>
        <w:tc>
          <w:tcPr>
            <w:tcW w:type="dxa" w:w="2592"/>
            <w:shd w:fill="232F3E" w:val="clear"/>
          </w:tcPr>
          <w:p>
            <w:pPr>
              <w:jc w:val="left"/>
            </w:pPr>
            <w:r/>
            <w:r>
              <w:rPr>
                <w:rFonts w:ascii="Calibri" w:hAnsi="Calibri"/>
                <w:b/>
                <w:color w:val="FFFFFF"/>
                <w:sz w:val="20"/>
              </w:rPr>
              <w:t>Field</w:t>
            </w:r>
          </w:p>
        </w:tc>
        <w:tc>
          <w:tcPr>
            <w:tcW w:type="dxa" w:w="6768"/>
            <w:shd w:fill="232F3E" w:val="clear"/>
          </w:tcPr>
          <w:p>
            <w:pPr>
              <w:jc w:val="left"/>
            </w:pPr>
            <w:r/>
            <w:r>
              <w:rPr>
                <w:rFonts w:ascii="Calibri" w:hAnsi="Calibri"/>
                <w:b/>
                <w:color w:val="FFFFFF"/>
                <w:sz w:val="20"/>
              </w:rPr>
              <w:t>Detail</w:t>
            </w:r>
          </w:p>
        </w:tc>
      </w:tr>
      <w:tr>
        <w:tc>
          <w:tcPr>
            <w:tcW w:type="dxa" w:w="2592"/>
          </w:tcPr>
          <w:p>
            <w:r/>
            <w:r>
              <w:rPr>
                <w:rFonts w:ascii="Calibri" w:hAnsi="Calibri"/>
                <w:sz w:val="20"/>
              </w:rPr>
              <w:t>Title</w:t>
            </w:r>
          </w:p>
        </w:tc>
        <w:tc>
          <w:tcPr>
            <w:tcW w:type="dxa" w:w="6768"/>
          </w:tcPr>
          <w:p>
            <w:r/>
            <w:r>
              <w:rPr>
                <w:rFonts w:ascii="Calibri" w:hAnsi="Calibri"/>
                <w:sz w:val="20"/>
              </w:rPr>
              <w:t>Build a Member 360 Data Lake for Credit Unions Using AWS Glue, Step Functions, and the AWS CDK</w:t>
            </w:r>
          </w:p>
        </w:tc>
      </w:tr>
      <w:tr>
        <w:tc>
          <w:tcPr>
            <w:tcW w:type="dxa" w:w="2592"/>
            <w:shd w:fill="F5F5F5" w:val="clear"/>
          </w:tcPr>
          <w:p>
            <w:r/>
            <w:r>
              <w:rPr>
                <w:rFonts w:ascii="Calibri" w:hAnsi="Calibri"/>
                <w:sz w:val="20"/>
              </w:rPr>
              <w:t>Target Blog</w:t>
            </w:r>
          </w:p>
        </w:tc>
        <w:tc>
          <w:tcPr>
            <w:tcW w:type="dxa" w:w="6768"/>
            <w:shd w:fill="F5F5F5" w:val="clear"/>
          </w:tcPr>
          <w:p>
            <w:r/>
            <w:r>
              <w:rPr>
                <w:rFonts w:ascii="Calibri" w:hAnsi="Calibri"/>
                <w:sz w:val="20"/>
              </w:rPr>
              <w:t>AWS Big Data Blog</w:t>
            </w:r>
          </w:p>
        </w:tc>
      </w:tr>
      <w:tr>
        <w:tc>
          <w:tcPr>
            <w:tcW w:type="dxa" w:w="2592"/>
          </w:tcPr>
          <w:p>
            <w:r/>
            <w:r>
              <w:rPr>
                <w:rFonts w:ascii="Calibri" w:hAnsi="Calibri"/>
                <w:sz w:val="20"/>
              </w:rPr>
              <w:t>Audience</w:t>
            </w:r>
          </w:p>
        </w:tc>
        <w:tc>
          <w:tcPr>
            <w:tcW w:type="dxa" w:w="6768"/>
          </w:tcPr>
          <w:p>
            <w:r/>
            <w:r>
              <w:rPr>
                <w:rFonts w:ascii="Calibri" w:hAnsi="Calibri"/>
                <w:sz w:val="20"/>
              </w:rPr>
              <w:t>Data engineers, solutions architects, CDK practitioners</w:t>
            </w:r>
          </w:p>
        </w:tc>
      </w:tr>
      <w:tr>
        <w:tc>
          <w:tcPr>
            <w:tcW w:type="dxa" w:w="2592"/>
            <w:shd w:fill="F5F5F5" w:val="clear"/>
          </w:tcPr>
          <w:p>
            <w:r/>
            <w:r>
              <w:rPr>
                <w:rFonts w:ascii="Calibri" w:hAnsi="Calibri"/>
                <w:sz w:val="20"/>
              </w:rPr>
              <w:t>Tone</w:t>
            </w:r>
          </w:p>
        </w:tc>
        <w:tc>
          <w:tcPr>
            <w:tcW w:type="dxa" w:w="6768"/>
            <w:shd w:fill="F5F5F5" w:val="clear"/>
          </w:tcPr>
          <w:p>
            <w:r/>
            <w:r>
              <w:rPr>
                <w:rFonts w:ascii="Calibri" w:hAnsi="Calibri"/>
                <w:sz w:val="20"/>
              </w:rPr>
              <w:t>Instructional — "Here's how to build this." No customer narrative.</w:t>
            </w:r>
          </w:p>
        </w:tc>
      </w:tr>
      <w:tr>
        <w:tc>
          <w:tcPr>
            <w:tcW w:type="dxa" w:w="2592"/>
          </w:tcPr>
          <w:p>
            <w:r/>
            <w:r>
              <w:rPr>
                <w:rFonts w:ascii="Calibri" w:hAnsi="Calibri"/>
                <w:sz w:val="20"/>
              </w:rPr>
              <w:t>Rize CU Dependency</w:t>
            </w:r>
          </w:p>
        </w:tc>
        <w:tc>
          <w:tcPr>
            <w:tcW w:type="dxa" w:w="6768"/>
          </w:tcPr>
          <w:p>
            <w:r/>
            <w:r>
              <w:rPr>
                <w:rFonts w:ascii="Calibri" w:hAnsi="Calibri"/>
                <w:sz w:val="20"/>
              </w:rPr>
              <w:t>None — no customer name or quotes required</w:t>
            </w:r>
          </w:p>
        </w:tc>
      </w:tr>
      <w:tr>
        <w:tc>
          <w:tcPr>
            <w:tcW w:type="dxa" w:w="2592"/>
            <w:shd w:fill="F5F5F5" w:val="clear"/>
          </w:tcPr>
          <w:p>
            <w:r/>
            <w:r>
              <w:rPr>
                <w:rFonts w:ascii="Calibri" w:hAnsi="Calibri"/>
                <w:sz w:val="20"/>
              </w:rPr>
              <w:t>Estimated Length</w:t>
            </w:r>
          </w:p>
        </w:tc>
        <w:tc>
          <w:tcPr>
            <w:tcW w:type="dxa" w:w="6768"/>
            <w:shd w:fill="F5F5F5" w:val="clear"/>
          </w:tcPr>
          <w:p>
            <w:r/>
            <w:r>
              <w:rPr>
                <w:rFonts w:ascii="Calibri" w:hAnsi="Calibri"/>
                <w:sz w:val="20"/>
              </w:rPr>
              <w:t>2,500–3,000 words + code snippets</w:t>
            </w:r>
          </w:p>
        </w:tc>
      </w:tr>
    </w:tbl>
    <w:p/>
    <w:p>
      <w:pPr>
        <w:pStyle w:val="Heading3"/>
      </w:pPr>
      <w:r>
        <w:t>Abstract</w:t>
      </w:r>
    </w:p>
    <w:p>
      <w:r>
        <w:t>Credit unions often have member data scattered across core banking, digital channels, loan systems, CRM, and credit card platforms — with no shared identifier. This post walks through a complete, deployable CDK solution that builds a Member 360 data lake on AWS. It ingests data from five heterogeneous sources, performs entity resolution using SSN-last-4 and normalized name matching, and produces a unified 51-column member profile. The post covers the four-stack CDK architecture, the Glue Visual ETL jobs, Step Functions orchestration with parallel/sequential execution, the security design (KMS, VPC isolation, least-privilege IAM), and the zero-touch automation that runs the full pipeline on deploy. Includes deploy instructions, code snippets, cost table, and the open-source repo link.</w:t>
      </w:r>
    </w:p>
    <w:p>
      <w:pPr>
        <w:pStyle w:val="Heading3"/>
      </w:pPr>
      <w:r>
        <w:t>Proposed Sections</w:t>
      </w:r>
    </w:p>
    <w:p>
      <w:pPr>
        <w:pStyle w:val="ListBullet"/>
        <w:spacing w:after="60"/>
        <w:ind w:left="850"/>
      </w:pPr>
      <w:r>
        <w:rPr>
          <w:rFonts w:ascii="Calibri" w:hAnsi="Calibri"/>
          <w:sz w:val="22"/>
        </w:rPr>
        <w:t>Solution overview</w:t>
      </w:r>
    </w:p>
    <w:p>
      <w:pPr>
        <w:pStyle w:val="ListBullet"/>
        <w:spacing w:after="60"/>
        <w:ind w:left="850"/>
      </w:pPr>
      <w:r>
        <w:rPr>
          <w:rFonts w:ascii="Calibri" w:hAnsi="Calibri"/>
          <w:sz w:val="22"/>
        </w:rPr>
        <w:t>Architecture diagram</w:t>
      </w:r>
    </w:p>
    <w:p>
      <w:pPr>
        <w:pStyle w:val="ListBullet"/>
        <w:spacing w:after="60"/>
        <w:ind w:left="850"/>
      </w:pPr>
      <w:r>
        <w:rPr>
          <w:rFonts w:ascii="Calibri" w:hAnsi="Calibri"/>
          <w:sz w:val="22"/>
        </w:rPr>
        <w:t>Prerequisites</w:t>
      </w:r>
    </w:p>
    <w:p>
      <w:pPr>
        <w:pStyle w:val="ListBullet"/>
        <w:spacing w:after="60"/>
        <w:ind w:left="850"/>
      </w:pPr>
      <w:r>
        <w:rPr>
          <w:rFonts w:ascii="Calibri" w:hAnsi="Calibri"/>
          <w:sz w:val="22"/>
        </w:rPr>
        <w:t>Deploy the solution</w:t>
      </w:r>
    </w:p>
    <w:p>
      <w:pPr>
        <w:pStyle w:val="ListBullet"/>
        <w:spacing w:after="60"/>
        <w:ind w:left="850"/>
      </w:pPr>
      <w:r>
        <w:rPr>
          <w:rFonts w:ascii="Calibri" w:hAnsi="Calibri"/>
          <w:sz w:val="22"/>
        </w:rPr>
        <w:t>Walkthrough: CDK stack wiring, security design, entity resolution SQL, Step Functions orchestration, zero-touch automation</w:t>
      </w:r>
    </w:p>
    <w:p>
      <w:pPr>
        <w:pStyle w:val="ListBullet"/>
        <w:spacing w:after="60"/>
        <w:ind w:left="850"/>
      </w:pPr>
      <w:r>
        <w:rPr>
          <w:rFonts w:ascii="Calibri" w:hAnsi="Calibri"/>
          <w:sz w:val="22"/>
        </w:rPr>
        <w:t>Verify results with Athena queries</w:t>
      </w:r>
    </w:p>
    <w:p>
      <w:pPr>
        <w:pStyle w:val="ListBullet"/>
        <w:spacing w:after="60"/>
        <w:ind w:left="850"/>
      </w:pPr>
      <w:r>
        <w:rPr>
          <w:rFonts w:ascii="Calibri" w:hAnsi="Calibri"/>
          <w:sz w:val="22"/>
        </w:rPr>
        <w:t>Cost table</w:t>
      </w:r>
    </w:p>
    <w:p>
      <w:pPr>
        <w:pStyle w:val="ListBullet"/>
        <w:spacing w:after="60"/>
        <w:ind w:left="850"/>
      </w:pPr>
      <w:r>
        <w:rPr>
          <w:rFonts w:ascii="Calibri" w:hAnsi="Calibri"/>
          <w:sz w:val="22"/>
        </w:rPr>
        <w:t>Extending the solution</w:t>
      </w:r>
    </w:p>
    <w:p>
      <w:pPr>
        <w:pStyle w:val="ListBullet"/>
        <w:spacing w:after="60"/>
        <w:ind w:left="850"/>
      </w:pPr>
      <w:r>
        <w:rPr>
          <w:rFonts w:ascii="Calibri" w:hAnsi="Calibri"/>
          <w:sz w:val="22"/>
        </w:rPr>
        <w:t>Clean up</w:t>
      </w:r>
    </w:p>
    <w:p>
      <w:pPr>
        <w:spacing w:before="240" w:after="240"/>
        <w:pBdr>
          <w:bottom w:val="single" w:sz="6" w:space="1" w:color="CCCCCC"/>
        </w:pBdr>
      </w:pPr>
    </w:p>
    <w:p>
      <w:pPr>
        <w:pStyle w:val="Heading2"/>
      </w:pPr>
      <w:r>
        <w:t>Option B — Customer Success Story</w:t>
      </w:r>
    </w:p>
    <w:tbl>
      <w:tblPr>
        <w:tblStyle w:val="TableGrid"/>
        <w:tblW w:type="auto" w:w="0"/>
        <w:jc w:val="center"/>
        <w:tblLook w:firstColumn="1" w:firstRow="1" w:lastColumn="0" w:lastRow="0" w:noHBand="0" w:noVBand="1" w:val="04A0"/>
      </w:tblPr>
      <w:tblGrid>
        <w:gridCol w:w="4703"/>
        <w:gridCol w:w="4703"/>
      </w:tblGrid>
      <w:tr>
        <w:tc>
          <w:tcPr>
            <w:tcW w:type="dxa" w:w="2592"/>
            <w:shd w:fill="232F3E" w:val="clear"/>
          </w:tcPr>
          <w:p>
            <w:pPr>
              <w:jc w:val="left"/>
            </w:pPr>
            <w:r/>
            <w:r>
              <w:rPr>
                <w:rFonts w:ascii="Calibri" w:hAnsi="Calibri"/>
                <w:b/>
                <w:color w:val="FFFFFF"/>
                <w:sz w:val="20"/>
              </w:rPr>
              <w:t>Field</w:t>
            </w:r>
          </w:p>
        </w:tc>
        <w:tc>
          <w:tcPr>
            <w:tcW w:type="dxa" w:w="6768"/>
            <w:shd w:fill="232F3E" w:val="clear"/>
          </w:tcPr>
          <w:p>
            <w:pPr>
              <w:jc w:val="left"/>
            </w:pPr>
            <w:r/>
            <w:r>
              <w:rPr>
                <w:rFonts w:ascii="Calibri" w:hAnsi="Calibri"/>
                <w:b/>
                <w:color w:val="FFFFFF"/>
                <w:sz w:val="20"/>
              </w:rPr>
              <w:t>Detail</w:t>
            </w:r>
          </w:p>
        </w:tc>
      </w:tr>
      <w:tr>
        <w:tc>
          <w:tcPr>
            <w:tcW w:type="dxa" w:w="2592"/>
          </w:tcPr>
          <w:p>
            <w:r/>
            <w:r>
              <w:rPr>
                <w:rFonts w:ascii="Calibri" w:hAnsi="Calibri"/>
                <w:sz w:val="20"/>
              </w:rPr>
              <w:t>Title</w:t>
            </w:r>
          </w:p>
        </w:tc>
        <w:tc>
          <w:tcPr>
            <w:tcW w:type="dxa" w:w="6768"/>
          </w:tcPr>
          <w:p>
            <w:r/>
            <w:r>
              <w:rPr>
                <w:rFonts w:ascii="Calibri" w:hAnsi="Calibri"/>
                <w:sz w:val="20"/>
              </w:rPr>
              <w:t>How Rize Credit Union Built a Member 360 Data Lake on AWS to Deepen Financial Inclusion</w:t>
            </w:r>
          </w:p>
        </w:tc>
      </w:tr>
      <w:tr>
        <w:tc>
          <w:tcPr>
            <w:tcW w:type="dxa" w:w="2592"/>
            <w:shd w:fill="F5F5F5" w:val="clear"/>
          </w:tcPr>
          <w:p>
            <w:r/>
            <w:r>
              <w:rPr>
                <w:rFonts w:ascii="Calibri" w:hAnsi="Calibri"/>
                <w:sz w:val="20"/>
              </w:rPr>
              <w:t>Target Blog</w:t>
            </w:r>
          </w:p>
        </w:tc>
        <w:tc>
          <w:tcPr>
            <w:tcW w:type="dxa" w:w="6768"/>
            <w:shd w:fill="F5F5F5" w:val="clear"/>
          </w:tcPr>
          <w:p>
            <w:r/>
            <w:r>
              <w:rPr>
                <w:rFonts w:ascii="Calibri" w:hAnsi="Calibri"/>
                <w:sz w:val="20"/>
              </w:rPr>
              <w:t>AWS Public Sector Blog or AWS for Industries</w:t>
            </w:r>
          </w:p>
        </w:tc>
      </w:tr>
      <w:tr>
        <w:tc>
          <w:tcPr>
            <w:tcW w:type="dxa" w:w="2592"/>
          </w:tcPr>
          <w:p>
            <w:r/>
            <w:r>
              <w:rPr>
                <w:rFonts w:ascii="Calibri" w:hAnsi="Calibri"/>
                <w:sz w:val="20"/>
              </w:rPr>
              <w:t>Audience</w:t>
            </w:r>
          </w:p>
        </w:tc>
        <w:tc>
          <w:tcPr>
            <w:tcW w:type="dxa" w:w="6768"/>
          </w:tcPr>
          <w:p>
            <w:r/>
            <w:r>
              <w:rPr>
                <w:rFonts w:ascii="Calibri" w:hAnsi="Calibri"/>
                <w:sz w:val="20"/>
              </w:rPr>
              <w:t>Credit union executives, IT leaders in financial services, AWS account teams</w:t>
            </w:r>
          </w:p>
        </w:tc>
      </w:tr>
      <w:tr>
        <w:tc>
          <w:tcPr>
            <w:tcW w:type="dxa" w:w="2592"/>
            <w:shd w:fill="F5F5F5" w:val="clear"/>
          </w:tcPr>
          <w:p>
            <w:r/>
            <w:r>
              <w:rPr>
                <w:rFonts w:ascii="Calibri" w:hAnsi="Calibri"/>
                <w:sz w:val="20"/>
              </w:rPr>
              <w:t>Tone</w:t>
            </w:r>
          </w:p>
        </w:tc>
        <w:tc>
          <w:tcPr>
            <w:tcW w:type="dxa" w:w="6768"/>
            <w:shd w:fill="F5F5F5" w:val="clear"/>
          </w:tcPr>
          <w:p>
            <w:r/>
            <w:r>
              <w:rPr>
                <w:rFonts w:ascii="Calibri" w:hAnsi="Calibri"/>
                <w:sz w:val="20"/>
              </w:rPr>
              <w:t>Narrative — "Here's what Rize CU did and why it matters." Light on code, heavy on outcomes.</w:t>
            </w:r>
          </w:p>
        </w:tc>
      </w:tr>
      <w:tr>
        <w:tc>
          <w:tcPr>
            <w:tcW w:type="dxa" w:w="2592"/>
          </w:tcPr>
          <w:p>
            <w:r/>
            <w:r>
              <w:rPr>
                <w:rFonts w:ascii="Calibri" w:hAnsi="Calibri"/>
                <w:sz w:val="20"/>
              </w:rPr>
              <w:t>Rize CU Dependency</w:t>
            </w:r>
          </w:p>
        </w:tc>
        <w:tc>
          <w:tcPr>
            <w:tcW w:type="dxa" w:w="6768"/>
          </w:tcPr>
          <w:p>
            <w:r/>
            <w:r>
              <w:rPr>
                <w:rFonts w:ascii="Calibri" w:hAnsi="Calibri"/>
                <w:sz w:val="20"/>
              </w:rPr>
              <w:t>Requires sign-off on name, quotes, and narrative framing</w:t>
            </w:r>
          </w:p>
        </w:tc>
      </w:tr>
      <w:tr>
        <w:tc>
          <w:tcPr>
            <w:tcW w:type="dxa" w:w="2592"/>
            <w:shd w:fill="F5F5F5" w:val="clear"/>
          </w:tcPr>
          <w:p>
            <w:r/>
            <w:r>
              <w:rPr>
                <w:rFonts w:ascii="Calibri" w:hAnsi="Calibri"/>
                <w:sz w:val="20"/>
              </w:rPr>
              <w:t>Estimated Length</w:t>
            </w:r>
          </w:p>
        </w:tc>
        <w:tc>
          <w:tcPr>
            <w:tcW w:type="dxa" w:w="6768"/>
            <w:shd w:fill="F5F5F5" w:val="clear"/>
          </w:tcPr>
          <w:p>
            <w:r/>
            <w:r>
              <w:rPr>
                <w:rFonts w:ascii="Calibri" w:hAnsi="Calibri"/>
                <w:sz w:val="20"/>
              </w:rPr>
              <w:t>1,800–2,200 words</w:t>
            </w:r>
          </w:p>
        </w:tc>
      </w:tr>
    </w:tbl>
    <w:p/>
    <w:p>
      <w:pPr>
        <w:pStyle w:val="Heading3"/>
      </w:pPr>
      <w:r>
        <w:t>Abstract</w:t>
      </w:r>
    </w:p>
    <w:p>
      <w:r>
        <w:t>Rize Credit Union is a CDFI founded in 1952, serving underserved communities in southern California and southern Nevada. With member data siloed across five systems and no unified view, branch staff couldn't see a member's full relationship — making it harder to deliver on their mission of financial empowerment. This post tells the story of how Rize CU worked with AWS to build a serverless Member 360 data lake that unifies all five data sources into a single member profile. It covers the business challenge, why they chose AWS (serverless, security, IaC, cost), the solution architecture at a high level, the entity resolution approach, and the outcomes: unified member view, data-driven segmentation, proactive financial inclusion outreach, and a pipeline that costs under $5 per run. Includes quotes from Rize CU stakeholders and links to the open-source repo.</w:t>
      </w:r>
    </w:p>
    <w:p>
      <w:pPr>
        <w:pStyle w:val="Heading3"/>
      </w:pPr>
      <w:r>
        <w:t>Proposed Sections</w:t>
      </w:r>
    </w:p>
    <w:p>
      <w:pPr>
        <w:pStyle w:val="ListBullet"/>
        <w:spacing w:after="60"/>
        <w:ind w:left="850"/>
      </w:pPr>
      <w:r>
        <w:rPr>
          <w:rFonts w:ascii="Calibri" w:hAnsi="Calibri"/>
          <w:sz w:val="22"/>
        </w:rPr>
        <w:t>About Rize Credit Union</w:t>
      </w:r>
    </w:p>
    <w:p>
      <w:pPr>
        <w:pStyle w:val="ListBullet"/>
        <w:spacing w:after="60"/>
        <w:ind w:left="850"/>
      </w:pPr>
      <w:r>
        <w:rPr>
          <w:rFonts w:ascii="Calibri" w:hAnsi="Calibri"/>
          <w:sz w:val="22"/>
        </w:rPr>
        <w:t>The challenge: siloed data in a mission-driven organization</w:t>
      </w:r>
    </w:p>
    <w:p>
      <w:pPr>
        <w:pStyle w:val="ListBullet"/>
        <w:spacing w:after="60"/>
        <w:ind w:left="850"/>
      </w:pPr>
      <w:r>
        <w:rPr>
          <w:rFonts w:ascii="Calibri" w:hAnsi="Calibri"/>
          <w:sz w:val="22"/>
        </w:rPr>
        <w:t>Why AWS</w:t>
      </w:r>
    </w:p>
    <w:p>
      <w:pPr>
        <w:pStyle w:val="ListBullet"/>
        <w:spacing w:after="60"/>
        <w:ind w:left="850"/>
      </w:pPr>
      <w:r>
        <w:rPr>
          <w:rFonts w:ascii="Calibri" w:hAnsi="Calibri"/>
          <w:sz w:val="22"/>
        </w:rPr>
        <w:t>Solution overview (high-level architecture diagram, no code)</w:t>
      </w:r>
    </w:p>
    <w:p>
      <w:pPr>
        <w:pStyle w:val="ListBullet"/>
        <w:spacing w:after="60"/>
        <w:ind w:left="850"/>
      </w:pPr>
      <w:r>
        <w:rPr>
          <w:rFonts w:ascii="Calibri" w:hAnsi="Calibri"/>
          <w:sz w:val="22"/>
        </w:rPr>
        <w:t>Entity resolution approach (conceptual, not code-level)</w:t>
      </w:r>
    </w:p>
    <w:p>
      <w:pPr>
        <w:pStyle w:val="ListBullet"/>
        <w:spacing w:after="60"/>
        <w:ind w:left="850"/>
      </w:pPr>
      <w:r>
        <w:rPr>
          <w:rFonts w:ascii="Calibri" w:hAnsi="Calibri"/>
          <w:sz w:val="22"/>
        </w:rPr>
        <w:t>Results and business outcomes</w:t>
      </w:r>
    </w:p>
    <w:p>
      <w:pPr>
        <w:pStyle w:val="ListBullet"/>
        <w:spacing w:after="60"/>
        <w:ind w:left="850"/>
      </w:pPr>
      <w:r>
        <w:rPr>
          <w:rFonts w:ascii="Calibri" w:hAnsi="Calibri"/>
          <w:sz w:val="22"/>
        </w:rPr>
        <w:t>What's next for Rize CU</w:t>
      </w:r>
    </w:p>
    <w:p>
      <w:pPr>
        <w:pStyle w:val="ListBullet"/>
        <w:spacing w:after="60"/>
        <w:ind w:left="850"/>
      </w:pPr>
      <w:r>
        <w:rPr>
          <w:rFonts w:ascii="Calibri" w:hAnsi="Calibri"/>
          <w:sz w:val="22"/>
        </w:rPr>
        <w:t>Getting started (repo link + related AWS guidance)</w:t>
      </w:r>
    </w:p>
    <w:p>
      <w:pPr>
        <w:spacing w:before="240" w:after="240"/>
        <w:pBdr>
          <w:bottom w:val="single" w:sz="6" w:space="1" w:color="CCCCCC"/>
        </w:pBdr>
      </w:pPr>
    </w:p>
    <w:p>
      <w:pPr>
        <w:pStyle w:val="Heading2"/>
      </w:pPr>
      <w:r>
        <w:t>Option C — Combined Story + Technical Walkthrough</w:t>
      </w:r>
    </w:p>
    <w:p>
      <w:pPr>
        <w:spacing w:before="160" w:after="160"/>
        <w:ind w:left="567" w:right="567"/>
        <w:pBdr>
          <w:left w:val="single" w:sz="24" w:space="8" w:color="FF9900"/>
        </w:pBdr>
        <w:shd w:fill="FFF3E0" w:val="clear"/>
      </w:pPr>
      <w:r>
        <w:rPr>
          <w:rFonts w:ascii="Calibri" w:hAnsi="Calibri"/>
          <w:color w:val="333333"/>
          <w:sz w:val="20"/>
        </w:rPr>
        <w:t>★  RECOMMENDED — This option serves both audiences and is the strongest format for a blog post tied to a customer announcement.</w:t>
      </w:r>
    </w:p>
    <w:tbl>
      <w:tblPr>
        <w:tblStyle w:val="TableGrid"/>
        <w:tblW w:type="auto" w:w="0"/>
        <w:jc w:val="center"/>
        <w:tblLook w:firstColumn="1" w:firstRow="1" w:lastColumn="0" w:lastRow="0" w:noHBand="0" w:noVBand="1" w:val="04A0"/>
      </w:tblPr>
      <w:tblGrid>
        <w:gridCol w:w="4703"/>
        <w:gridCol w:w="4703"/>
      </w:tblGrid>
      <w:tr>
        <w:tc>
          <w:tcPr>
            <w:tcW w:type="dxa" w:w="2592"/>
            <w:shd w:fill="232F3E" w:val="clear"/>
          </w:tcPr>
          <w:p>
            <w:pPr>
              <w:jc w:val="left"/>
            </w:pPr>
            <w:r/>
            <w:r>
              <w:rPr>
                <w:rFonts w:ascii="Calibri" w:hAnsi="Calibri"/>
                <w:b/>
                <w:color w:val="FFFFFF"/>
                <w:sz w:val="20"/>
              </w:rPr>
              <w:t>Field</w:t>
            </w:r>
          </w:p>
        </w:tc>
        <w:tc>
          <w:tcPr>
            <w:tcW w:type="dxa" w:w="6768"/>
            <w:shd w:fill="232F3E" w:val="clear"/>
          </w:tcPr>
          <w:p>
            <w:pPr>
              <w:jc w:val="left"/>
            </w:pPr>
            <w:r/>
            <w:r>
              <w:rPr>
                <w:rFonts w:ascii="Calibri" w:hAnsi="Calibri"/>
                <w:b/>
                <w:color w:val="FFFFFF"/>
                <w:sz w:val="20"/>
              </w:rPr>
              <w:t>Detail</w:t>
            </w:r>
          </w:p>
        </w:tc>
      </w:tr>
      <w:tr>
        <w:tc>
          <w:tcPr>
            <w:tcW w:type="dxa" w:w="2592"/>
          </w:tcPr>
          <w:p>
            <w:r/>
            <w:r>
              <w:rPr>
                <w:rFonts w:ascii="Calibri" w:hAnsi="Calibri"/>
                <w:sz w:val="20"/>
              </w:rPr>
              <w:t>Title</w:t>
            </w:r>
          </w:p>
        </w:tc>
        <w:tc>
          <w:tcPr>
            <w:tcW w:type="dxa" w:w="6768"/>
          </w:tcPr>
          <w:p>
            <w:r/>
            <w:r>
              <w:rPr>
                <w:rFonts w:ascii="Calibri" w:hAnsi="Calibri"/>
                <w:sz w:val="20"/>
              </w:rPr>
              <w:t>How Rize Credit Union Built a Member 360 Data Lake on AWS Using Glue, Step Functions, and the CDK</w:t>
            </w:r>
          </w:p>
        </w:tc>
      </w:tr>
      <w:tr>
        <w:tc>
          <w:tcPr>
            <w:tcW w:type="dxa" w:w="2592"/>
            <w:shd w:fill="F5F5F5" w:val="clear"/>
          </w:tcPr>
          <w:p>
            <w:r/>
            <w:r>
              <w:rPr>
                <w:rFonts w:ascii="Calibri" w:hAnsi="Calibri"/>
                <w:sz w:val="20"/>
              </w:rPr>
              <w:t>Target Blog</w:t>
            </w:r>
          </w:p>
        </w:tc>
        <w:tc>
          <w:tcPr>
            <w:tcW w:type="dxa" w:w="6768"/>
            <w:shd w:fill="F5F5F5" w:val="clear"/>
          </w:tcPr>
          <w:p>
            <w:r/>
            <w:r>
              <w:rPr>
                <w:rFonts w:ascii="Calibri" w:hAnsi="Calibri"/>
                <w:sz w:val="20"/>
              </w:rPr>
              <w:t>AWS Big Data Blog (with customer solutions tag)</w:t>
            </w:r>
          </w:p>
        </w:tc>
      </w:tr>
      <w:tr>
        <w:tc>
          <w:tcPr>
            <w:tcW w:type="dxa" w:w="2592"/>
          </w:tcPr>
          <w:p>
            <w:r/>
            <w:r>
              <w:rPr>
                <w:rFonts w:ascii="Calibri" w:hAnsi="Calibri"/>
                <w:sz w:val="20"/>
              </w:rPr>
              <w:t>Audience</w:t>
            </w:r>
          </w:p>
        </w:tc>
        <w:tc>
          <w:tcPr>
            <w:tcW w:type="dxa" w:w="6768"/>
          </w:tcPr>
          <w:p>
            <w:r/>
            <w:r>
              <w:rPr>
                <w:rFonts w:ascii="Calibri" w:hAnsi="Calibri"/>
                <w:sz w:val="20"/>
              </w:rPr>
              <w:t>Both technical builders and decision-makers in financial services</w:t>
            </w:r>
          </w:p>
        </w:tc>
      </w:tr>
      <w:tr>
        <w:tc>
          <w:tcPr>
            <w:tcW w:type="dxa" w:w="2592"/>
            <w:shd w:fill="F5F5F5" w:val="clear"/>
          </w:tcPr>
          <w:p>
            <w:r/>
            <w:r>
              <w:rPr>
                <w:rFonts w:ascii="Calibri" w:hAnsi="Calibri"/>
                <w:sz w:val="20"/>
              </w:rPr>
              <w:t>Tone</w:t>
            </w:r>
          </w:p>
        </w:tc>
        <w:tc>
          <w:tcPr>
            <w:tcW w:type="dxa" w:w="6768"/>
            <w:shd w:fill="F5F5F5" w:val="clear"/>
          </w:tcPr>
          <w:p>
            <w:r/>
            <w:r>
              <w:rPr>
                <w:rFonts w:ascii="Calibri" w:hAnsi="Calibri"/>
                <w:sz w:val="20"/>
              </w:rPr>
              <w:t>Narrative framing with full technical depth — like the Stifel post on the Big Data Blog</w:t>
            </w:r>
          </w:p>
        </w:tc>
      </w:tr>
      <w:tr>
        <w:tc>
          <w:tcPr>
            <w:tcW w:type="dxa" w:w="2592"/>
          </w:tcPr>
          <w:p>
            <w:r/>
            <w:r>
              <w:rPr>
                <w:rFonts w:ascii="Calibri" w:hAnsi="Calibri"/>
                <w:sz w:val="20"/>
              </w:rPr>
              <w:t>Rize CU Dependency</w:t>
            </w:r>
          </w:p>
        </w:tc>
        <w:tc>
          <w:tcPr>
            <w:tcW w:type="dxa" w:w="6768"/>
          </w:tcPr>
          <w:p>
            <w:r/>
            <w:r>
              <w:rPr>
                <w:rFonts w:ascii="Calibri" w:hAnsi="Calibri"/>
                <w:sz w:val="20"/>
              </w:rPr>
              <w:t>Requires sign-off on name, quotes, and narrative framing</w:t>
            </w:r>
          </w:p>
        </w:tc>
      </w:tr>
      <w:tr>
        <w:tc>
          <w:tcPr>
            <w:tcW w:type="dxa" w:w="2592"/>
            <w:shd w:fill="F5F5F5" w:val="clear"/>
          </w:tcPr>
          <w:p>
            <w:r/>
            <w:r>
              <w:rPr>
                <w:rFonts w:ascii="Calibri" w:hAnsi="Calibri"/>
                <w:sz w:val="20"/>
              </w:rPr>
              <w:t>Estimated Length</w:t>
            </w:r>
          </w:p>
        </w:tc>
        <w:tc>
          <w:tcPr>
            <w:tcW w:type="dxa" w:w="6768"/>
            <w:shd w:fill="F5F5F5" w:val="clear"/>
          </w:tcPr>
          <w:p>
            <w:r/>
            <w:r>
              <w:rPr>
                <w:rFonts w:ascii="Calibri" w:hAnsi="Calibri"/>
                <w:sz w:val="20"/>
              </w:rPr>
              <w:t>3,000–3,500 words + code snippets + tables</w:t>
            </w:r>
          </w:p>
        </w:tc>
      </w:tr>
    </w:tbl>
    <w:p/>
    <w:p>
      <w:pPr>
        <w:pStyle w:val="Heading3"/>
      </w:pPr>
      <w:r>
        <w:t>Abstract</w:t>
      </w:r>
    </w:p>
    <w:p>
      <w:r>
        <w:t>This post combines the Rize CU story with a full technical walkthrough. It opens with Rize CU's mission as a CDFI and the siloed-data problem, then transitions into a deep technical dive that readers can follow and deploy themselves. The post covers the four-stack CDK architecture, entity resolution SQL with multi-strategy matching, Step Functions parallel/sequential orchestration, enterprise security design, and zero-touch automation. It weaves Rize CU's business outcomes (unified member view, segmentation, financial inclusion) throughout the technical sections, showing why each design decision matters for a real credit union. Includes a source-systems table, code snippets, deploy instructions, Athena query examples, cost table, and the open-source repo.</w:t>
      </w:r>
    </w:p>
    <w:p>
      <w:pPr>
        <w:pStyle w:val="Heading3"/>
      </w:pPr>
      <w:r>
        <w:t>Proposed Sections</w:t>
      </w:r>
    </w:p>
    <w:p>
      <w:pPr>
        <w:pStyle w:val="ListBullet"/>
        <w:spacing w:after="60"/>
        <w:ind w:left="850"/>
      </w:pPr>
      <w:r>
        <w:rPr>
          <w:rFonts w:ascii="Calibri" w:hAnsi="Calibri"/>
          <w:sz w:val="22"/>
        </w:rPr>
        <w:t>About Rize CU + the challenge (with source-systems table)</w:t>
      </w:r>
    </w:p>
    <w:p>
      <w:pPr>
        <w:pStyle w:val="ListBullet"/>
        <w:spacing w:after="60"/>
        <w:ind w:left="850"/>
      </w:pPr>
      <w:r>
        <w:rPr>
          <w:rFonts w:ascii="Calibri" w:hAnsi="Calibri"/>
          <w:sz w:val="22"/>
        </w:rPr>
        <w:t>Solution overview with architecture diagram</w:t>
      </w:r>
    </w:p>
    <w:p>
      <w:pPr>
        <w:pStyle w:val="ListBullet"/>
        <w:spacing w:after="60"/>
        <w:ind w:left="850"/>
      </w:pPr>
      <w:r>
        <w:rPr>
          <w:rFonts w:ascii="Calibri" w:hAnsi="Calibri"/>
          <w:sz w:val="22"/>
        </w:rPr>
        <w:t>Prerequisites + deploy instructions</w:t>
      </w:r>
    </w:p>
    <w:p>
      <w:pPr>
        <w:pStyle w:val="ListBullet"/>
        <w:spacing w:after="60"/>
        <w:ind w:left="850"/>
      </w:pPr>
      <w:r>
        <w:rPr>
          <w:rFonts w:ascii="Calibri" w:hAnsi="Calibri"/>
          <w:sz w:val="22"/>
        </w:rPr>
        <w:t>Walkthrough: data flow, entity resolution with SQL, pipeline orchestration with CDK, security design with code, zero-touch automation</w:t>
      </w:r>
    </w:p>
    <w:p>
      <w:pPr>
        <w:pStyle w:val="ListBullet"/>
        <w:spacing w:after="60"/>
        <w:ind w:left="850"/>
      </w:pPr>
      <w:r>
        <w:rPr>
          <w:rFonts w:ascii="Calibri" w:hAnsi="Calibri"/>
          <w:sz w:val="22"/>
        </w:rPr>
        <w:t>Results and business outcomes</w:t>
      </w:r>
    </w:p>
    <w:p>
      <w:pPr>
        <w:pStyle w:val="ListBullet"/>
        <w:spacing w:after="60"/>
        <w:ind w:left="850"/>
      </w:pPr>
      <w:r>
        <w:rPr>
          <w:rFonts w:ascii="Calibri" w:hAnsi="Calibri"/>
          <w:sz w:val="22"/>
        </w:rPr>
        <w:t>Cost table</w:t>
      </w:r>
    </w:p>
    <w:p>
      <w:pPr>
        <w:pStyle w:val="ListBullet"/>
        <w:spacing w:after="60"/>
        <w:ind w:left="850"/>
      </w:pPr>
      <w:r>
        <w:rPr>
          <w:rFonts w:ascii="Calibri" w:hAnsi="Calibri"/>
          <w:sz w:val="22"/>
        </w:rPr>
        <w:t>What's next for Rize CU</w:t>
      </w:r>
    </w:p>
    <w:p>
      <w:pPr>
        <w:pStyle w:val="ListBullet"/>
        <w:spacing w:after="60"/>
        <w:ind w:left="850"/>
      </w:pPr>
      <w:r>
        <w:rPr>
          <w:rFonts w:ascii="Calibri" w:hAnsi="Calibri"/>
          <w:sz w:val="22"/>
        </w:rPr>
        <w:t>Extending the solution for your organization</w:t>
      </w:r>
    </w:p>
    <w:p>
      <w:pPr>
        <w:pStyle w:val="ListBullet"/>
        <w:spacing w:after="60"/>
        <w:ind w:left="850"/>
      </w:pPr>
      <w:r>
        <w:rPr>
          <w:rFonts w:ascii="Calibri" w:hAnsi="Calibri"/>
          <w:sz w:val="22"/>
        </w:rPr>
        <w:t>Clean up</w:t>
      </w:r>
    </w:p>
    <w:p>
      <w:r>
        <w:br w:type="page"/>
      </w:r>
    </w:p>
    <w:p>
      <w:pPr>
        <w:pStyle w:val="Heading1"/>
      </w:pPr>
      <w:r>
        <w:t>3. Side-by-Side Comparison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04"/>
            <w:shd w:fill="232F3E" w:val="clear"/>
          </w:tcPr>
          <w:p>
            <w:pPr>
              <w:jc w:val="left"/>
            </w:pPr>
            <w:r/>
            <w:r>
              <w:rPr>
                <w:rFonts w:ascii="Calibri" w:hAnsi="Calibri"/>
                <w:b/>
                <w:color w:val="FFFFFF"/>
                <w:sz w:val="20"/>
              </w:rPr>
              <w:t>Dimension</w:t>
            </w:r>
          </w:p>
        </w:tc>
        <w:tc>
          <w:tcPr>
            <w:tcW w:type="dxa" w:w="2304"/>
            <w:shd w:fill="232F3E" w:val="clear"/>
          </w:tcPr>
          <w:p>
            <w:pPr>
              <w:jc w:val="left"/>
            </w:pPr>
            <w:r/>
            <w:r>
              <w:rPr>
                <w:rFonts w:ascii="Calibri" w:hAnsi="Calibri"/>
                <w:b/>
                <w:color w:val="FFFFFF"/>
                <w:sz w:val="20"/>
              </w:rPr>
              <w:t>Option A: Technical</w:t>
            </w:r>
          </w:p>
        </w:tc>
        <w:tc>
          <w:tcPr>
            <w:tcW w:type="dxa" w:w="2304"/>
            <w:shd w:fill="232F3E" w:val="clear"/>
          </w:tcPr>
          <w:p>
            <w:pPr>
              <w:jc w:val="left"/>
            </w:pPr>
            <w:r/>
            <w:r>
              <w:rPr>
                <w:rFonts w:ascii="Calibri" w:hAnsi="Calibri"/>
                <w:b/>
                <w:color w:val="FFFFFF"/>
                <w:sz w:val="20"/>
              </w:rPr>
              <w:t>Option B: Success Story</w:t>
            </w:r>
          </w:p>
        </w:tc>
        <w:tc>
          <w:tcPr>
            <w:tcW w:type="dxa" w:w="2304"/>
            <w:shd w:fill="232F3E" w:val="clear"/>
          </w:tcPr>
          <w:p>
            <w:pPr>
              <w:jc w:val="left"/>
            </w:pPr>
            <w:r/>
            <w:r>
              <w:rPr>
                <w:rFonts w:ascii="Calibri" w:hAnsi="Calibri"/>
                <w:b/>
                <w:color w:val="FFFFFF"/>
                <w:sz w:val="20"/>
              </w:rPr>
              <w:t>Option C: Combined</w:t>
            </w:r>
          </w:p>
        </w:tc>
      </w:tr>
      <w:tr>
        <w:tc>
          <w:tcPr>
            <w:tcW w:type="dxa" w:w="2304"/>
          </w:tcPr>
          <w:p>
            <w:r/>
            <w:r>
              <w:rPr>
                <w:rFonts w:ascii="Calibri" w:hAnsi="Calibri"/>
                <w:sz w:val="20"/>
              </w:rPr>
              <w:t>Customer name used</w:t>
            </w:r>
          </w:p>
        </w:tc>
        <w:tc>
          <w:tcPr>
            <w:tcW w:type="dxa" w:w="2304"/>
          </w:tcPr>
          <w:p>
            <w:r/>
            <w:r>
              <w:rPr>
                <w:rFonts w:ascii="Calibri" w:hAnsi="Calibri"/>
                <w:sz w:val="20"/>
              </w:rPr>
              <w:t>No</w:t>
            </w:r>
          </w:p>
        </w:tc>
        <w:tc>
          <w:tcPr>
            <w:tcW w:type="dxa" w:w="2304"/>
          </w:tcPr>
          <w:p>
            <w:r/>
            <w:r>
              <w:rPr>
                <w:rFonts w:ascii="Calibri" w:hAnsi="Calibri"/>
                <w:sz w:val="20"/>
              </w:rPr>
              <w:t>Yes</w:t>
            </w:r>
          </w:p>
        </w:tc>
        <w:tc>
          <w:tcPr>
            <w:tcW w:type="dxa" w:w="2304"/>
          </w:tcPr>
          <w:p>
            <w:r/>
            <w:r>
              <w:rPr>
                <w:rFonts w:ascii="Calibri" w:hAnsi="Calibri"/>
                <w:sz w:val="20"/>
              </w:rPr>
              <w:t>Yes</w:t>
            </w:r>
          </w:p>
        </w:tc>
      </w:tr>
      <w:tr>
        <w:tc>
          <w:tcPr>
            <w:tcW w:type="dxa" w:w="2304"/>
            <w:shd w:fill="F5F5F5" w:val="clear"/>
          </w:tcPr>
          <w:p>
            <w:r/>
            <w:r>
              <w:rPr>
                <w:rFonts w:ascii="Calibri" w:hAnsi="Calibri"/>
                <w:sz w:val="20"/>
              </w:rPr>
              <w:t>Quotes required</w:t>
            </w:r>
          </w:p>
        </w:tc>
        <w:tc>
          <w:tcPr>
            <w:tcW w:type="dxa" w:w="2304"/>
            <w:shd w:fill="F5F5F5" w:val="clear"/>
          </w:tcPr>
          <w:p>
            <w:r/>
            <w:r>
              <w:rPr>
                <w:rFonts w:ascii="Calibri" w:hAnsi="Calibri"/>
                <w:sz w:val="20"/>
              </w:rPr>
              <w:t>No</w:t>
            </w:r>
          </w:p>
        </w:tc>
        <w:tc>
          <w:tcPr>
            <w:tcW w:type="dxa" w:w="2304"/>
            <w:shd w:fill="F5F5F5" w:val="clear"/>
          </w:tcPr>
          <w:p>
            <w:r/>
            <w:r>
              <w:rPr>
                <w:rFonts w:ascii="Calibri" w:hAnsi="Calibri"/>
                <w:sz w:val="20"/>
              </w:rPr>
              <w:t>Yes (2–3)</w:t>
            </w:r>
          </w:p>
        </w:tc>
        <w:tc>
          <w:tcPr>
            <w:tcW w:type="dxa" w:w="2304"/>
            <w:shd w:fill="F5F5F5" w:val="clear"/>
          </w:tcPr>
          <w:p>
            <w:r/>
            <w:r>
              <w:rPr>
                <w:rFonts w:ascii="Calibri" w:hAnsi="Calibri"/>
                <w:sz w:val="20"/>
              </w:rPr>
              <w:t>Yes (1–2)</w:t>
            </w:r>
          </w:p>
        </w:tc>
      </w:tr>
      <w:tr>
        <w:tc>
          <w:tcPr>
            <w:tcW w:type="dxa" w:w="2304"/>
          </w:tcPr>
          <w:p>
            <w:r/>
            <w:r>
              <w:rPr>
                <w:rFonts w:ascii="Calibri" w:hAnsi="Calibri"/>
                <w:sz w:val="20"/>
              </w:rPr>
              <w:t>Code snippets</w:t>
            </w:r>
          </w:p>
        </w:tc>
        <w:tc>
          <w:tcPr>
            <w:tcW w:type="dxa" w:w="2304"/>
          </w:tcPr>
          <w:p>
            <w:r/>
            <w:r>
              <w:rPr>
                <w:rFonts w:ascii="Calibri" w:hAnsi="Calibri"/>
                <w:sz w:val="20"/>
              </w:rPr>
              <w:t>Yes (extensive)</w:t>
            </w:r>
          </w:p>
        </w:tc>
        <w:tc>
          <w:tcPr>
            <w:tcW w:type="dxa" w:w="2304"/>
          </w:tcPr>
          <w:p>
            <w:r/>
            <w:r>
              <w:rPr>
                <w:rFonts w:ascii="Calibri" w:hAnsi="Calibri"/>
                <w:sz w:val="20"/>
              </w:rPr>
              <w:t>No</w:t>
            </w:r>
          </w:p>
        </w:tc>
        <w:tc>
          <w:tcPr>
            <w:tcW w:type="dxa" w:w="2304"/>
          </w:tcPr>
          <w:p>
            <w:r/>
            <w:r>
              <w:rPr>
                <w:rFonts w:ascii="Calibri" w:hAnsi="Calibri"/>
                <w:sz w:val="20"/>
              </w:rPr>
              <w:t>Yes (extensive)</w:t>
            </w:r>
          </w:p>
        </w:tc>
      </w:tr>
      <w:tr>
        <w:tc>
          <w:tcPr>
            <w:tcW w:type="dxa" w:w="2304"/>
            <w:shd w:fill="F5F5F5" w:val="clear"/>
          </w:tcPr>
          <w:p>
            <w:r/>
            <w:r>
              <w:rPr>
                <w:rFonts w:ascii="Calibri" w:hAnsi="Calibri"/>
                <w:sz w:val="20"/>
              </w:rPr>
              <w:t>Deploy instructions</w:t>
            </w:r>
          </w:p>
        </w:tc>
        <w:tc>
          <w:tcPr>
            <w:tcW w:type="dxa" w:w="2304"/>
            <w:shd w:fill="F5F5F5" w:val="clear"/>
          </w:tcPr>
          <w:p>
            <w:r/>
            <w:r>
              <w:rPr>
                <w:rFonts w:ascii="Calibri" w:hAnsi="Calibri"/>
                <w:sz w:val="20"/>
              </w:rPr>
              <w:t>Yes</w:t>
            </w:r>
          </w:p>
        </w:tc>
        <w:tc>
          <w:tcPr>
            <w:tcW w:type="dxa" w:w="2304"/>
            <w:shd w:fill="F5F5F5" w:val="clear"/>
          </w:tcPr>
          <w:p>
            <w:r/>
            <w:r>
              <w:rPr>
                <w:rFonts w:ascii="Calibri" w:hAnsi="Calibri"/>
                <w:sz w:val="20"/>
              </w:rPr>
              <w:t>No (link only)</w:t>
            </w:r>
          </w:p>
        </w:tc>
        <w:tc>
          <w:tcPr>
            <w:tcW w:type="dxa" w:w="2304"/>
            <w:shd w:fill="F5F5F5" w:val="clear"/>
          </w:tcPr>
          <w:p>
            <w:r/>
            <w:r>
              <w:rPr>
                <w:rFonts w:ascii="Calibri" w:hAnsi="Calibri"/>
                <w:sz w:val="20"/>
              </w:rPr>
              <w:t>Yes</w:t>
            </w:r>
          </w:p>
        </w:tc>
      </w:tr>
      <w:tr>
        <w:tc>
          <w:tcPr>
            <w:tcW w:type="dxa" w:w="2304"/>
          </w:tcPr>
          <w:p>
            <w:r/>
            <w:r>
              <w:rPr>
                <w:rFonts w:ascii="Calibri" w:hAnsi="Calibri"/>
                <w:sz w:val="20"/>
              </w:rPr>
              <w:t>Architecture diagram</w:t>
            </w:r>
          </w:p>
        </w:tc>
        <w:tc>
          <w:tcPr>
            <w:tcW w:type="dxa" w:w="2304"/>
          </w:tcPr>
          <w:p>
            <w:r/>
            <w:r>
              <w:rPr>
                <w:rFonts w:ascii="Calibri" w:hAnsi="Calibri"/>
                <w:sz w:val="20"/>
              </w:rPr>
              <w:t>Yes (detailed)</w:t>
            </w:r>
          </w:p>
        </w:tc>
        <w:tc>
          <w:tcPr>
            <w:tcW w:type="dxa" w:w="2304"/>
          </w:tcPr>
          <w:p>
            <w:r/>
            <w:r>
              <w:rPr>
                <w:rFonts w:ascii="Calibri" w:hAnsi="Calibri"/>
                <w:sz w:val="20"/>
              </w:rPr>
              <w:t>Yes (simplified)</w:t>
            </w:r>
          </w:p>
        </w:tc>
        <w:tc>
          <w:tcPr>
            <w:tcW w:type="dxa" w:w="2304"/>
          </w:tcPr>
          <w:p>
            <w:r/>
            <w:r>
              <w:rPr>
                <w:rFonts w:ascii="Calibri" w:hAnsi="Calibri"/>
                <w:sz w:val="20"/>
              </w:rPr>
              <w:t>Yes (detailed)</w:t>
            </w:r>
          </w:p>
        </w:tc>
      </w:tr>
      <w:tr>
        <w:tc>
          <w:tcPr>
            <w:tcW w:type="dxa" w:w="2304"/>
            <w:shd w:fill="F5F5F5" w:val="clear"/>
          </w:tcPr>
          <w:p>
            <w:r/>
            <w:r>
              <w:rPr>
                <w:rFonts w:ascii="Calibri" w:hAnsi="Calibri"/>
                <w:sz w:val="20"/>
              </w:rPr>
              <w:t>Cost table</w:t>
            </w:r>
          </w:p>
        </w:tc>
        <w:tc>
          <w:tcPr>
            <w:tcW w:type="dxa" w:w="2304"/>
            <w:shd w:fill="F5F5F5" w:val="clear"/>
          </w:tcPr>
          <w:p>
            <w:r/>
            <w:r>
              <w:rPr>
                <w:rFonts w:ascii="Calibri" w:hAnsi="Calibri"/>
                <w:sz w:val="20"/>
              </w:rPr>
              <w:t>Yes</w:t>
            </w:r>
          </w:p>
        </w:tc>
        <w:tc>
          <w:tcPr>
            <w:tcW w:type="dxa" w:w="2304"/>
            <w:shd w:fill="F5F5F5" w:val="clear"/>
          </w:tcPr>
          <w:p>
            <w:r/>
            <w:r>
              <w:rPr>
                <w:rFonts w:ascii="Calibri" w:hAnsi="Calibri"/>
                <w:sz w:val="20"/>
              </w:rPr>
              <w:t>Mentioned only</w:t>
            </w:r>
          </w:p>
        </w:tc>
        <w:tc>
          <w:tcPr>
            <w:tcW w:type="dxa" w:w="2304"/>
            <w:shd w:fill="F5F5F5" w:val="clear"/>
          </w:tcPr>
          <w:p>
            <w:r/>
            <w:r>
              <w:rPr>
                <w:rFonts w:ascii="Calibri" w:hAnsi="Calibri"/>
                <w:sz w:val="20"/>
              </w:rPr>
              <w:t>Yes</w:t>
            </w:r>
          </w:p>
        </w:tc>
      </w:tr>
      <w:tr>
        <w:tc>
          <w:tcPr>
            <w:tcW w:type="dxa" w:w="2304"/>
          </w:tcPr>
          <w:p>
            <w:r/>
            <w:r>
              <w:rPr>
                <w:rFonts w:ascii="Calibri" w:hAnsi="Calibri"/>
                <w:sz w:val="20"/>
              </w:rPr>
              <w:t>Athena query examples</w:t>
            </w:r>
          </w:p>
        </w:tc>
        <w:tc>
          <w:tcPr>
            <w:tcW w:type="dxa" w:w="2304"/>
          </w:tcPr>
          <w:p>
            <w:r/>
            <w:r>
              <w:rPr>
                <w:rFonts w:ascii="Calibri" w:hAnsi="Calibri"/>
                <w:sz w:val="20"/>
              </w:rPr>
              <w:t>Yes</w:t>
            </w:r>
          </w:p>
        </w:tc>
        <w:tc>
          <w:tcPr>
            <w:tcW w:type="dxa" w:w="2304"/>
          </w:tcPr>
          <w:p>
            <w:r/>
            <w:r>
              <w:rPr>
                <w:rFonts w:ascii="Calibri" w:hAnsi="Calibri"/>
                <w:sz w:val="20"/>
              </w:rPr>
              <w:t>No</w:t>
            </w:r>
          </w:p>
        </w:tc>
        <w:tc>
          <w:tcPr>
            <w:tcW w:type="dxa" w:w="2304"/>
          </w:tcPr>
          <w:p>
            <w:r/>
            <w:r>
              <w:rPr>
                <w:rFonts w:ascii="Calibri" w:hAnsi="Calibri"/>
                <w:sz w:val="20"/>
              </w:rPr>
              <w:t>Yes</w:t>
            </w:r>
          </w:p>
        </w:tc>
      </w:tr>
      <w:tr>
        <w:tc>
          <w:tcPr>
            <w:tcW w:type="dxa" w:w="2304"/>
            <w:shd w:fill="F5F5F5" w:val="clear"/>
          </w:tcPr>
          <w:p>
            <w:r/>
            <w:r>
              <w:rPr>
                <w:rFonts w:ascii="Calibri" w:hAnsi="Calibri"/>
                <w:sz w:val="20"/>
              </w:rPr>
              <w:t>Rize CU sign-off needed</w:t>
            </w:r>
          </w:p>
        </w:tc>
        <w:tc>
          <w:tcPr>
            <w:tcW w:type="dxa" w:w="2304"/>
            <w:shd w:fill="F5F5F5" w:val="clear"/>
          </w:tcPr>
          <w:p>
            <w:r/>
            <w:r>
              <w:rPr>
                <w:rFonts w:ascii="Calibri" w:hAnsi="Calibri"/>
                <w:sz w:val="20"/>
              </w:rPr>
              <w:t>No</w:t>
            </w:r>
          </w:p>
        </w:tc>
        <w:tc>
          <w:tcPr>
            <w:tcW w:type="dxa" w:w="2304"/>
            <w:shd w:fill="F5F5F5" w:val="clear"/>
          </w:tcPr>
          <w:p>
            <w:r/>
            <w:r>
              <w:rPr>
                <w:rFonts w:ascii="Calibri" w:hAnsi="Calibri"/>
                <w:sz w:val="20"/>
              </w:rPr>
              <w:t>Yes</w:t>
            </w:r>
          </w:p>
        </w:tc>
        <w:tc>
          <w:tcPr>
            <w:tcW w:type="dxa" w:w="2304"/>
            <w:shd w:fill="F5F5F5" w:val="clear"/>
          </w:tcPr>
          <w:p>
            <w:r/>
            <w:r>
              <w:rPr>
                <w:rFonts w:ascii="Calibri" w:hAnsi="Calibri"/>
                <w:sz w:val="20"/>
              </w:rPr>
              <w:t>Yes</w:t>
            </w:r>
          </w:p>
        </w:tc>
      </w:tr>
      <w:tr>
        <w:tc>
          <w:tcPr>
            <w:tcW w:type="dxa" w:w="2304"/>
          </w:tcPr>
          <w:p>
            <w:r/>
            <w:r>
              <w:rPr>
                <w:rFonts w:ascii="Calibri" w:hAnsi="Calibri"/>
                <w:sz w:val="20"/>
              </w:rPr>
              <w:t>Target blog channel</w:t>
            </w:r>
          </w:p>
        </w:tc>
        <w:tc>
          <w:tcPr>
            <w:tcW w:type="dxa" w:w="2304"/>
          </w:tcPr>
          <w:p>
            <w:r/>
            <w:r>
              <w:rPr>
                <w:rFonts w:ascii="Calibri" w:hAnsi="Calibri"/>
                <w:sz w:val="20"/>
              </w:rPr>
              <w:t>Big Data</w:t>
            </w:r>
          </w:p>
        </w:tc>
        <w:tc>
          <w:tcPr>
            <w:tcW w:type="dxa" w:w="2304"/>
          </w:tcPr>
          <w:p>
            <w:r/>
            <w:r>
              <w:rPr>
                <w:rFonts w:ascii="Calibri" w:hAnsi="Calibri"/>
                <w:sz w:val="20"/>
              </w:rPr>
              <w:t>Public Sector</w:t>
            </w:r>
          </w:p>
        </w:tc>
        <w:tc>
          <w:tcPr>
            <w:tcW w:type="dxa" w:w="2304"/>
          </w:tcPr>
          <w:p>
            <w:r/>
            <w:r>
              <w:rPr>
                <w:rFonts w:ascii="Calibri" w:hAnsi="Calibri"/>
                <w:sz w:val="20"/>
              </w:rPr>
              <w:t>Big Data</w:t>
            </w:r>
          </w:p>
        </w:tc>
      </w:tr>
      <w:tr>
        <w:tc>
          <w:tcPr>
            <w:tcW w:type="dxa" w:w="2304"/>
            <w:shd w:fill="F5F5F5" w:val="clear"/>
          </w:tcPr>
          <w:p>
            <w:r/>
            <w:r>
              <w:rPr>
                <w:rFonts w:ascii="Calibri" w:hAnsi="Calibri"/>
                <w:sz w:val="20"/>
              </w:rPr>
              <w:t>Drives repo adoption</w:t>
            </w:r>
          </w:p>
        </w:tc>
        <w:tc>
          <w:tcPr>
            <w:tcW w:type="dxa" w:w="2304"/>
            <w:shd w:fill="F5F5F5" w:val="clear"/>
          </w:tcPr>
          <w:p>
            <w:r/>
            <w:r>
              <w:rPr>
                <w:rFonts w:ascii="Calibri" w:hAnsi="Calibri"/>
                <w:sz w:val="20"/>
              </w:rPr>
              <w:t>High</w:t>
            </w:r>
          </w:p>
        </w:tc>
        <w:tc>
          <w:tcPr>
            <w:tcW w:type="dxa" w:w="2304"/>
            <w:shd w:fill="F5F5F5" w:val="clear"/>
          </w:tcPr>
          <w:p>
            <w:r/>
            <w:r>
              <w:rPr>
                <w:rFonts w:ascii="Calibri" w:hAnsi="Calibri"/>
                <w:sz w:val="20"/>
              </w:rPr>
              <w:t>Low</w:t>
            </w:r>
          </w:p>
        </w:tc>
        <w:tc>
          <w:tcPr>
            <w:tcW w:type="dxa" w:w="2304"/>
            <w:shd w:fill="F5F5F5" w:val="clear"/>
          </w:tcPr>
          <w:p>
            <w:r/>
            <w:r>
              <w:rPr>
                <w:rFonts w:ascii="Calibri" w:hAnsi="Calibri"/>
                <w:sz w:val="20"/>
              </w:rPr>
              <w:t>High</w:t>
            </w:r>
          </w:p>
        </w:tc>
      </w:tr>
      <w:tr>
        <w:tc>
          <w:tcPr>
            <w:tcW w:type="dxa" w:w="2304"/>
          </w:tcPr>
          <w:p>
            <w:r/>
            <w:r>
              <w:rPr>
                <w:rFonts w:ascii="Calibri" w:hAnsi="Calibri"/>
                <w:sz w:val="20"/>
              </w:rPr>
              <w:t>Drives CU brand story</w:t>
            </w:r>
          </w:p>
        </w:tc>
        <w:tc>
          <w:tcPr>
            <w:tcW w:type="dxa" w:w="2304"/>
          </w:tcPr>
          <w:p>
            <w:r/>
            <w:r>
              <w:rPr>
                <w:rFonts w:ascii="Calibri" w:hAnsi="Calibri"/>
                <w:sz w:val="20"/>
              </w:rPr>
              <w:t>Low</w:t>
            </w:r>
          </w:p>
        </w:tc>
        <w:tc>
          <w:tcPr>
            <w:tcW w:type="dxa" w:w="2304"/>
          </w:tcPr>
          <w:p>
            <w:r/>
            <w:r>
              <w:rPr>
                <w:rFonts w:ascii="Calibri" w:hAnsi="Calibri"/>
                <w:sz w:val="20"/>
              </w:rPr>
              <w:t>High</w:t>
            </w:r>
          </w:p>
        </w:tc>
        <w:tc>
          <w:tcPr>
            <w:tcW w:type="dxa" w:w="2304"/>
          </w:tcPr>
          <w:p>
            <w:r/>
            <w:r>
              <w:rPr>
                <w:rFonts w:ascii="Calibri" w:hAnsi="Calibri"/>
                <w:sz w:val="20"/>
              </w:rPr>
              <w:t>High</w:t>
            </w:r>
          </w:p>
        </w:tc>
      </w:tr>
      <w:tr>
        <w:tc>
          <w:tcPr>
            <w:tcW w:type="dxa" w:w="2304"/>
            <w:shd w:fill="F5F5F5" w:val="clear"/>
          </w:tcPr>
          <w:p>
            <w:r/>
            <w:r>
              <w:rPr>
                <w:rFonts w:ascii="Calibri" w:hAnsi="Calibri"/>
                <w:sz w:val="20"/>
              </w:rPr>
              <w:t>Estimated writing time</w:t>
            </w:r>
          </w:p>
        </w:tc>
        <w:tc>
          <w:tcPr>
            <w:tcW w:type="dxa" w:w="2304"/>
            <w:shd w:fill="F5F5F5" w:val="clear"/>
          </w:tcPr>
          <w:p>
            <w:r/>
            <w:r>
              <w:rPr>
                <w:rFonts w:ascii="Calibri" w:hAnsi="Calibri"/>
                <w:sz w:val="20"/>
              </w:rPr>
              <w:t>1–2 days</w:t>
            </w:r>
          </w:p>
        </w:tc>
        <w:tc>
          <w:tcPr>
            <w:tcW w:type="dxa" w:w="2304"/>
            <w:shd w:fill="F5F5F5" w:val="clear"/>
          </w:tcPr>
          <w:p>
            <w:r/>
            <w:r>
              <w:rPr>
                <w:rFonts w:ascii="Calibri" w:hAnsi="Calibri"/>
                <w:sz w:val="20"/>
              </w:rPr>
              <w:t>1 day</w:t>
            </w:r>
          </w:p>
        </w:tc>
        <w:tc>
          <w:tcPr>
            <w:tcW w:type="dxa" w:w="2304"/>
            <w:shd w:fill="F5F5F5" w:val="clear"/>
          </w:tcPr>
          <w:p>
            <w:r/>
            <w:r>
              <w:rPr>
                <w:rFonts w:ascii="Calibri" w:hAnsi="Calibri"/>
                <w:sz w:val="20"/>
              </w:rPr>
              <w:t>2–3 days</w:t>
            </w:r>
          </w:p>
        </w:tc>
      </w:tr>
    </w:tbl>
    <w:p/>
    <w:p>
      <w:pPr>
        <w:pStyle w:val="Heading1"/>
      </w:pPr>
      <w:r>
        <w:t>4. Recommendation</w:t>
      </w:r>
    </w:p>
    <w:p>
      <w:pPr>
        <w:spacing w:before="160" w:after="160"/>
        <w:ind w:left="567" w:right="567"/>
        <w:pBdr>
          <w:left w:val="single" w:sz="24" w:space="8" w:color="2E7D32"/>
        </w:pBdr>
        <w:shd w:fill="E8F5E9" w:val="clear"/>
      </w:pPr>
      <w:r>
        <w:rPr>
          <w:rFonts w:ascii="Calibri" w:hAnsi="Calibri"/>
          <w:color w:val="333333"/>
          <w:sz w:val="20"/>
        </w:rPr>
        <w:t>Publish Option C (Combined) as the primary blog post on the AWS Big Data Blog.</w:t>
      </w:r>
    </w:p>
    <w:p>
      <w:r>
        <w:t>Rationale:</w:t>
      </w:r>
    </w:p>
    <w:p>
      <w:pPr>
        <w:pStyle w:val="ListBullet"/>
        <w:spacing w:after="60"/>
        <w:ind w:left="850"/>
      </w:pPr>
      <w:r>
        <w:rPr>
          <w:rFonts w:ascii="Calibri" w:hAnsi="Calibri"/>
          <w:b/>
          <w:sz w:val="22"/>
        </w:rPr>
        <w:t>Rize CU wants a blog post</w:t>
      </w:r>
      <w:r>
        <w:rPr>
          <w:rFonts w:ascii="Calibri" w:hAnsi="Calibri"/>
          <w:sz w:val="22"/>
        </w:rPr>
        <w:t xml:space="preserve"> — that implies they want their name on it, which rules out the pure technical version (Option A) as the primary post.</w:t>
      </w:r>
    </w:p>
    <w:p>
      <w:pPr>
        <w:pStyle w:val="ListBullet"/>
        <w:spacing w:after="60"/>
        <w:ind w:left="850"/>
      </w:pPr>
      <w:r>
        <w:rPr>
          <w:rFonts w:ascii="Calibri" w:hAnsi="Calibri"/>
          <w:b/>
          <w:sz w:val="22"/>
        </w:rPr>
        <w:t>A pure success story (Option B)</w:t>
      </w:r>
      <w:r>
        <w:rPr>
          <w:rFonts w:ascii="Calibri" w:hAnsi="Calibri"/>
          <w:sz w:val="22"/>
        </w:rPr>
        <w:t xml:space="preserve"> without technical depth won't drive GitHub stars or community adoption of the open-source repo.</w:t>
      </w:r>
    </w:p>
    <w:p>
      <w:pPr>
        <w:pStyle w:val="ListBullet"/>
        <w:spacing w:after="60"/>
        <w:ind w:left="850"/>
      </w:pPr>
      <w:r>
        <w:rPr>
          <w:rFonts w:ascii="Calibri" w:hAnsi="Calibri"/>
          <w:b/>
          <w:sz w:val="22"/>
        </w:rPr>
        <w:t>The combined format is proven</w:t>
      </w:r>
      <w:r>
        <w:rPr>
          <w:rFonts w:ascii="Calibri" w:hAnsi="Calibri"/>
          <w:sz w:val="22"/>
        </w:rPr>
        <w:t xml:space="preserve"> — AWS Big Data Blog regularly publishes customer-framed technical posts (Stifel, NatWest, Together CU).</w:t>
      </w:r>
    </w:p>
    <w:p>
      <w:pPr>
        <w:pStyle w:val="ListBullet"/>
        <w:spacing w:after="60"/>
        <w:ind w:left="850"/>
      </w:pPr>
      <w:r>
        <w:rPr>
          <w:rFonts w:ascii="Calibri" w:hAnsi="Calibri"/>
          <w:b/>
          <w:sz w:val="22"/>
        </w:rPr>
        <w:t>It serves both audiences</w:t>
      </w:r>
      <w:r>
        <w:rPr>
          <w:rFonts w:ascii="Calibri" w:hAnsi="Calibri"/>
          <w:sz w:val="22"/>
        </w:rPr>
        <w:t xml:space="preserve"> — Rize CU gets the brand story and financial inclusion narrative; builders get a deployable walkthrough with code.</w:t>
      </w:r>
    </w:p>
    <w:p/>
    <w:p>
      <w:r>
        <w:rPr>
          <w:i/>
        </w:rPr>
        <w:t>Optional: Also publish Option A as a standalone technical post (without the Rize CU name) if the Big Data Blog team prefers to separate the customer narrative from the technical content. This gives you two posts from one project.</w:t>
      </w:r>
    </w:p>
    <w:p>
      <w:pPr>
        <w:spacing w:before="240" w:after="240"/>
        <w:pBdr>
          <w:bottom w:val="single" w:sz="6" w:space="1" w:color="CCCCCC"/>
        </w:pBdr>
      </w:pPr>
    </w:p>
    <w:p>
      <w:pPr>
        <w:pStyle w:val="Heading1"/>
      </w:pPr>
      <w:r>
        <w:t>5. Open Questions &amp; Next Steps</w:t>
      </w:r>
    </w:p>
    <w:p>
      <w:pPr>
        <w:pStyle w:val="Heading3"/>
      </w:pPr>
      <w:r>
        <w:t>Questions for Rize CU</w:t>
      </w:r>
    </w:p>
    <w:p>
      <w:pPr>
        <w:pStyle w:val="ListBullet"/>
        <w:spacing w:after="60"/>
        <w:ind w:left="850"/>
      </w:pPr>
      <w:r>
        <w:rPr>
          <w:rFonts w:ascii="Calibri" w:hAnsi="Calibri"/>
          <w:sz w:val="22"/>
        </w:rPr>
        <w:t>Does Rize CU have a spokesperson willing to provide 1–2 quotes for the blog post?</w:t>
      </w:r>
    </w:p>
    <w:p>
      <w:pPr>
        <w:pStyle w:val="ListBullet"/>
        <w:spacing w:after="60"/>
        <w:ind w:left="850"/>
      </w:pPr>
      <w:r>
        <w:rPr>
          <w:rFonts w:ascii="Calibri" w:hAnsi="Calibri"/>
          <w:sz w:val="22"/>
        </w:rPr>
        <w:t>Is Rize CU comfortable with the CDFI / financial inclusion framing?</w:t>
      </w:r>
    </w:p>
    <w:p>
      <w:pPr>
        <w:pStyle w:val="ListBullet"/>
        <w:spacing w:after="60"/>
        <w:ind w:left="850"/>
      </w:pPr>
      <w:r>
        <w:rPr>
          <w:rFonts w:ascii="Calibri" w:hAnsi="Calibri"/>
          <w:sz w:val="22"/>
        </w:rPr>
        <w:t>Does Rize CU want to review and approve the architecture diagram?</w:t>
      </w:r>
    </w:p>
    <w:p>
      <w:pPr>
        <w:pStyle w:val="ListBullet"/>
        <w:spacing w:after="60"/>
        <w:ind w:left="850"/>
      </w:pPr>
      <w:r>
        <w:rPr>
          <w:rFonts w:ascii="Calibri" w:hAnsi="Calibri"/>
          <w:sz w:val="22"/>
        </w:rPr>
        <w:t>Are there any details about the engagement that are NDA'd or shouldn't be public?</w:t>
      </w:r>
    </w:p>
    <w:p>
      <w:pPr>
        <w:pStyle w:val="ListBullet"/>
        <w:spacing w:after="60"/>
        <w:ind w:left="850"/>
      </w:pPr>
      <w:r>
        <w:rPr>
          <w:rFonts w:ascii="Calibri" w:hAnsi="Calibri"/>
          <w:sz w:val="22"/>
        </w:rPr>
        <w:t>What is Rize CU's preferred timeline for publication?</w:t>
      </w:r>
    </w:p>
    <w:p>
      <w:pPr>
        <w:pStyle w:val="Heading3"/>
      </w:pPr>
      <w:r>
        <w:t>Questions for AWS (Internal)</w:t>
      </w:r>
    </w:p>
    <w:p>
      <w:pPr>
        <w:pStyle w:val="ListBullet"/>
        <w:spacing w:after="60"/>
        <w:ind w:left="850"/>
      </w:pPr>
      <w:r>
        <w:rPr>
          <w:rFonts w:ascii="Calibri" w:hAnsi="Calibri"/>
          <w:sz w:val="22"/>
        </w:rPr>
        <w:t>Which blog channel? Public Sector vs. Big Data vs. Industries — affects editorial process and review timeline.</w:t>
      </w:r>
    </w:p>
    <w:p>
      <w:pPr>
        <w:pStyle w:val="ListBullet"/>
        <w:spacing w:after="60"/>
        <w:ind w:left="850"/>
      </w:pPr>
      <w:r>
        <w:rPr>
          <w:rFonts w:ascii="Calibri" w:hAnsi="Calibri"/>
          <w:sz w:val="22"/>
        </w:rPr>
        <w:t>Is the repo going to aws-samples or a personal/org GitHub? This affects the open-source review process.</w:t>
      </w:r>
    </w:p>
    <w:p>
      <w:pPr>
        <w:pStyle w:val="ListBullet"/>
        <w:spacing w:after="60"/>
        <w:ind w:left="850"/>
      </w:pPr>
      <w:r>
        <w:rPr>
          <w:rFonts w:ascii="Calibri" w:hAnsi="Calibri"/>
          <w:sz w:val="22"/>
        </w:rPr>
        <w:t>Who owns the editorial relationship with the blog team?</w:t>
      </w:r>
    </w:p>
    <w:p>
      <w:pPr>
        <w:pStyle w:val="ListBullet"/>
        <w:spacing w:after="60"/>
        <w:ind w:left="850"/>
      </w:pPr>
      <w:r>
        <w:rPr>
          <w:rFonts w:ascii="Calibri" w:hAnsi="Calibri"/>
          <w:sz w:val="22"/>
        </w:rPr>
        <w:t>Is there a target publication date tied to a Rize CU announcement or event?</w:t>
      </w:r>
    </w:p>
    <w:p>
      <w:pPr>
        <w:pStyle w:val="ListBullet"/>
        <w:spacing w:after="60"/>
        <w:ind w:left="850"/>
      </w:pPr>
      <w:r>
        <w:rPr>
          <w:rFonts w:ascii="Calibri" w:hAnsi="Calibri"/>
          <w:sz w:val="22"/>
        </w:rPr>
        <w:t>Does the blog need to go through the AWS customer reference approval process?</w:t>
      </w:r>
    </w:p>
    <w:p>
      <w:pPr>
        <w:pStyle w:val="Heading3"/>
      </w:pPr>
      <w:r>
        <w:t>Next Steps</w:t>
      </w:r>
    </w:p>
    <w:p>
      <w:pPr>
        <w:pStyle w:val="ListBullet"/>
        <w:spacing w:after="60"/>
        <w:ind w:left="850"/>
      </w:pPr>
      <w:r>
        <w:rPr>
          <w:rFonts w:ascii="Calibri" w:hAnsi="Calibri"/>
          <w:b/>
          <w:sz w:val="22"/>
        </w:rPr>
        <w:t>Align on blog option</w:t>
      </w:r>
      <w:r>
        <w:rPr>
          <w:rFonts w:ascii="Calibri" w:hAnsi="Calibri"/>
          <w:sz w:val="22"/>
        </w:rPr>
        <w:t xml:space="preserve"> — Circulate this document to stakeholders and decide on Option A, B, or C.</w:t>
      </w:r>
    </w:p>
    <w:p>
      <w:pPr>
        <w:pStyle w:val="ListBullet"/>
        <w:spacing w:after="60"/>
        <w:ind w:left="850"/>
      </w:pPr>
      <w:r>
        <w:rPr>
          <w:rFonts w:ascii="Calibri" w:hAnsi="Calibri"/>
          <w:b/>
          <w:sz w:val="22"/>
        </w:rPr>
        <w:t>Get Rize CU buy-in</w:t>
      </w:r>
      <w:r>
        <w:rPr>
          <w:rFonts w:ascii="Calibri" w:hAnsi="Calibri"/>
          <w:sz w:val="22"/>
        </w:rPr>
        <w:t xml:space="preserve"> — Share the chosen abstract with Rize CU for approval of name usage and framing.</w:t>
      </w:r>
    </w:p>
    <w:p>
      <w:pPr>
        <w:pStyle w:val="ListBullet"/>
        <w:spacing w:after="60"/>
        <w:ind w:left="850"/>
      </w:pPr>
      <w:r>
        <w:rPr>
          <w:rFonts w:ascii="Calibri" w:hAnsi="Calibri"/>
          <w:b/>
          <w:sz w:val="22"/>
        </w:rPr>
        <w:t>Collect quotes</w:t>
      </w:r>
      <w:r>
        <w:rPr>
          <w:rFonts w:ascii="Calibri" w:hAnsi="Calibri"/>
          <w:sz w:val="22"/>
        </w:rPr>
        <w:t xml:space="preserve"> — Schedule a 30-minute call with Rize CU spokesperson to capture 2–3 quotes.</w:t>
      </w:r>
    </w:p>
    <w:p>
      <w:pPr>
        <w:pStyle w:val="ListBullet"/>
        <w:spacing w:after="60"/>
        <w:ind w:left="850"/>
      </w:pPr>
      <w:r>
        <w:rPr>
          <w:rFonts w:ascii="Calibri" w:hAnsi="Calibri"/>
          <w:b/>
          <w:sz w:val="22"/>
        </w:rPr>
        <w:t>Finalize repo</w:t>
      </w:r>
      <w:r>
        <w:rPr>
          <w:rFonts w:ascii="Calibri" w:hAnsi="Calibri"/>
          <w:sz w:val="22"/>
        </w:rPr>
        <w:t xml:space="preserve"> — Complete the repo cleanup checklist (see supporting artifacts) before the blog references it.</w:t>
      </w:r>
    </w:p>
    <w:p>
      <w:pPr>
        <w:pStyle w:val="ListBullet"/>
        <w:spacing w:after="60"/>
        <w:ind w:left="850"/>
      </w:pPr>
      <w:r>
        <w:rPr>
          <w:rFonts w:ascii="Calibri" w:hAnsi="Calibri"/>
          <w:b/>
          <w:sz w:val="22"/>
        </w:rPr>
        <w:t>Write the draft</w:t>
      </w:r>
      <w:r>
        <w:rPr>
          <w:rFonts w:ascii="Calibri" w:hAnsi="Calibri"/>
          <w:sz w:val="22"/>
        </w:rPr>
        <w:t xml:space="preserve"> — Author the full blog post based on the approved abstract.</w:t>
      </w:r>
    </w:p>
    <w:p>
      <w:pPr>
        <w:pStyle w:val="ListBullet"/>
        <w:spacing w:after="60"/>
        <w:ind w:left="850"/>
      </w:pPr>
      <w:r>
        <w:rPr>
          <w:rFonts w:ascii="Calibri" w:hAnsi="Calibri"/>
          <w:b/>
          <w:sz w:val="22"/>
        </w:rPr>
        <w:t>Review cycle</w:t>
      </w:r>
      <w:r>
        <w:rPr>
          <w:rFonts w:ascii="Calibri" w:hAnsi="Calibri"/>
          <w:sz w:val="22"/>
        </w:rPr>
        <w:t xml:space="preserve"> — Peer review → Rize CU review → Blog team editorial review → Legal review.</w:t>
      </w:r>
    </w:p>
    <w:p>
      <w:pPr>
        <w:pStyle w:val="ListBullet"/>
        <w:spacing w:after="60"/>
        <w:ind w:left="850"/>
      </w:pPr>
      <w:r>
        <w:rPr>
          <w:rFonts w:ascii="Calibri" w:hAnsi="Calibri"/>
          <w:b/>
          <w:sz w:val="22"/>
        </w:rPr>
        <w:t>Publish</w:t>
      </w:r>
      <w:r>
        <w:rPr>
          <w:rFonts w:ascii="Calibri" w:hAnsi="Calibri"/>
          <w:sz w:val="22"/>
        </w:rPr>
        <w:t xml:space="preserve"> — Coordinate publication date with Rize CU for any joint announcement.</w:t>
      </w:r>
    </w:p>
    <w:p>
      <w:r>
        <w:br w:type="page"/>
      </w:r>
    </w:p>
    <w:p>
      <w:pPr>
        <w:pStyle w:val="Heading1"/>
      </w:pPr>
      <w:r>
        <w:t>6. Supporting Artifacts</w:t>
      </w:r>
    </w:p>
    <w:p>
      <w:r>
        <w:t>The following artifacts have been prepared and are available in the blog/ directory of the repository:</w:t>
      </w:r>
    </w:p>
    <w:tbl>
      <w:tblPr>
        <w:tblStyle w:val="TableGrid"/>
        <w:tblW w:type="auto" w:w="0"/>
        <w:jc w:val="center"/>
        <w:tblLook w:firstColumn="1" w:firstRow="1" w:lastColumn="0" w:lastRow="0" w:noHBand="0" w:noVBand="1" w:val="04A0"/>
      </w:tblPr>
      <w:tblGrid>
        <w:gridCol w:w="3135"/>
        <w:gridCol w:w="3135"/>
        <w:gridCol w:w="3135"/>
      </w:tblGrid>
      <w:tr>
        <w:tc>
          <w:tcPr>
            <w:tcW w:type="dxa" w:w="2592"/>
            <w:shd w:fill="232F3E" w:val="clear"/>
          </w:tcPr>
          <w:p>
            <w:pPr>
              <w:jc w:val="left"/>
            </w:pPr>
            <w:r/>
            <w:r>
              <w:rPr>
                <w:rFonts w:ascii="Calibri" w:hAnsi="Calibri"/>
                <w:b/>
                <w:color w:val="FFFFFF"/>
                <w:sz w:val="20"/>
              </w:rPr>
              <w:t>Artifact</w:t>
            </w:r>
          </w:p>
        </w:tc>
        <w:tc>
          <w:tcPr>
            <w:tcW w:type="dxa" w:w="3168"/>
            <w:shd w:fill="232F3E" w:val="clear"/>
          </w:tcPr>
          <w:p>
            <w:pPr>
              <w:jc w:val="left"/>
            </w:pPr>
            <w:r/>
            <w:r>
              <w:rPr>
                <w:rFonts w:ascii="Calibri" w:hAnsi="Calibri"/>
                <w:b/>
                <w:color w:val="FFFFFF"/>
                <w:sz w:val="20"/>
              </w:rPr>
              <w:t>File</w:t>
            </w:r>
          </w:p>
        </w:tc>
        <w:tc>
          <w:tcPr>
            <w:tcW w:type="dxa" w:w="3600"/>
            <w:shd w:fill="232F3E" w:val="clear"/>
          </w:tcPr>
          <w:p>
            <w:pPr>
              <w:jc w:val="left"/>
            </w:pPr>
            <w:r/>
            <w:r>
              <w:rPr>
                <w:rFonts w:ascii="Calibri" w:hAnsi="Calibri"/>
                <w:b/>
                <w:color w:val="FFFFFF"/>
                <w:sz w:val="20"/>
              </w:rPr>
              <w:t>Description</w:t>
            </w:r>
          </w:p>
        </w:tc>
      </w:tr>
      <w:tr>
        <w:tc>
          <w:tcPr>
            <w:tcW w:type="dxa" w:w="2592"/>
          </w:tcPr>
          <w:p>
            <w:r/>
            <w:r>
              <w:rPr>
                <w:rFonts w:ascii="Calibri" w:hAnsi="Calibri"/>
                <w:sz w:val="20"/>
              </w:rPr>
              <w:t>Architecture Diagram (draw.io)</w:t>
            </w:r>
          </w:p>
        </w:tc>
        <w:tc>
          <w:tcPr>
            <w:tcW w:type="dxa" w:w="3168"/>
          </w:tcPr>
          <w:p>
            <w:r/>
            <w:r>
              <w:rPr>
                <w:rFonts w:ascii="Calibri" w:hAnsi="Calibri"/>
                <w:sz w:val="20"/>
              </w:rPr>
              <w:t>architecture-diagram.drawio</w:t>
            </w:r>
          </w:p>
        </w:tc>
        <w:tc>
          <w:tcPr>
            <w:tcW w:type="dxa" w:w="3600"/>
          </w:tcPr>
          <w:p>
            <w:r/>
            <w:r>
              <w:rPr>
                <w:rFonts w:ascii="Calibri" w:hAnsi="Calibri"/>
                <w:sz w:val="20"/>
              </w:rPr>
              <w:t>Full architecture diagram with AWS service icons, data flow arrows, security overlay, and CDK stack legend. Opens in Design Inspector or draw.io.</w:t>
            </w:r>
          </w:p>
        </w:tc>
      </w:tr>
      <w:tr>
        <w:tc>
          <w:tcPr>
            <w:tcW w:type="dxa" w:w="2592"/>
            <w:shd w:fill="F5F5F5" w:val="clear"/>
          </w:tcPr>
          <w:p>
            <w:r/>
            <w:r>
              <w:rPr>
                <w:rFonts w:ascii="Calibri" w:hAnsi="Calibri"/>
                <w:sz w:val="20"/>
              </w:rPr>
              <w:t>Architecture Diagram (Mermaid)</w:t>
            </w:r>
          </w:p>
        </w:tc>
        <w:tc>
          <w:tcPr>
            <w:tcW w:type="dxa" w:w="3168"/>
            <w:shd w:fill="F5F5F5" w:val="clear"/>
          </w:tcPr>
          <w:p>
            <w:r/>
            <w:r>
              <w:rPr>
                <w:rFonts w:ascii="Calibri" w:hAnsi="Calibri"/>
                <w:sz w:val="20"/>
              </w:rPr>
              <w:t>architecture-diagram.mmd</w:t>
            </w:r>
          </w:p>
        </w:tc>
        <w:tc>
          <w:tcPr>
            <w:tcW w:type="dxa" w:w="3600"/>
            <w:shd w:fill="F5F5F5" w:val="clear"/>
          </w:tcPr>
          <w:p>
            <w:r/>
            <w:r>
              <w:rPr>
                <w:rFonts w:ascii="Calibri" w:hAnsi="Calibri"/>
                <w:sz w:val="20"/>
              </w:rPr>
              <w:t>Same architecture as a Mermaid diagram. Render at mermaid.live or with the Mermaid CLI.</w:t>
            </w:r>
          </w:p>
        </w:tc>
      </w:tr>
      <w:tr>
        <w:tc>
          <w:tcPr>
            <w:tcW w:type="dxa" w:w="2592"/>
          </w:tcPr>
          <w:p>
            <w:r/>
            <w:r>
              <w:rPr>
                <w:rFonts w:ascii="Calibri" w:hAnsi="Calibri"/>
                <w:sz w:val="20"/>
              </w:rPr>
              <w:t>Architecture Diagram (Text)</w:t>
            </w:r>
          </w:p>
        </w:tc>
        <w:tc>
          <w:tcPr>
            <w:tcW w:type="dxa" w:w="3168"/>
          </w:tcPr>
          <w:p>
            <w:r/>
            <w:r>
              <w:rPr>
                <w:rFonts w:ascii="Calibri" w:hAnsi="Calibri"/>
                <w:sz w:val="20"/>
              </w:rPr>
              <w:t>architecture-diagram.txt</w:t>
            </w:r>
          </w:p>
        </w:tc>
        <w:tc>
          <w:tcPr>
            <w:tcW w:type="dxa" w:w="3600"/>
          </w:tcPr>
          <w:p>
            <w:r/>
            <w:r>
              <w:rPr>
                <w:rFonts w:ascii="Calibri" w:hAnsi="Calibri"/>
                <w:sz w:val="20"/>
              </w:rPr>
              <w:t>ASCII text version for reference and accessibility.</w:t>
            </w:r>
          </w:p>
        </w:tc>
      </w:tr>
      <w:tr>
        <w:tc>
          <w:tcPr>
            <w:tcW w:type="dxa" w:w="2592"/>
            <w:shd w:fill="F5F5F5" w:val="clear"/>
          </w:tcPr>
          <w:p>
            <w:r/>
            <w:r>
              <w:rPr>
                <w:rFonts w:ascii="Calibri" w:hAnsi="Calibri"/>
                <w:sz w:val="20"/>
              </w:rPr>
              <w:t>Publishing Checklist</w:t>
            </w:r>
          </w:p>
        </w:tc>
        <w:tc>
          <w:tcPr>
            <w:tcW w:type="dxa" w:w="3168"/>
            <w:shd w:fill="F5F5F5" w:val="clear"/>
          </w:tcPr>
          <w:p>
            <w:r/>
            <w:r>
              <w:rPr>
                <w:rFonts w:ascii="Calibri" w:hAnsi="Calibri"/>
                <w:sz w:val="20"/>
              </w:rPr>
              <w:t>BLOG_PUBLISHING_CHECKLIST.md</w:t>
            </w:r>
          </w:p>
        </w:tc>
        <w:tc>
          <w:tcPr>
            <w:tcW w:type="dxa" w:w="3600"/>
            <w:shd w:fill="F5F5F5" w:val="clear"/>
          </w:tcPr>
          <w:p>
            <w:r/>
            <w:r>
              <w:rPr>
                <w:rFonts w:ascii="Calibri" w:hAnsi="Calibri"/>
                <w:sz w:val="20"/>
              </w:rPr>
              <w:t>Comprehensive checklist covering blog content, repo cleanup (must-do / should-do / nice-to-have), security review, and blog team submission.</w:t>
            </w:r>
          </w:p>
        </w:tc>
      </w:tr>
      <w:tr>
        <w:tc>
          <w:tcPr>
            <w:tcW w:type="dxa" w:w="2592"/>
          </w:tcPr>
          <w:p>
            <w:r/>
            <w:r>
              <w:rPr>
                <w:rFonts w:ascii="Calibri" w:hAnsi="Calibri"/>
                <w:sz w:val="20"/>
              </w:rPr>
              <w:t>Social Media Snippets</w:t>
            </w:r>
          </w:p>
        </w:tc>
        <w:tc>
          <w:tcPr>
            <w:tcW w:type="dxa" w:w="3168"/>
          </w:tcPr>
          <w:p>
            <w:r/>
            <w:r>
              <w:rPr>
                <w:rFonts w:ascii="Calibri" w:hAnsi="Calibri"/>
                <w:sz w:val="20"/>
              </w:rPr>
              <w:t>social-media-snippets.md</w:t>
            </w:r>
          </w:p>
        </w:tc>
        <w:tc>
          <w:tcPr>
            <w:tcW w:type="dxa" w:w="3600"/>
          </w:tcPr>
          <w:p>
            <w:r/>
            <w:r>
              <w:rPr>
                <w:rFonts w:ascii="Calibri" w:hAnsi="Calibri"/>
                <w:sz w:val="20"/>
              </w:rPr>
              <w:t>Ready-to-post copy for LinkedIn, Twitter/X, and internal Slack/Chime.</w:t>
            </w:r>
          </w:p>
        </w:tc>
      </w:tr>
      <w:tr>
        <w:tc>
          <w:tcPr>
            <w:tcW w:type="dxa" w:w="2592"/>
            <w:shd w:fill="F5F5F5" w:val="clear"/>
          </w:tcPr>
          <w:p>
            <w:r/>
            <w:r>
              <w:rPr>
                <w:rFonts w:ascii="Calibri" w:hAnsi="Calibri"/>
                <w:sz w:val="20"/>
              </w:rPr>
              <w:t>LICENSE (Apache 2.0)</w:t>
            </w:r>
          </w:p>
        </w:tc>
        <w:tc>
          <w:tcPr>
            <w:tcW w:type="dxa" w:w="3168"/>
            <w:shd w:fill="F5F5F5" w:val="clear"/>
          </w:tcPr>
          <w:p>
            <w:r/>
            <w:r>
              <w:rPr>
                <w:rFonts w:ascii="Calibri" w:hAnsi="Calibri"/>
                <w:sz w:val="20"/>
              </w:rPr>
              <w:t>repo-files/LICENSE</w:t>
            </w:r>
          </w:p>
        </w:tc>
        <w:tc>
          <w:tcPr>
            <w:tcW w:type="dxa" w:w="3600"/>
            <w:shd w:fill="F5F5F5" w:val="clear"/>
          </w:tcPr>
          <w:p>
            <w:r/>
            <w:r>
              <w:rPr>
                <w:rFonts w:ascii="Calibri" w:hAnsi="Calibri"/>
                <w:sz w:val="20"/>
              </w:rPr>
              <w:t>Standard Apache 2.0 license for aws-samples repos.</w:t>
            </w:r>
          </w:p>
        </w:tc>
      </w:tr>
      <w:tr>
        <w:tc>
          <w:tcPr>
            <w:tcW w:type="dxa" w:w="2592"/>
          </w:tcPr>
          <w:p>
            <w:r/>
            <w:r>
              <w:rPr>
                <w:rFonts w:ascii="Calibri" w:hAnsi="Calibri"/>
                <w:sz w:val="20"/>
              </w:rPr>
              <w:t>NOTICE</w:t>
            </w:r>
          </w:p>
        </w:tc>
        <w:tc>
          <w:tcPr>
            <w:tcW w:type="dxa" w:w="3168"/>
          </w:tcPr>
          <w:p>
            <w:r/>
            <w:r>
              <w:rPr>
                <w:rFonts w:ascii="Calibri" w:hAnsi="Calibri"/>
                <w:sz w:val="20"/>
              </w:rPr>
              <w:t>repo-files/NOTICE</w:t>
            </w:r>
          </w:p>
        </w:tc>
        <w:tc>
          <w:tcPr>
            <w:tcW w:type="dxa" w:w="3600"/>
          </w:tcPr>
          <w:p>
            <w:r/>
            <w:r>
              <w:rPr>
                <w:rFonts w:ascii="Calibri" w:hAnsi="Calibri"/>
                <w:sz w:val="20"/>
              </w:rPr>
              <w:t>Copyright notice with synthetic data disclaimer.</w:t>
            </w:r>
          </w:p>
        </w:tc>
      </w:tr>
      <w:tr>
        <w:tc>
          <w:tcPr>
            <w:tcW w:type="dxa" w:w="2592"/>
            <w:shd w:fill="F5F5F5" w:val="clear"/>
          </w:tcPr>
          <w:p>
            <w:r/>
            <w:r>
              <w:rPr>
                <w:rFonts w:ascii="Calibri" w:hAnsi="Calibri"/>
                <w:sz w:val="20"/>
              </w:rPr>
              <w:t>CONTRIBUTING.md</w:t>
            </w:r>
          </w:p>
        </w:tc>
        <w:tc>
          <w:tcPr>
            <w:tcW w:type="dxa" w:w="3168"/>
            <w:shd w:fill="F5F5F5" w:val="clear"/>
          </w:tcPr>
          <w:p>
            <w:r/>
            <w:r>
              <w:rPr>
                <w:rFonts w:ascii="Calibri" w:hAnsi="Calibri"/>
                <w:sz w:val="20"/>
              </w:rPr>
              <w:t>repo-files/CONTRIBUTING.md</w:t>
            </w:r>
          </w:p>
        </w:tc>
        <w:tc>
          <w:tcPr>
            <w:tcW w:type="dxa" w:w="3600"/>
            <w:shd w:fill="F5F5F5" w:val="clear"/>
          </w:tcPr>
          <w:p>
            <w:r/>
            <w:r>
              <w:rPr>
                <w:rFonts w:ascii="Calibri" w:hAnsi="Calibri"/>
                <w:sz w:val="20"/>
              </w:rPr>
              <w:t>Standard aws-samples contributing guidelines.</w:t>
            </w:r>
          </w:p>
        </w:tc>
      </w:tr>
      <w:tr>
        <w:tc>
          <w:tcPr>
            <w:tcW w:type="dxa" w:w="2592"/>
          </w:tcPr>
          <w:p>
            <w:r/>
            <w:r>
              <w:rPr>
                <w:rFonts w:ascii="Calibri" w:hAnsi="Calibri"/>
                <w:sz w:val="20"/>
              </w:rPr>
              <w:t>CODE_OF_CONDUCT.md</w:t>
            </w:r>
          </w:p>
        </w:tc>
        <w:tc>
          <w:tcPr>
            <w:tcW w:type="dxa" w:w="3168"/>
          </w:tcPr>
          <w:p>
            <w:r/>
            <w:r>
              <w:rPr>
                <w:rFonts w:ascii="Calibri" w:hAnsi="Calibri"/>
                <w:sz w:val="20"/>
              </w:rPr>
              <w:t>repo-files/CODE_OF_CONDUCT.md</w:t>
            </w:r>
          </w:p>
        </w:tc>
        <w:tc>
          <w:tcPr>
            <w:tcW w:type="dxa" w:w="3600"/>
          </w:tcPr>
          <w:p>
            <w:r/>
            <w:r>
              <w:rPr>
                <w:rFonts w:ascii="Calibri" w:hAnsi="Calibri"/>
                <w:sz w:val="20"/>
              </w:rPr>
              <w:t>Amazon Open Source Code of Conduct.</w:t>
            </w:r>
          </w:p>
        </w:tc>
      </w:tr>
    </w:tbl>
    <w:p/>
    <w:p>
      <w:pPr>
        <w:spacing w:before="240" w:after="240"/>
        <w:pBdr>
          <w:bottom w:val="single" w:sz="6" w:space="1" w:color="CCCCCC"/>
        </w:pBdr>
      </w:pPr>
    </w:p>
    <w:p>
      <w:pPr>
        <w:jc w:val="center"/>
      </w:pPr>
      <w:r>
        <w:rPr>
          <w:rFonts w:ascii="Calibri" w:hAnsi="Calibri"/>
          <w:i/>
          <w:color w:val="999999"/>
          <w:sz w:val="18"/>
        </w:rPr>
        <w:t>This document is for internal planning purposes only. Do not distribute externally.</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232F3E"/>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232F3E"/>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32F3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