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F40D" w14:textId="77777777" w:rsidR="00405649" w:rsidRDefault="00000000">
      <w:pPr>
        <w:pStyle w:val="Heading1"/>
        <w:jc w:val="center"/>
      </w:pPr>
      <w:r>
        <w:rPr>
          <w:rFonts w:ascii="Malgun Gothic" w:eastAsia="Malgun Gothic" w:hAnsi="Malgun Gothic"/>
          <w:color w:val="2C5AA0"/>
          <w:sz w:val="48"/>
        </w:rPr>
        <w:t>Business Growth Opportunities Analysis &amp; Actionable Sales Strategy Report</w:t>
      </w:r>
    </w:p>
    <w:p w14:paraId="4DD643D4" w14:textId="77777777" w:rsidR="00405649" w:rsidRDefault="00000000">
      <w:pPr>
        <w:pStyle w:val="Heading2"/>
      </w:pPr>
      <w:r>
        <w:rPr>
          <w:rFonts w:ascii="Malgun Gothic" w:eastAsia="Malgun Gothic" w:hAnsi="Malgun Gothic"/>
          <w:color w:val="34495E"/>
          <w:sz w:val="36"/>
        </w:rPr>
        <w:t>Executive Summary</w:t>
      </w:r>
    </w:p>
    <w:p w14:paraId="2FF50331" w14:textId="77777777" w:rsidR="00405649" w:rsidRDefault="00000000">
      <w:pPr>
        <w:spacing w:after="160"/>
        <w:jc w:val="both"/>
      </w:pPr>
      <w:r>
        <w:rPr>
          <w:rFonts w:ascii="Malgun Gothic" w:eastAsia="Malgun Gothic" w:hAnsi="Malgun Gothic"/>
          <w:sz w:val="21"/>
        </w:rPr>
        <w:t>This comprehensive analysis of sales data from May 1-9, 2025 reveals significant business growth opportunities across customer segmentation, revenue optimization, and operational efficiency. With 836 transactions generating $16.4M in revenue from 733 customers, the data shows both strong performance and untapped potential.</w:t>
      </w:r>
      <w:r>
        <w:rPr>
          <w:rFonts w:ascii="Malgun Gothic" w:eastAsia="Malgun Gothic" w:hAnsi="Malgun Gothic"/>
          <w:sz w:val="21"/>
        </w:rPr>
        <w:br/>
      </w:r>
      <w:r>
        <w:rPr>
          <w:rFonts w:ascii="Malgun Gothic" w:eastAsia="Malgun Gothic" w:hAnsi="Malgun Gothic"/>
          <w:sz w:val="21"/>
        </w:rPr>
        <w:br/>
        <w:t>Key findings include the identification of 8 distinct customer segments through RFM analysis, with Champions and Loyal Customers representing only 31.7% of the customer base but generating 46.7% of total revenue. A critical opportunity exists in the low 5.9% repeat purchase rate, with 690 one-time customers representing substantial growth potential.</w:t>
      </w:r>
      <w:r>
        <w:rPr>
          <w:rFonts w:ascii="Malgun Gothic" w:eastAsia="Malgun Gothic" w:hAnsi="Malgun Gothic"/>
          <w:sz w:val="21"/>
        </w:rPr>
        <w:br/>
      </w:r>
      <w:r>
        <w:rPr>
          <w:rFonts w:ascii="Malgun Gothic" w:eastAsia="Malgun Gothic" w:hAnsi="Malgun Gothic"/>
          <w:sz w:val="21"/>
        </w:rPr>
        <w:br/>
        <w:t>The analysis reveals three high-impact strategies that can deliver $3.11M in incremental revenue (19% uplift) within the next month: re-engaging 242 at-risk customers ($573K impact), converting one-time buyers to repeat customers ($1.49M impact), and expanding promotional reach ($1.05M impact). These strategies target the most significant gaps in customer retention and engagement while leveraging existing high-performing product categories and promotional mechanisms.</w:t>
      </w:r>
    </w:p>
    <w:p w14:paraId="65884D35" w14:textId="77777777" w:rsidR="00405649" w:rsidRDefault="00000000">
      <w:pPr>
        <w:pStyle w:val="Heading2"/>
      </w:pPr>
      <w:r>
        <w:rPr>
          <w:rFonts w:ascii="Malgun Gothic" w:eastAsia="Malgun Gothic" w:hAnsi="Malgun Gothic"/>
          <w:color w:val="34495E"/>
          <w:sz w:val="36"/>
        </w:rPr>
        <w:t>Customer Insights &amp; Hidden Patterns</w:t>
      </w:r>
    </w:p>
    <w:p w14:paraId="3906E55D" w14:textId="77777777" w:rsidR="00405649" w:rsidRDefault="00000000">
      <w:pPr>
        <w:jc w:val="center"/>
      </w:pPr>
      <w:r>
        <w:rPr>
          <w:noProof/>
        </w:rPr>
        <w:drawing>
          <wp:inline distT="0" distB="0" distL="0" distR="0" wp14:anchorId="23913C35" wp14:editId="15BF79A6">
            <wp:extent cx="5029200" cy="24934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segmentation.png"/>
                    <pic:cNvPicPr/>
                  </pic:nvPicPr>
                  <pic:blipFill>
                    <a:blip r:embed="rId6"/>
                    <a:stretch>
                      <a:fillRect/>
                    </a:stretch>
                  </pic:blipFill>
                  <pic:spPr>
                    <a:xfrm>
                      <a:off x="0" y="0"/>
                      <a:ext cx="5029200" cy="2493469"/>
                    </a:xfrm>
                    <a:prstGeom prst="rect">
                      <a:avLst/>
                    </a:prstGeom>
                  </pic:spPr>
                </pic:pic>
              </a:graphicData>
            </a:graphic>
          </wp:inline>
        </w:drawing>
      </w:r>
    </w:p>
    <w:p w14:paraId="5899E4F8" w14:textId="77777777" w:rsidR="00405649" w:rsidRDefault="00000000">
      <w:pPr>
        <w:jc w:val="center"/>
      </w:pPr>
      <w:r>
        <w:rPr>
          <w:rFonts w:ascii="Malgun Gothic" w:eastAsia="Malgun Gothic" w:hAnsi="Malgun Gothic"/>
          <w:i/>
          <w:color w:val="7F8C8D"/>
          <w:sz w:val="18"/>
        </w:rPr>
        <w:t>Figure 1: Customer Segmentation Analysis - 8 segments identified through RFM analysis showing distribution and revenue contribution</w:t>
      </w:r>
    </w:p>
    <w:p w14:paraId="22F1E32D" w14:textId="77777777" w:rsidR="00405649" w:rsidRDefault="00000000">
      <w:pPr>
        <w:spacing w:after="160"/>
        <w:jc w:val="both"/>
      </w:pPr>
      <w:r>
        <w:rPr>
          <w:rFonts w:ascii="Malgun Gothic" w:eastAsia="Malgun Gothic" w:hAnsi="Malgun Gothic"/>
          <w:sz w:val="21"/>
        </w:rPr>
        <w:t>The RFM (Recency, Frequency, Monetary) analysis reveals 8 distinct customer segments with varying value and engagement levels. Champions and Loyal Customers, representing 232 customers (31.7% of the base), generate a disproportionate 46.7% of total revenue at an average value of $33,000 per customer.</w:t>
      </w:r>
      <w:r>
        <w:rPr>
          <w:rFonts w:ascii="Malgun Gothic" w:eastAsia="Malgun Gothic" w:hAnsi="Malgun Gothic"/>
          <w:sz w:val="21"/>
        </w:rPr>
        <w:br/>
      </w:r>
      <w:r>
        <w:rPr>
          <w:rFonts w:ascii="Malgun Gothic" w:eastAsia="Malgun Gothic" w:hAnsi="Malgun Gothic"/>
          <w:sz w:val="21"/>
        </w:rPr>
        <w:br/>
        <w:t>The analysis identifies 242 at-risk customers (33% of the base) who require immediate re-engagement strategies. These customers represent $3.82M in historical revenue and show signs of potential churn. The segmentation also reveals 690 one-time customers (94.1% of the base) with only a 5.9% repeat purchase rate, indicating a critical retention challenge.</w:t>
      </w:r>
      <w:r>
        <w:rPr>
          <w:rFonts w:ascii="Malgun Gothic" w:eastAsia="Malgun Gothic" w:hAnsi="Malgun Gothic"/>
          <w:sz w:val="21"/>
        </w:rPr>
        <w:br/>
      </w:r>
      <w:r>
        <w:rPr>
          <w:rFonts w:ascii="Malgun Gothic" w:eastAsia="Malgun Gothic" w:hAnsi="Malgun Gothic"/>
          <w:sz w:val="21"/>
        </w:rPr>
        <w:br/>
        <w:t>High-value customer profiles show distinct behavioral patterns: Champions maintain recent purchases with high frequency and monetary value, while Loyal Customers demonstrate consistent engagement over time. The average customer lifetime value of $22,417 is driven primarily by the top 10% of customers who contribute $4.49M (27.3% of total revenue).</w:t>
      </w:r>
    </w:p>
    <w:p w14:paraId="34A4EA19" w14:textId="77777777" w:rsidR="00405649" w:rsidRDefault="00000000">
      <w:pPr>
        <w:jc w:val="center"/>
      </w:pPr>
      <w:r>
        <w:rPr>
          <w:noProof/>
        </w:rPr>
        <w:drawing>
          <wp:inline distT="0" distB="0" distL="0" distR="0" wp14:anchorId="6DAA9837" wp14:editId="449E57B0">
            <wp:extent cx="5029200" cy="399129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er_behavior_heatmap.png"/>
                    <pic:cNvPicPr/>
                  </pic:nvPicPr>
                  <pic:blipFill>
                    <a:blip r:embed="rId7"/>
                    <a:stretch>
                      <a:fillRect/>
                    </a:stretch>
                  </pic:blipFill>
                  <pic:spPr>
                    <a:xfrm>
                      <a:off x="0" y="0"/>
                      <a:ext cx="5029200" cy="3991295"/>
                    </a:xfrm>
                    <a:prstGeom prst="rect">
                      <a:avLst/>
                    </a:prstGeom>
                  </pic:spPr>
                </pic:pic>
              </a:graphicData>
            </a:graphic>
          </wp:inline>
        </w:drawing>
      </w:r>
    </w:p>
    <w:p w14:paraId="35B59620" w14:textId="77777777" w:rsidR="00405649" w:rsidRDefault="00000000">
      <w:pPr>
        <w:jc w:val="center"/>
      </w:pPr>
      <w:r>
        <w:rPr>
          <w:rFonts w:ascii="Malgun Gothic" w:eastAsia="Malgun Gothic" w:hAnsi="Malgun Gothic"/>
          <w:i/>
          <w:color w:val="7F8C8D"/>
          <w:sz w:val="18"/>
        </w:rPr>
        <w:t>Figure 2: Customer Behavior Heatmap - RFM score distribution showing recency vs monetary value patterns across customer segments</w:t>
      </w:r>
    </w:p>
    <w:p w14:paraId="124D29B0" w14:textId="77777777" w:rsidR="00405649" w:rsidRDefault="00000000">
      <w:pPr>
        <w:spacing w:after="160"/>
        <w:jc w:val="both"/>
      </w:pPr>
      <w:r>
        <w:rPr>
          <w:rFonts w:ascii="Malgun Gothic" w:eastAsia="Malgun Gothic" w:hAnsi="Malgun Gothic"/>
          <w:sz w:val="21"/>
        </w:rPr>
        <w:t>The customer behavior heatmap reveals concentration patterns in purchasing behavior. Most customers cluster in the lower recency and monetary value ranges, with a small but significant group showing high monetary engagement. This distribution confirms the Pareto principle in action, where a minority of customers drive the majority of revenue.</w:t>
      </w:r>
      <w:r>
        <w:rPr>
          <w:rFonts w:ascii="Malgun Gothic" w:eastAsia="Malgun Gothic" w:hAnsi="Malgun Gothic"/>
          <w:sz w:val="21"/>
        </w:rPr>
        <w:br/>
      </w:r>
      <w:r>
        <w:rPr>
          <w:rFonts w:ascii="Malgun Gothic" w:eastAsia="Malgun Gothic" w:hAnsi="Malgun Gothic"/>
          <w:sz w:val="21"/>
        </w:rPr>
        <w:br/>
        <w:t>The heatmap also identifies opportunities for targeted marketing campaigns based on behavioral clusters. Customers with high monetary scores but lower recency represent prime candidates for win-back campaigns, while those with high recency but lower monetary values present upselling opportunities.</w:t>
      </w:r>
    </w:p>
    <w:p w14:paraId="3544F32B" w14:textId="77777777" w:rsidR="00405649" w:rsidRDefault="00000000">
      <w:pPr>
        <w:pStyle w:val="Heading2"/>
      </w:pPr>
      <w:r>
        <w:rPr>
          <w:rFonts w:ascii="Malgun Gothic" w:eastAsia="Malgun Gothic" w:hAnsi="Malgun Gothic"/>
          <w:color w:val="34495E"/>
          <w:sz w:val="36"/>
        </w:rPr>
        <w:t>Revenue Optimization Strategies</w:t>
      </w:r>
    </w:p>
    <w:p w14:paraId="3131953C" w14:textId="77777777" w:rsidR="00405649" w:rsidRDefault="00000000">
      <w:pPr>
        <w:jc w:val="center"/>
      </w:pPr>
      <w:r>
        <w:rPr>
          <w:noProof/>
        </w:rPr>
        <w:drawing>
          <wp:inline distT="0" distB="0" distL="0" distR="0" wp14:anchorId="0996CF63" wp14:editId="799EB146">
            <wp:extent cx="5029200" cy="312075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venue_trend.png"/>
                    <pic:cNvPicPr/>
                  </pic:nvPicPr>
                  <pic:blipFill>
                    <a:blip r:embed="rId8"/>
                    <a:stretch>
                      <a:fillRect/>
                    </a:stretch>
                  </pic:blipFill>
                  <pic:spPr>
                    <a:xfrm>
                      <a:off x="0" y="0"/>
                      <a:ext cx="5029200" cy="3120751"/>
                    </a:xfrm>
                    <a:prstGeom prst="rect">
                      <a:avLst/>
                    </a:prstGeom>
                  </pic:spPr>
                </pic:pic>
              </a:graphicData>
            </a:graphic>
          </wp:inline>
        </w:drawing>
      </w:r>
    </w:p>
    <w:p w14:paraId="5636E5C1" w14:textId="77777777" w:rsidR="00405649" w:rsidRDefault="00000000">
      <w:pPr>
        <w:jc w:val="center"/>
      </w:pPr>
      <w:r>
        <w:rPr>
          <w:rFonts w:ascii="Malgun Gothic" w:eastAsia="Malgun Gothic" w:hAnsi="Malgun Gothic"/>
          <w:i/>
          <w:color w:val="7F8C8D"/>
          <w:sz w:val="18"/>
        </w:rPr>
        <w:t>Figure 3: Revenue Trend Analysis - Daily revenue performance showing peak periods and growth trajectory over the analysis period</w:t>
      </w:r>
    </w:p>
    <w:p w14:paraId="1318F77B" w14:textId="77777777" w:rsidR="00405649" w:rsidRDefault="00000000">
      <w:pPr>
        <w:spacing w:after="160"/>
        <w:jc w:val="both"/>
      </w:pPr>
      <w:r>
        <w:rPr>
          <w:rFonts w:ascii="Malgun Gothic" w:eastAsia="Malgun Gothic" w:hAnsi="Malgun Gothic"/>
          <w:sz w:val="21"/>
        </w:rPr>
        <w:t>Revenue analysis reveals strong performance with $16.4M generated over the 14-day period, translating to an average daily revenue of $1.17M. The trend shows significant day-to-day variation, with Day 1 of the month showing exceptional performance at 20.6% above average, indicating strong monthly cycle patterns.</w:t>
      </w:r>
      <w:r>
        <w:rPr>
          <w:rFonts w:ascii="Malgun Gothic" w:eastAsia="Malgun Gothic" w:hAnsi="Malgun Gothic"/>
          <w:sz w:val="21"/>
        </w:rPr>
        <w:br/>
      </w:r>
      <w:r>
        <w:rPr>
          <w:rFonts w:ascii="Malgun Gothic" w:eastAsia="Malgun Gothic" w:hAnsi="Malgun Gothic"/>
          <w:sz w:val="21"/>
        </w:rPr>
        <w:br/>
        <w:t>The average order value of $19,655 represents substantial transaction sizes, with promotional activities driving 62% of total revenue and providing a 15% AOV lift. This demonstrates the effectiveness of promotional strategies in driving both volume and value per transaction.</w:t>
      </w:r>
    </w:p>
    <w:p w14:paraId="3FDADF68" w14:textId="77777777" w:rsidR="00405649" w:rsidRDefault="00000000">
      <w:pPr>
        <w:jc w:val="center"/>
      </w:pPr>
      <w:r>
        <w:rPr>
          <w:noProof/>
        </w:rPr>
        <w:drawing>
          <wp:inline distT="0" distB="0" distL="0" distR="0" wp14:anchorId="5803BFFE" wp14:editId="22E94CF7">
            <wp:extent cx="5029200" cy="31044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categories.png"/>
                    <pic:cNvPicPr/>
                  </pic:nvPicPr>
                  <pic:blipFill>
                    <a:blip r:embed="rId9"/>
                    <a:stretch>
                      <a:fillRect/>
                    </a:stretch>
                  </pic:blipFill>
                  <pic:spPr>
                    <a:xfrm>
                      <a:off x="0" y="0"/>
                      <a:ext cx="5029200" cy="3104412"/>
                    </a:xfrm>
                    <a:prstGeom prst="rect">
                      <a:avLst/>
                    </a:prstGeom>
                  </pic:spPr>
                </pic:pic>
              </a:graphicData>
            </a:graphic>
          </wp:inline>
        </w:drawing>
      </w:r>
    </w:p>
    <w:p w14:paraId="4AB97BB0" w14:textId="77777777" w:rsidR="00405649" w:rsidRDefault="00000000">
      <w:pPr>
        <w:jc w:val="center"/>
      </w:pPr>
      <w:r>
        <w:rPr>
          <w:rFonts w:ascii="Malgun Gothic" w:eastAsia="Malgun Gothic" w:hAnsi="Malgun Gothic"/>
          <w:i/>
          <w:color w:val="7F8C8D"/>
          <w:sz w:val="18"/>
        </w:rPr>
        <w:t>Figure 4: Top Product Categories by Revenue - Performance breakdown showing the top 10 categories and their revenue contribution percentages</w:t>
      </w:r>
    </w:p>
    <w:p w14:paraId="48CADFC9" w14:textId="77777777" w:rsidR="00405649" w:rsidRDefault="00000000">
      <w:pPr>
        <w:spacing w:after="160"/>
        <w:jc w:val="both"/>
      </w:pPr>
      <w:r>
        <w:rPr>
          <w:rFonts w:ascii="Malgun Gothic" w:eastAsia="Malgun Gothic" w:hAnsi="Malgun Gothic"/>
          <w:sz w:val="21"/>
        </w:rPr>
        <w:t>Category performance analysis identifies clear revenue drivers with the top 3 categories generating 42.7% of total revenue. Ready Meal/Meal Kit/Salad leads at $3.05M (18.6%), followed by Hair/Body/Oral Care at $2.18M (13.3%), and Health Supplements at $1.79M (10.9%).</w:t>
      </w:r>
      <w:r>
        <w:rPr>
          <w:rFonts w:ascii="Malgun Gothic" w:eastAsia="Malgun Gothic" w:hAnsi="Malgun Gothic"/>
          <w:sz w:val="21"/>
        </w:rPr>
        <w:br/>
      </w:r>
      <w:r>
        <w:rPr>
          <w:rFonts w:ascii="Malgun Gothic" w:eastAsia="Malgun Gothic" w:hAnsi="Malgun Gothic"/>
          <w:sz w:val="21"/>
        </w:rPr>
        <w:br/>
        <w:t>This concentration presents both opportunities and risks. While these categories are proven performers, diversification strategies could reduce dependency and unlock growth in underperforming categories. The long tail of categories shows potential for targeted promotional campaigns to boost secondary category performance.</w:t>
      </w:r>
    </w:p>
    <w:p w14:paraId="29F7FB7C" w14:textId="77777777" w:rsidR="00405649" w:rsidRDefault="00000000">
      <w:pPr>
        <w:jc w:val="center"/>
      </w:pPr>
      <w:r>
        <w:rPr>
          <w:noProof/>
        </w:rPr>
        <w:drawing>
          <wp:inline distT="0" distB="0" distL="0" distR="0" wp14:anchorId="6B3A6377" wp14:editId="3A06ADDD">
            <wp:extent cx="5029200" cy="37619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p_products.png"/>
                    <pic:cNvPicPr/>
                  </pic:nvPicPr>
                  <pic:blipFill>
                    <a:blip r:embed="rId10"/>
                    <a:stretch>
                      <a:fillRect/>
                    </a:stretch>
                  </pic:blipFill>
                  <pic:spPr>
                    <a:xfrm>
                      <a:off x="0" y="0"/>
                      <a:ext cx="5029200" cy="3761958"/>
                    </a:xfrm>
                    <a:prstGeom prst="rect">
                      <a:avLst/>
                    </a:prstGeom>
                  </pic:spPr>
                </pic:pic>
              </a:graphicData>
            </a:graphic>
          </wp:inline>
        </w:drawing>
      </w:r>
    </w:p>
    <w:p w14:paraId="2977993E" w14:textId="77777777" w:rsidR="00405649" w:rsidRDefault="00000000">
      <w:pPr>
        <w:jc w:val="center"/>
      </w:pPr>
      <w:r>
        <w:rPr>
          <w:rFonts w:ascii="Malgun Gothic" w:eastAsia="Malgun Gothic" w:hAnsi="Malgun Gothic"/>
          <w:i/>
          <w:color w:val="7F8C8D"/>
          <w:sz w:val="18"/>
        </w:rPr>
        <w:t>Figure 5: Top Products by Revenue Performance - Individual product analysis showing the highest-performing items and their revenue contributions</w:t>
      </w:r>
    </w:p>
    <w:p w14:paraId="6C3EA727" w14:textId="77777777" w:rsidR="00405649" w:rsidRDefault="00000000">
      <w:pPr>
        <w:spacing w:after="160"/>
        <w:jc w:val="both"/>
      </w:pPr>
      <w:r>
        <w:rPr>
          <w:rFonts w:ascii="Malgun Gothic" w:eastAsia="Malgun Gothic" w:hAnsi="Malgun Gothic"/>
          <w:sz w:val="21"/>
        </w:rPr>
        <w:t>Individual product analysis reveals strong performance concentration among top items. The leading products demonstrate consistent demand patterns and represent opportunities for inventory optimization and cross-selling strategies. Product performance data enables targeted promotional campaigns and inventory management decisions to maximize revenue per product line.</w:t>
      </w:r>
    </w:p>
    <w:p w14:paraId="3A9F75E2" w14:textId="77777777" w:rsidR="00405649" w:rsidRDefault="00000000">
      <w:pPr>
        <w:pStyle w:val="Heading2"/>
      </w:pPr>
      <w:r>
        <w:rPr>
          <w:rFonts w:ascii="Malgun Gothic" w:eastAsia="Malgun Gothic" w:hAnsi="Malgun Gothic"/>
          <w:color w:val="34495E"/>
          <w:sz w:val="36"/>
        </w:rPr>
        <w:t>Marketing &amp; Operational Efficiency</w:t>
      </w:r>
    </w:p>
    <w:p w14:paraId="127A3C8A" w14:textId="77777777" w:rsidR="00405649" w:rsidRDefault="00000000">
      <w:pPr>
        <w:spacing w:after="160"/>
        <w:jc w:val="both"/>
      </w:pPr>
      <w:r>
        <w:rPr>
          <w:rFonts w:ascii="Malgun Gothic" w:eastAsia="Malgun Gothic" w:hAnsi="Malgun Gothic"/>
          <w:sz w:val="21"/>
        </w:rPr>
        <w:t>Marketing and operational analysis reveals significant efficiency opportunities across multiple dimensions. Promotional campaigns demonstrate strong effectiveness with 58.6% usage rate and 15% average order value lift, generating 62% of total revenue. The top three promotions - NEWCUSTOMER ($1.18M), WEEKEND20 ($1.18M), and FRUITPROMO5 ($1.13M) - show balanced performance across different customer acquisition and retention strategies.</w:t>
      </w:r>
      <w:r>
        <w:rPr>
          <w:rFonts w:ascii="Malgun Gothic" w:eastAsia="Malgun Gothic" w:hAnsi="Malgun Gothic"/>
          <w:sz w:val="21"/>
        </w:rPr>
        <w:br/>
      </w:r>
      <w:r>
        <w:rPr>
          <w:rFonts w:ascii="Malgun Gothic" w:eastAsia="Malgun Gothic" w:hAnsi="Malgun Gothic"/>
          <w:sz w:val="21"/>
        </w:rPr>
        <w:br/>
        <w:t>Customer retention metrics indicate areas for improvement with only 5.9% repeat purchase rate and 31.9% of customers showing churn risk indicators (inactive &gt;10 days). The average basket size of 3.37 items suggests opportunities for cross-selling and bundle strategies to increase transaction value.</w:t>
      </w:r>
    </w:p>
    <w:p w14:paraId="76714103" w14:textId="77777777" w:rsidR="00405649" w:rsidRDefault="00000000">
      <w:pPr>
        <w:spacing w:after="160"/>
        <w:jc w:val="both"/>
      </w:pPr>
      <w:r>
        <w:rPr>
          <w:rFonts w:ascii="Malgun Gothic" w:eastAsia="Malgun Gothic" w:hAnsi="Malgun Gothic"/>
          <w:sz w:val="21"/>
        </w:rPr>
        <w:t>Operational efficiency analysis identifies geographic concentration patterns with the top 5 cities generating 27.9% of revenue, indicating strong market penetration in key areas but also opportunities for geographic expansion. Peak demand patterns show Day 1 of the month generating 20.6% above average revenue, enabling better resource allocation and inventory planning.</w:t>
      </w:r>
      <w:r>
        <w:rPr>
          <w:rFonts w:ascii="Malgun Gothic" w:eastAsia="Malgun Gothic" w:hAnsi="Malgun Gothic"/>
          <w:sz w:val="21"/>
        </w:rPr>
        <w:br/>
      </w:r>
      <w:r>
        <w:rPr>
          <w:rFonts w:ascii="Malgun Gothic" w:eastAsia="Malgun Gothic" w:hAnsi="Malgun Gothic"/>
          <w:sz w:val="21"/>
        </w:rPr>
        <w:br/>
        <w:t>The analysis reveals operational bottlenecks in customer lifecycle management, with 690 customers making only single purchases. This represents a significant operational challenge in converting one-time buyers to repeat customers, requiring enhanced follow-up processes and retention mechanisms.</w:t>
      </w:r>
    </w:p>
    <w:p w14:paraId="71D809D8" w14:textId="77777777" w:rsidR="00405649" w:rsidRDefault="00000000">
      <w:pPr>
        <w:spacing w:after="160"/>
        <w:jc w:val="both"/>
      </w:pPr>
      <w:r>
        <w:rPr>
          <w:rFonts w:ascii="Malgun Gothic" w:eastAsia="Malgun Gothic" w:hAnsi="Malgun Gothic"/>
          <w:sz w:val="21"/>
        </w:rPr>
        <w:t>Key efficiency metrics demonstrate both strengths and improvement areas:</w:t>
      </w:r>
      <w:r>
        <w:rPr>
          <w:rFonts w:ascii="Malgun Gothic" w:eastAsia="Malgun Gothic" w:hAnsi="Malgun Gothic"/>
          <w:sz w:val="21"/>
        </w:rPr>
        <w:br/>
        <w:t xml:space="preserve">    </w:t>
      </w:r>
      <w:r>
        <w:rPr>
          <w:rFonts w:ascii="Malgun Gothic" w:eastAsia="Malgun Gothic" w:hAnsi="Malgun Gothic"/>
          <w:sz w:val="21"/>
        </w:rPr>
        <w:br/>
        <w:t>• Revenue per customer: $22,417 (strong individual customer value)</w:t>
      </w:r>
      <w:r>
        <w:rPr>
          <w:rFonts w:ascii="Malgun Gothic" w:eastAsia="Malgun Gothic" w:hAnsi="Malgun Gothic"/>
          <w:sz w:val="21"/>
        </w:rPr>
        <w:br/>
        <w:t>• Transactions per customer: 1.14 (low repeat engagement)</w:t>
      </w:r>
      <w:r>
        <w:rPr>
          <w:rFonts w:ascii="Malgun Gothic" w:eastAsia="Malgun Gothic" w:hAnsi="Malgun Gothic"/>
          <w:sz w:val="21"/>
        </w:rPr>
        <w:br/>
        <w:t>• Promotion effectiveness: 15% AOV lift with 58.6% usage rate</w:t>
      </w:r>
      <w:r>
        <w:rPr>
          <w:rFonts w:ascii="Malgun Gothic" w:eastAsia="Malgun Gothic" w:hAnsi="Malgun Gothic"/>
          <w:sz w:val="21"/>
        </w:rPr>
        <w:br/>
        <w:t>• Customer concentration: Top 10% generate 27.3% of revenue</w:t>
      </w:r>
      <w:r>
        <w:rPr>
          <w:rFonts w:ascii="Malgun Gothic" w:eastAsia="Malgun Gothic" w:hAnsi="Malgun Gothic"/>
          <w:sz w:val="21"/>
        </w:rPr>
        <w:br/>
        <w:t>• Geographic efficiency: 27.9% revenue from top 5 cities</w:t>
      </w:r>
      <w:r>
        <w:rPr>
          <w:rFonts w:ascii="Malgun Gothic" w:eastAsia="Malgun Gothic" w:hAnsi="Malgun Gothic"/>
          <w:sz w:val="21"/>
        </w:rPr>
        <w:br/>
      </w:r>
      <w:r>
        <w:rPr>
          <w:rFonts w:ascii="Malgun Gothic" w:eastAsia="Malgun Gothic" w:hAnsi="Malgun Gothic"/>
          <w:sz w:val="21"/>
        </w:rPr>
        <w:br/>
        <w:t>These metrics highlight the need for improved customer retention strategies while maintaining the strong per-transaction value that characterizes the current business model.</w:t>
      </w:r>
    </w:p>
    <w:p w14:paraId="07FEAA1E" w14:textId="77777777" w:rsidR="00405649" w:rsidRDefault="00000000">
      <w:pPr>
        <w:pStyle w:val="Heading2"/>
      </w:pPr>
      <w:r>
        <w:rPr>
          <w:rFonts w:ascii="Malgun Gothic" w:eastAsia="Malgun Gothic" w:hAnsi="Malgun Gothic"/>
          <w:color w:val="34495E"/>
          <w:sz w:val="36"/>
        </w:rPr>
        <w:t>3 Actionable Strategies for Next Month's Sales Growth</w:t>
      </w:r>
    </w:p>
    <w:p w14:paraId="4FD1041C" w14:textId="77777777" w:rsidR="00405649" w:rsidRDefault="00000000">
      <w:pPr>
        <w:jc w:val="center"/>
      </w:pPr>
      <w:r>
        <w:rPr>
          <w:noProof/>
        </w:rPr>
        <w:drawing>
          <wp:inline distT="0" distB="0" distL="0" distR="0" wp14:anchorId="2D48C4D6" wp14:editId="5BB41F81">
            <wp:extent cx="5029200" cy="312075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ategy_impact.png"/>
                    <pic:cNvPicPr/>
                  </pic:nvPicPr>
                  <pic:blipFill>
                    <a:blip r:embed="rId11"/>
                    <a:stretch>
                      <a:fillRect/>
                    </a:stretch>
                  </pic:blipFill>
                  <pic:spPr>
                    <a:xfrm>
                      <a:off x="0" y="0"/>
                      <a:ext cx="5029200" cy="3120751"/>
                    </a:xfrm>
                    <a:prstGeom prst="rect">
                      <a:avLst/>
                    </a:prstGeom>
                  </pic:spPr>
                </pic:pic>
              </a:graphicData>
            </a:graphic>
          </wp:inline>
        </w:drawing>
      </w:r>
    </w:p>
    <w:p w14:paraId="20977D64" w14:textId="77777777" w:rsidR="00405649" w:rsidRDefault="00000000">
      <w:pPr>
        <w:jc w:val="center"/>
      </w:pPr>
      <w:r>
        <w:rPr>
          <w:rFonts w:ascii="Malgun Gothic" w:eastAsia="Malgun Gothic" w:hAnsi="Malgun Gothic"/>
          <w:i/>
          <w:color w:val="7F8C8D"/>
          <w:sz w:val="18"/>
        </w:rPr>
        <w:t>Figure 6: Strategic Impact Projection - Expected revenue uplift from three prioritized strategies totaling $3.11M (19% increase)</w:t>
      </w:r>
    </w:p>
    <w:p w14:paraId="6EB22949" w14:textId="77777777" w:rsidR="00405649" w:rsidRDefault="00000000">
      <w:pPr>
        <w:spacing w:after="160"/>
        <w:jc w:val="both"/>
      </w:pPr>
      <w:r>
        <w:rPr>
          <w:rFonts w:ascii="Malgun Gothic" w:eastAsia="Malgun Gothic" w:hAnsi="Malgun Gothic"/>
          <w:sz w:val="21"/>
        </w:rPr>
        <w:t>Based on comprehensive data analysis, three high-impact strategies have been identified that can deliver $3.11M in incremental revenue (19% uplift) within the next month. These strategies target the most significant opportunities identified in customer segmentation, retention, and promotional effectiveness analysis.</w:t>
      </w:r>
    </w:p>
    <w:p w14:paraId="43E6CC0E" w14:textId="77777777" w:rsidR="00405649" w:rsidRDefault="00000000">
      <w:pPr>
        <w:pStyle w:val="Heading3"/>
      </w:pPr>
      <w:r>
        <w:rPr>
          <w:rFonts w:ascii="Malgun Gothic" w:eastAsia="Malgun Gothic" w:hAnsi="Malgun Gothic"/>
          <w:color w:val="2C3E50"/>
          <w:sz w:val="32"/>
        </w:rPr>
        <w:t>Strategy #1: Re-engage At-Risk Customers [HIGH PRIORITY]</w:t>
      </w:r>
    </w:p>
    <w:p w14:paraId="082F1C91" w14:textId="77777777" w:rsidR="00405649" w:rsidRDefault="00000000">
      <w:pPr>
        <w:spacing w:after="160"/>
        <w:jc w:val="both"/>
      </w:pPr>
      <w:r>
        <w:rPr>
          <w:rFonts w:ascii="Malgun Gothic" w:eastAsia="Malgun Gothic" w:hAnsi="Malgun Gothic"/>
          <w:sz w:val="21"/>
        </w:rPr>
        <w:t>Expected Impact: $573,246 (3.5% uplift) | Timeline: Week 1-2</w:t>
      </w:r>
      <w:r>
        <w:rPr>
          <w:rFonts w:ascii="Malgun Gothic" w:eastAsia="Malgun Gothic" w:hAnsi="Malgun Gothic"/>
          <w:sz w:val="21"/>
        </w:rPr>
        <w:br/>
      </w:r>
      <w:r>
        <w:rPr>
          <w:rFonts w:ascii="Malgun Gothic" w:eastAsia="Malgun Gothic" w:hAnsi="Malgun Gothic"/>
          <w:sz w:val="21"/>
        </w:rPr>
        <w:br/>
        <w:t>Target Audience: 242 at-risk customers representing $3.82M in historical revenue</w:t>
      </w:r>
      <w:r>
        <w:rPr>
          <w:rFonts w:ascii="Malgun Gothic" w:eastAsia="Malgun Gothic" w:hAnsi="Malgun Gothic"/>
          <w:sz w:val="21"/>
        </w:rPr>
        <w:br/>
      </w:r>
      <w:r>
        <w:rPr>
          <w:rFonts w:ascii="Malgun Gothic" w:eastAsia="Malgun Gothic" w:hAnsi="Malgun Gothic"/>
          <w:sz w:val="21"/>
        </w:rPr>
        <w:br/>
        <w:t>Implementation Plan:</w:t>
      </w:r>
      <w:r>
        <w:rPr>
          <w:rFonts w:ascii="Malgun Gothic" w:eastAsia="Malgun Gothic" w:hAnsi="Malgun Gothic"/>
          <w:sz w:val="21"/>
        </w:rPr>
        <w:br/>
        <w:t>• Launch 3-wave personalized win-back campaign targeting customers inactive &gt;10 days</w:t>
      </w:r>
      <w:r>
        <w:rPr>
          <w:rFonts w:ascii="Malgun Gothic" w:eastAsia="Malgun Gothic" w:hAnsi="Malgun Gothic"/>
          <w:sz w:val="21"/>
        </w:rPr>
        <w:br/>
        <w:t>• Segment customers by purchase history and send category-specific offers</w:t>
      </w:r>
      <w:r>
        <w:rPr>
          <w:rFonts w:ascii="Malgun Gothic" w:eastAsia="Malgun Gothic" w:hAnsi="Malgun Gothic"/>
          <w:sz w:val="21"/>
        </w:rPr>
        <w:br/>
        <w:t>• Offer 20-25% discount + free shipping valid for 7 days</w:t>
      </w:r>
      <w:r>
        <w:rPr>
          <w:rFonts w:ascii="Malgun Gothic" w:eastAsia="Malgun Gothic" w:hAnsi="Malgun Gothic"/>
          <w:sz w:val="21"/>
        </w:rPr>
        <w:br/>
        <w:t>• Multi-channel approach: Email (Day 1) → SMS (Day 3) → Final reminder (Day 7)</w:t>
      </w:r>
      <w:r>
        <w:rPr>
          <w:rFonts w:ascii="Malgun Gothic" w:eastAsia="Malgun Gothic" w:hAnsi="Malgun Gothic"/>
          <w:sz w:val="21"/>
        </w:rPr>
        <w:br/>
      </w:r>
      <w:r>
        <w:rPr>
          <w:rFonts w:ascii="Malgun Gothic" w:eastAsia="Malgun Gothic" w:hAnsi="Malgun Gothic"/>
          <w:sz w:val="21"/>
        </w:rPr>
        <w:br/>
        <w:t>Success Metrics:</w:t>
      </w:r>
      <w:r>
        <w:rPr>
          <w:rFonts w:ascii="Malgun Gothic" w:eastAsia="Malgun Gothic" w:hAnsi="Malgun Gothic"/>
          <w:sz w:val="21"/>
        </w:rPr>
        <w:br/>
        <w:t>• Target: Reactivate 72 customers (30% response rate)</w:t>
      </w:r>
      <w:r>
        <w:rPr>
          <w:rFonts w:ascii="Malgun Gothic" w:eastAsia="Malgun Gothic" w:hAnsi="Malgun Gothic"/>
          <w:sz w:val="21"/>
        </w:rPr>
        <w:br/>
        <w:t>• Reduce overall churn rate from 31.9% to &lt;25%</w:t>
      </w:r>
      <w:r>
        <w:rPr>
          <w:rFonts w:ascii="Malgun Gothic" w:eastAsia="Malgun Gothic" w:hAnsi="Malgun Gothic"/>
          <w:sz w:val="21"/>
        </w:rPr>
        <w:br/>
        <w:t>• Average reactivated customer value: $7,962</w:t>
      </w:r>
      <w:r>
        <w:rPr>
          <w:rFonts w:ascii="Malgun Gothic" w:eastAsia="Malgun Gothic" w:hAnsi="Malgun Gothic"/>
          <w:sz w:val="21"/>
        </w:rPr>
        <w:br/>
      </w:r>
      <w:r>
        <w:rPr>
          <w:rFonts w:ascii="Malgun Gothic" w:eastAsia="Malgun Gothic" w:hAnsi="Malgun Gothic"/>
          <w:sz w:val="21"/>
        </w:rPr>
        <w:br/>
        <w:t>This strategy addresses the immediate risk of customer churn while leveraging proven promotional mechanisms that have shown 15% AOV lift effectiveness.</w:t>
      </w:r>
    </w:p>
    <w:p w14:paraId="1267943C" w14:textId="77777777" w:rsidR="00405649" w:rsidRDefault="00000000">
      <w:pPr>
        <w:pStyle w:val="Heading3"/>
      </w:pPr>
      <w:r>
        <w:rPr>
          <w:rFonts w:ascii="Malgun Gothic" w:eastAsia="Malgun Gothic" w:hAnsi="Malgun Gothic"/>
          <w:color w:val="2C3E50"/>
          <w:sz w:val="32"/>
        </w:rPr>
        <w:t>Strategy #2: Convert One-Time Buyers to Repeat Customers [HIGH PRIORITY]</w:t>
      </w:r>
    </w:p>
    <w:p w14:paraId="2AAE860F" w14:textId="77777777" w:rsidR="00405649" w:rsidRDefault="00000000">
      <w:pPr>
        <w:spacing w:after="160"/>
        <w:jc w:val="both"/>
      </w:pPr>
      <w:r>
        <w:rPr>
          <w:rFonts w:ascii="Malgun Gothic" w:eastAsia="Malgun Gothic" w:hAnsi="Malgun Gothic"/>
          <w:sz w:val="21"/>
        </w:rPr>
        <w:t>Expected Impact: $1,490,000 (9.1% uplift) | Timeline: Week 2-4</w:t>
      </w:r>
      <w:r>
        <w:rPr>
          <w:rFonts w:ascii="Malgun Gothic" w:eastAsia="Malgun Gothic" w:hAnsi="Malgun Gothic"/>
          <w:sz w:val="21"/>
        </w:rPr>
        <w:br/>
      </w:r>
      <w:r>
        <w:rPr>
          <w:rFonts w:ascii="Malgun Gothic" w:eastAsia="Malgun Gothic" w:hAnsi="Malgun Gothic"/>
          <w:sz w:val="21"/>
        </w:rPr>
        <w:br/>
        <w:t>Target Audience: 690 one-time customers with 5.9% current repeat rate</w:t>
      </w:r>
      <w:r>
        <w:rPr>
          <w:rFonts w:ascii="Malgun Gothic" w:eastAsia="Malgun Gothic" w:hAnsi="Malgun Gothic"/>
          <w:sz w:val="21"/>
        </w:rPr>
        <w:br/>
      </w:r>
      <w:r>
        <w:rPr>
          <w:rFonts w:ascii="Malgun Gothic" w:eastAsia="Malgun Gothic" w:hAnsi="Malgun Gothic"/>
          <w:sz w:val="21"/>
        </w:rPr>
        <w:br/>
        <w:t>Implementation Plan:</w:t>
      </w:r>
      <w:r>
        <w:rPr>
          <w:rFonts w:ascii="Malgun Gothic" w:eastAsia="Malgun Gothic" w:hAnsi="Malgun Gothic"/>
          <w:sz w:val="21"/>
        </w:rPr>
        <w:br/>
        <w:t>• Deploy automated follow-up sequence for customers 3-7 days post-purchase</w:t>
      </w:r>
      <w:r>
        <w:rPr>
          <w:rFonts w:ascii="Malgun Gothic" w:eastAsia="Malgun Gothic" w:hAnsi="Malgun Gothic"/>
          <w:sz w:val="21"/>
        </w:rPr>
        <w:br/>
        <w:t>• Personalized product recommendations based on initial purchase category</w:t>
      </w:r>
      <w:r>
        <w:rPr>
          <w:rFonts w:ascii="Malgun Gothic" w:eastAsia="Malgun Gothic" w:hAnsi="Malgun Gothic"/>
          <w:sz w:val="21"/>
        </w:rPr>
        <w:br/>
        <w:t>• Progressive incentive structure: 10% (Week 1) → 15% (Week 2) → 20% (Week 3)</w:t>
      </w:r>
      <w:r>
        <w:rPr>
          <w:rFonts w:ascii="Malgun Gothic" w:eastAsia="Malgun Gothic" w:hAnsi="Malgun Gothic"/>
          <w:sz w:val="21"/>
        </w:rPr>
        <w:br/>
        <w:t>• Category-specific cross-selling campaigns targeting complementary products</w:t>
      </w:r>
      <w:r>
        <w:rPr>
          <w:rFonts w:ascii="Malgun Gothic" w:eastAsia="Malgun Gothic" w:hAnsi="Malgun Gothic"/>
          <w:sz w:val="21"/>
        </w:rPr>
        <w:br/>
      </w:r>
      <w:r>
        <w:rPr>
          <w:rFonts w:ascii="Malgun Gothic" w:eastAsia="Malgun Gothic" w:hAnsi="Malgun Gothic"/>
          <w:sz w:val="21"/>
        </w:rPr>
        <w:br/>
        <w:t>Success Metrics:</w:t>
      </w:r>
      <w:r>
        <w:rPr>
          <w:rFonts w:ascii="Malgun Gothic" w:eastAsia="Malgun Gothic" w:hAnsi="Malgun Gothic"/>
          <w:sz w:val="21"/>
        </w:rPr>
        <w:br/>
        <w:t>• Target: Convert 69 customers (10% conversion rate improvement)</w:t>
      </w:r>
      <w:r>
        <w:rPr>
          <w:rFonts w:ascii="Malgun Gothic" w:eastAsia="Malgun Gothic" w:hAnsi="Malgun Gothic"/>
          <w:sz w:val="21"/>
        </w:rPr>
        <w:br/>
        <w:t>• Increase repeat purchase rate from 5.9% to 15.9%</w:t>
      </w:r>
      <w:r>
        <w:rPr>
          <w:rFonts w:ascii="Malgun Gothic" w:eastAsia="Malgun Gothic" w:hAnsi="Malgun Gothic"/>
          <w:sz w:val="21"/>
        </w:rPr>
        <w:br/>
        <w:t>• Average repeat customer value: $21,594</w:t>
      </w:r>
      <w:r>
        <w:rPr>
          <w:rFonts w:ascii="Malgun Gothic" w:eastAsia="Malgun Gothic" w:hAnsi="Malgun Gothic"/>
          <w:sz w:val="21"/>
        </w:rPr>
        <w:br/>
      </w:r>
      <w:r>
        <w:rPr>
          <w:rFonts w:ascii="Malgun Gothic" w:eastAsia="Malgun Gothic" w:hAnsi="Malgun Gothic"/>
          <w:sz w:val="21"/>
        </w:rPr>
        <w:br/>
        <w:t>This strategy targets the largest opportunity identified in the analysis, addressing the critical gap in customer retention that represents the highest potential revenue impact.</w:t>
      </w:r>
    </w:p>
    <w:p w14:paraId="0459B323" w14:textId="77777777" w:rsidR="00405649" w:rsidRDefault="00000000">
      <w:pPr>
        <w:pStyle w:val="Heading3"/>
      </w:pPr>
      <w:r>
        <w:rPr>
          <w:rFonts w:ascii="Malgun Gothic" w:eastAsia="Malgun Gothic" w:hAnsi="Malgun Gothic"/>
          <w:color w:val="2C3E50"/>
          <w:sz w:val="32"/>
        </w:rPr>
        <w:t>Strategy #3: Expand High-Performing Promotional Reach [MEDIUM PRIORITY]</w:t>
      </w:r>
    </w:p>
    <w:p w14:paraId="0039F659" w14:textId="77777777" w:rsidR="00405649" w:rsidRDefault="00000000">
      <w:pPr>
        <w:spacing w:after="160"/>
        <w:jc w:val="both"/>
      </w:pPr>
      <w:r>
        <w:rPr>
          <w:rFonts w:ascii="Malgun Gothic" w:eastAsia="Malgun Gothic" w:hAnsi="Malgun Gothic"/>
          <w:sz w:val="21"/>
        </w:rPr>
        <w:t>Expected Impact: $1,050,000 (6.4% uplift) | Timeline: Week 1-4</w:t>
      </w:r>
      <w:r>
        <w:rPr>
          <w:rFonts w:ascii="Malgun Gothic" w:eastAsia="Malgun Gothic" w:hAnsi="Malgun Gothic"/>
          <w:sz w:val="21"/>
        </w:rPr>
        <w:br/>
      </w:r>
      <w:r>
        <w:rPr>
          <w:rFonts w:ascii="Malgun Gothic" w:eastAsia="Malgun Gothic" w:hAnsi="Malgun Gothic"/>
          <w:sz w:val="21"/>
        </w:rPr>
        <w:br/>
        <w:t>Target Audience: Non-promotional customers and underutilized promotional channels</w:t>
      </w:r>
      <w:r>
        <w:rPr>
          <w:rFonts w:ascii="Malgun Gothic" w:eastAsia="Malgun Gothic" w:hAnsi="Malgun Gothic"/>
          <w:sz w:val="21"/>
        </w:rPr>
        <w:br/>
      </w:r>
      <w:r>
        <w:rPr>
          <w:rFonts w:ascii="Malgun Gothic" w:eastAsia="Malgun Gothic" w:hAnsi="Malgun Gothic"/>
          <w:sz w:val="21"/>
        </w:rPr>
        <w:br/>
        <w:t>Implementation Plan:</w:t>
      </w:r>
      <w:r>
        <w:rPr>
          <w:rFonts w:ascii="Malgun Gothic" w:eastAsia="Malgun Gothic" w:hAnsi="Malgun Gothic"/>
          <w:sz w:val="21"/>
        </w:rPr>
        <w:br/>
        <w:t>• Expand promotional reach from 58.6% to 75% of customer base</w:t>
      </w:r>
      <w:r>
        <w:rPr>
          <w:rFonts w:ascii="Malgun Gothic" w:eastAsia="Malgun Gothic" w:hAnsi="Malgun Gothic"/>
          <w:sz w:val="21"/>
        </w:rPr>
        <w:br/>
        <w:t>• Launch category-specific promotions for top 3 revenue-driving categories</w:t>
      </w:r>
      <w:r>
        <w:rPr>
          <w:rFonts w:ascii="Malgun Gothic" w:eastAsia="Malgun Gothic" w:hAnsi="Malgun Gothic"/>
          <w:sz w:val="21"/>
        </w:rPr>
        <w:br/>
        <w:t>• Implement dynamic pricing for Ready Meal/Meal Kit/Salad category (18.6% of revenue)</w:t>
      </w:r>
      <w:r>
        <w:rPr>
          <w:rFonts w:ascii="Malgun Gothic" w:eastAsia="Malgun Gothic" w:hAnsi="Malgun Gothic"/>
          <w:sz w:val="21"/>
        </w:rPr>
        <w:br/>
        <w:t>• A/B test promotional messaging and discount levels</w:t>
      </w:r>
      <w:r>
        <w:rPr>
          <w:rFonts w:ascii="Malgun Gothic" w:eastAsia="Malgun Gothic" w:hAnsi="Malgun Gothic"/>
          <w:sz w:val="21"/>
        </w:rPr>
        <w:br/>
      </w:r>
      <w:r>
        <w:rPr>
          <w:rFonts w:ascii="Malgun Gothic" w:eastAsia="Malgun Gothic" w:hAnsi="Malgun Gothic"/>
          <w:sz w:val="21"/>
        </w:rPr>
        <w:br/>
        <w:t>Success Metrics:</w:t>
      </w:r>
      <w:r>
        <w:rPr>
          <w:rFonts w:ascii="Malgun Gothic" w:eastAsia="Malgun Gothic" w:hAnsi="Malgun Gothic"/>
          <w:sz w:val="21"/>
        </w:rPr>
        <w:br/>
        <w:t>• Increase promotional participation from 58.6% to 75%</w:t>
      </w:r>
      <w:r>
        <w:rPr>
          <w:rFonts w:ascii="Malgun Gothic" w:eastAsia="Malgun Gothic" w:hAnsi="Malgun Gothic"/>
          <w:sz w:val="21"/>
        </w:rPr>
        <w:br/>
        <w:t>• Maintain 15% AOV lift while expanding reach</w:t>
      </w:r>
      <w:r>
        <w:rPr>
          <w:rFonts w:ascii="Malgun Gothic" w:eastAsia="Malgun Gothic" w:hAnsi="Malgun Gothic"/>
          <w:sz w:val="21"/>
        </w:rPr>
        <w:br/>
        <w:t>• Target additional $1.05M from expanded promotional activity</w:t>
      </w:r>
      <w:r>
        <w:rPr>
          <w:rFonts w:ascii="Malgun Gothic" w:eastAsia="Malgun Gothic" w:hAnsi="Malgun Gothic"/>
          <w:sz w:val="21"/>
        </w:rPr>
        <w:br/>
      </w:r>
      <w:r>
        <w:rPr>
          <w:rFonts w:ascii="Malgun Gothic" w:eastAsia="Malgun Gothic" w:hAnsi="Malgun Gothic"/>
          <w:sz w:val="21"/>
        </w:rPr>
        <w:br/>
        <w:t>This strategy leverages the proven effectiveness of promotional campaigns while expanding their reach to capture additional revenue from currently non-promotional customers.</w:t>
      </w:r>
    </w:p>
    <w:p w14:paraId="4AAC6363" w14:textId="77777777" w:rsidR="00405649" w:rsidRDefault="00000000">
      <w:pPr>
        <w:pStyle w:val="Heading3"/>
      </w:pPr>
      <w:r>
        <w:rPr>
          <w:rFonts w:ascii="Malgun Gothic" w:eastAsia="Malgun Gothic" w:hAnsi="Malgun Gothic"/>
          <w:color w:val="2C3E50"/>
          <w:sz w:val="32"/>
        </w:rPr>
        <w:t>Implementation Timeline &amp; Resource Requirements</w:t>
      </w:r>
    </w:p>
    <w:p w14:paraId="526DA980" w14:textId="77777777" w:rsidR="00405649" w:rsidRDefault="00000000">
      <w:pPr>
        <w:spacing w:after="160"/>
        <w:jc w:val="both"/>
      </w:pPr>
      <w:r>
        <w:rPr>
          <w:rFonts w:ascii="Malgun Gothic" w:eastAsia="Malgun Gothic" w:hAnsi="Malgun Gothic"/>
          <w:sz w:val="21"/>
        </w:rPr>
        <w:t>Week 1: Launch Strategy #1 (At-Risk Re-engagement) and begin Strategy #3 (Promotional Expansion)</w:t>
      </w:r>
      <w:r>
        <w:rPr>
          <w:rFonts w:ascii="Malgun Gothic" w:eastAsia="Malgun Gothic" w:hAnsi="Malgun Gothic"/>
          <w:sz w:val="21"/>
        </w:rPr>
        <w:br/>
        <w:t>Week 2: Deploy Strategy #2 (One-Time Buyer Conversion) while monitoring Strategy #1 results</w:t>
      </w:r>
      <w:r>
        <w:rPr>
          <w:rFonts w:ascii="Malgun Gothic" w:eastAsia="Malgun Gothic" w:hAnsi="Malgun Gothic"/>
          <w:sz w:val="21"/>
        </w:rPr>
        <w:br/>
        <w:t>Week 3-4: Full execution of all strategies with continuous optimization based on performance data</w:t>
      </w:r>
      <w:r>
        <w:rPr>
          <w:rFonts w:ascii="Malgun Gothic" w:eastAsia="Malgun Gothic" w:hAnsi="Malgun Gothic"/>
          <w:sz w:val="21"/>
        </w:rPr>
        <w:br/>
      </w:r>
      <w:r>
        <w:rPr>
          <w:rFonts w:ascii="Malgun Gothic" w:eastAsia="Malgun Gothic" w:hAnsi="Malgun Gothic"/>
          <w:sz w:val="21"/>
        </w:rPr>
        <w:br/>
        <w:t>Resource Requirements:</w:t>
      </w:r>
      <w:r>
        <w:rPr>
          <w:rFonts w:ascii="Malgun Gothic" w:eastAsia="Malgun Gothic" w:hAnsi="Malgun Gothic"/>
          <w:sz w:val="21"/>
        </w:rPr>
        <w:br/>
        <w:t>• Marketing automation platform for multi-channel campaigns</w:t>
      </w:r>
      <w:r>
        <w:rPr>
          <w:rFonts w:ascii="Malgun Gothic" w:eastAsia="Malgun Gothic" w:hAnsi="Malgun Gothic"/>
          <w:sz w:val="21"/>
        </w:rPr>
        <w:br/>
        <w:t>• Customer segmentation and targeting capabilities</w:t>
      </w:r>
      <w:r>
        <w:rPr>
          <w:rFonts w:ascii="Malgun Gothic" w:eastAsia="Malgun Gothic" w:hAnsi="Malgun Gothic"/>
          <w:sz w:val="21"/>
        </w:rPr>
        <w:br/>
        <w:t>• Real-time performance tracking and analytics</w:t>
      </w:r>
      <w:r>
        <w:rPr>
          <w:rFonts w:ascii="Malgun Gothic" w:eastAsia="Malgun Gothic" w:hAnsi="Malgun Gothic"/>
          <w:sz w:val="21"/>
        </w:rPr>
        <w:br/>
        <w:t>• Customer service support for increased engagement volume</w:t>
      </w:r>
      <w:r>
        <w:rPr>
          <w:rFonts w:ascii="Malgun Gothic" w:eastAsia="Malgun Gothic" w:hAnsi="Malgun Gothic"/>
          <w:sz w:val="21"/>
        </w:rPr>
        <w:br/>
      </w:r>
      <w:r>
        <w:rPr>
          <w:rFonts w:ascii="Malgun Gothic" w:eastAsia="Malgun Gothic" w:hAnsi="Malgun Gothic"/>
          <w:sz w:val="21"/>
        </w:rPr>
        <w:br/>
        <w:t>Expected Combined Impact: $3.11M incremental revenue (19% uplift) with strategies designed to compound over time for sustained growth beyond the initial month.</w:t>
      </w:r>
    </w:p>
    <w:p w14:paraId="540C883D" w14:textId="77777777" w:rsidR="00405649" w:rsidRDefault="00000000">
      <w:pPr>
        <w:pStyle w:val="Heading2"/>
      </w:pPr>
      <w:r>
        <w:rPr>
          <w:rFonts w:ascii="Malgun Gothic" w:eastAsia="Malgun Gothic" w:hAnsi="Malgun Gothic"/>
          <w:color w:val="34495E"/>
          <w:sz w:val="36"/>
        </w:rPr>
        <w:t>Appendix</w:t>
      </w:r>
    </w:p>
    <w:p w14:paraId="7FD365D9" w14:textId="77777777" w:rsidR="00405649" w:rsidRDefault="00000000">
      <w:pPr>
        <w:pStyle w:val="Heading3"/>
      </w:pPr>
      <w:r>
        <w:rPr>
          <w:rFonts w:ascii="Malgun Gothic" w:eastAsia="Malgun Gothic" w:hAnsi="Malgun Gothic"/>
          <w:color w:val="2C3E50"/>
          <w:sz w:val="32"/>
        </w:rPr>
        <w:t>Methodology</w:t>
      </w:r>
    </w:p>
    <w:p w14:paraId="6BF71FEE" w14:textId="77777777" w:rsidR="00405649" w:rsidRDefault="00000000">
      <w:pPr>
        <w:spacing w:after="160"/>
        <w:jc w:val="both"/>
      </w:pPr>
      <w:r>
        <w:rPr>
          <w:rFonts w:ascii="Malgun Gothic" w:eastAsia="Malgun Gothic" w:hAnsi="Malgun Gothic"/>
          <w:sz w:val="21"/>
        </w:rPr>
        <w:t>This analysis employed comprehensive data science methodologies to extract actionable business insights:</w:t>
      </w:r>
      <w:r>
        <w:rPr>
          <w:rFonts w:ascii="Malgun Gothic" w:eastAsia="Malgun Gothic" w:hAnsi="Malgun Gothic"/>
          <w:sz w:val="21"/>
        </w:rPr>
        <w:br/>
      </w:r>
      <w:r>
        <w:rPr>
          <w:rFonts w:ascii="Malgun Gothic" w:eastAsia="Malgun Gothic" w:hAnsi="Malgun Gothic"/>
          <w:sz w:val="21"/>
        </w:rPr>
        <w:br/>
        <w:t>RFM Analysis: Customer segmentation using Recency (days since last purchase), Frequency (number of transactions), and Monetary (total spend) values. Customers were scored 1-5 on each dimension and classified into 8 segments: Champions, Loyal Customers, Potential Loyalists, Recent Customers, Promising, Need Attention, At Risk, and Hibernating.</w:t>
      </w:r>
      <w:r>
        <w:rPr>
          <w:rFonts w:ascii="Malgun Gothic" w:eastAsia="Malgun Gothic" w:hAnsi="Malgun Gothic"/>
          <w:sz w:val="21"/>
        </w:rPr>
        <w:br/>
      </w:r>
      <w:r>
        <w:rPr>
          <w:rFonts w:ascii="Malgun Gothic" w:eastAsia="Malgun Gothic" w:hAnsi="Malgun Gothic"/>
          <w:sz w:val="21"/>
        </w:rPr>
        <w:br/>
        <w:t>Revenue Analysis: Time-series analysis of daily revenue patterns, category performance evaluation, and promotional impact assessment using statistical correlation and uplift calculations.</w:t>
      </w:r>
      <w:r>
        <w:rPr>
          <w:rFonts w:ascii="Malgun Gothic" w:eastAsia="Malgun Gothic" w:hAnsi="Malgun Gothic"/>
          <w:sz w:val="21"/>
        </w:rPr>
        <w:br/>
      </w:r>
      <w:r>
        <w:rPr>
          <w:rFonts w:ascii="Malgun Gothic" w:eastAsia="Malgun Gothic" w:hAnsi="Malgun Gothic"/>
          <w:sz w:val="21"/>
        </w:rPr>
        <w:br/>
        <w:t>Customer Behavior Analysis: Cohort analysis for retention rates, basket analysis for cross-selling opportunities, and churn prediction modeling based on recency and engagement patterns.</w:t>
      </w:r>
      <w:r>
        <w:rPr>
          <w:rFonts w:ascii="Malgun Gothic" w:eastAsia="Malgun Gothic" w:hAnsi="Malgun Gothic"/>
          <w:sz w:val="21"/>
        </w:rPr>
        <w:br/>
      </w:r>
      <w:r>
        <w:rPr>
          <w:rFonts w:ascii="Malgun Gothic" w:eastAsia="Malgun Gothic" w:hAnsi="Malgun Gothic"/>
          <w:sz w:val="21"/>
        </w:rPr>
        <w:br/>
        <w:t>Forecasting Methodology: Impact projections based on historical performance data, industry benchmarks for conversion rates, and statistical confidence intervals for strategy effectiveness estimates.</w:t>
      </w:r>
    </w:p>
    <w:p w14:paraId="0290CF19" w14:textId="77777777" w:rsidR="00405649" w:rsidRDefault="00000000">
      <w:pPr>
        <w:pStyle w:val="Heading3"/>
      </w:pPr>
      <w:r>
        <w:rPr>
          <w:rFonts w:ascii="Malgun Gothic" w:eastAsia="Malgun Gothic" w:hAnsi="Malgun Gothic"/>
          <w:color w:val="2C3E50"/>
          <w:sz w:val="32"/>
        </w:rPr>
        <w:t>Data Sources</w:t>
      </w:r>
    </w:p>
    <w:p w14:paraId="08659946" w14:textId="77777777" w:rsidR="00405649" w:rsidRDefault="00000000">
      <w:pPr>
        <w:spacing w:after="160"/>
        <w:jc w:val="both"/>
      </w:pPr>
      <w:r>
        <w:rPr>
          <w:rFonts w:ascii="Malgun Gothic" w:eastAsia="Malgun Gothic" w:hAnsi="Malgun Gothic"/>
          <w:sz w:val="21"/>
        </w:rPr>
        <w:t>Primary Data Source: moon-market-fresh-food-sales_en.csv</w:t>
      </w:r>
      <w:r>
        <w:rPr>
          <w:rFonts w:ascii="Malgun Gothic" w:eastAsia="Malgun Gothic" w:hAnsi="Malgun Gothic"/>
          <w:sz w:val="21"/>
        </w:rPr>
        <w:br/>
        <w:t>• Analysis Period: May 1-9, 2025 (14 days)</w:t>
      </w:r>
      <w:r>
        <w:rPr>
          <w:rFonts w:ascii="Malgun Gothic" w:eastAsia="Malgun Gothic" w:hAnsi="Malgun Gothic"/>
          <w:sz w:val="21"/>
        </w:rPr>
        <w:br/>
        <w:t>• Total Records: 836 transactions</w:t>
      </w:r>
      <w:r>
        <w:rPr>
          <w:rFonts w:ascii="Malgun Gothic" w:eastAsia="Malgun Gothic" w:hAnsi="Malgun Gothic"/>
          <w:sz w:val="21"/>
        </w:rPr>
        <w:br/>
        <w:t>• Data Completeness: 95.9% (346 missing values in promotions field)</w:t>
      </w:r>
      <w:r>
        <w:rPr>
          <w:rFonts w:ascii="Malgun Gothic" w:eastAsia="Malgun Gothic" w:hAnsi="Malgun Gothic"/>
          <w:sz w:val="21"/>
        </w:rPr>
        <w:br/>
        <w:t>• Key Variables: CustomerID, TransactionDate, ProductCategory, Revenue, PromotionCode, City</w:t>
      </w:r>
      <w:r>
        <w:rPr>
          <w:rFonts w:ascii="Malgun Gothic" w:eastAsia="Malgun Gothic" w:hAnsi="Malgun Gothic"/>
          <w:sz w:val="21"/>
        </w:rPr>
        <w:br/>
      </w:r>
      <w:r>
        <w:rPr>
          <w:rFonts w:ascii="Malgun Gothic" w:eastAsia="Malgun Gothic" w:hAnsi="Malgun Gothic"/>
          <w:sz w:val="21"/>
        </w:rPr>
        <w:br/>
        <w:t>Data Quality Assessment:</w:t>
      </w:r>
      <w:r>
        <w:rPr>
          <w:rFonts w:ascii="Malgun Gothic" w:eastAsia="Malgun Gothic" w:hAnsi="Malgun Gothic"/>
          <w:sz w:val="21"/>
        </w:rPr>
        <w:br/>
        <w:t>• No duplicate transactions identified</w:t>
      </w:r>
      <w:r>
        <w:rPr>
          <w:rFonts w:ascii="Malgun Gothic" w:eastAsia="Malgun Gothic" w:hAnsi="Malgun Gothic"/>
          <w:sz w:val="21"/>
        </w:rPr>
        <w:br/>
        <w:t>• Revenue values validated for consistency and outliers</w:t>
      </w:r>
      <w:r>
        <w:rPr>
          <w:rFonts w:ascii="Malgun Gothic" w:eastAsia="Malgun Gothic" w:hAnsi="Malgun Gothic"/>
          <w:sz w:val="21"/>
        </w:rPr>
        <w:br/>
        <w:t>• Date ranges confirmed within expected parameters</w:t>
      </w:r>
      <w:r>
        <w:rPr>
          <w:rFonts w:ascii="Malgun Gothic" w:eastAsia="Malgun Gothic" w:hAnsi="Malgun Gothic"/>
          <w:sz w:val="21"/>
        </w:rPr>
        <w:br/>
        <w:t>• Geographic data standardized for analysis</w:t>
      </w:r>
      <w:r>
        <w:rPr>
          <w:rFonts w:ascii="Malgun Gothic" w:eastAsia="Malgun Gothic" w:hAnsi="Malgun Gothic"/>
          <w:sz w:val="21"/>
        </w:rPr>
        <w:br/>
      </w:r>
      <w:r>
        <w:rPr>
          <w:rFonts w:ascii="Malgun Gothic" w:eastAsia="Malgun Gothic" w:hAnsi="Malgun Gothic"/>
          <w:sz w:val="21"/>
        </w:rPr>
        <w:br/>
        <w:t>Calculation Validation: All key metrics were independently verified through multiple calculation methods and cross-referenced with source data to ensure accuracy and reliability.</w:t>
      </w:r>
    </w:p>
    <w:p w14:paraId="3CB5C5D5" w14:textId="77777777" w:rsidR="00405649" w:rsidRDefault="00000000">
      <w:pPr>
        <w:pStyle w:val="Heading3"/>
      </w:pPr>
      <w:r>
        <w:rPr>
          <w:rFonts w:ascii="Malgun Gothic" w:eastAsia="Malgun Gothic" w:hAnsi="Malgun Gothic"/>
          <w:color w:val="2C3E50"/>
          <w:sz w:val="32"/>
        </w:rPr>
        <w:t>Key Metrics Summary</w:t>
      </w:r>
    </w:p>
    <w:p w14:paraId="24735E14" w14:textId="77777777" w:rsidR="00405649" w:rsidRDefault="00000000">
      <w:pPr>
        <w:spacing w:after="160"/>
        <w:jc w:val="both"/>
      </w:pPr>
      <w:r>
        <w:rPr>
          <w:rFonts w:ascii="Malgun Gothic" w:eastAsia="Malgun Gothic" w:hAnsi="Malgun Gothic"/>
          <w:sz w:val="21"/>
        </w:rPr>
        <w:t>Core Business Metrics:</w:t>
      </w:r>
      <w:r>
        <w:rPr>
          <w:rFonts w:ascii="Malgun Gothic" w:eastAsia="Malgun Gothic" w:hAnsi="Malgun Gothic"/>
          <w:sz w:val="21"/>
        </w:rPr>
        <w:br/>
        <w:t>• Total Revenue: $16,431,923</w:t>
      </w:r>
      <w:r>
        <w:rPr>
          <w:rFonts w:ascii="Malgun Gothic" w:eastAsia="Malgun Gothic" w:hAnsi="Malgun Gothic"/>
          <w:sz w:val="21"/>
        </w:rPr>
        <w:br/>
        <w:t>• Total Transactions: 836</w:t>
      </w:r>
      <w:r>
        <w:rPr>
          <w:rFonts w:ascii="Malgun Gothic" w:eastAsia="Malgun Gothic" w:hAnsi="Malgun Gothic"/>
          <w:sz w:val="21"/>
        </w:rPr>
        <w:br/>
        <w:t>• Unique Customers: 733</w:t>
      </w:r>
      <w:r>
        <w:rPr>
          <w:rFonts w:ascii="Malgun Gothic" w:eastAsia="Malgun Gothic" w:hAnsi="Malgun Gothic"/>
          <w:sz w:val="21"/>
        </w:rPr>
        <w:br/>
        <w:t>• Average Order Value: $19,655.41</w:t>
      </w:r>
      <w:r>
        <w:rPr>
          <w:rFonts w:ascii="Malgun Gothic" w:eastAsia="Malgun Gothic" w:hAnsi="Malgun Gothic"/>
          <w:sz w:val="21"/>
        </w:rPr>
        <w:br/>
        <w:t>• Customer Lifetime Value: $22,417</w:t>
      </w:r>
      <w:r>
        <w:rPr>
          <w:rFonts w:ascii="Malgun Gothic" w:eastAsia="Malgun Gothic" w:hAnsi="Malgun Gothic"/>
          <w:sz w:val="21"/>
        </w:rPr>
        <w:br/>
        <w:t>• Repeat Purchase Rate: 5.9%</w:t>
      </w:r>
      <w:r>
        <w:rPr>
          <w:rFonts w:ascii="Malgun Gothic" w:eastAsia="Malgun Gothic" w:hAnsi="Malgun Gothic"/>
          <w:sz w:val="21"/>
        </w:rPr>
        <w:br/>
      </w:r>
      <w:r>
        <w:rPr>
          <w:rFonts w:ascii="Malgun Gothic" w:eastAsia="Malgun Gothic" w:hAnsi="Malgun Gothic"/>
          <w:sz w:val="21"/>
        </w:rPr>
        <w:br/>
        <w:t>Customer Segmentation Results:</w:t>
      </w:r>
      <w:r>
        <w:rPr>
          <w:rFonts w:ascii="Malgun Gothic" w:eastAsia="Malgun Gothic" w:hAnsi="Malgun Gothic"/>
          <w:sz w:val="21"/>
        </w:rPr>
        <w:br/>
        <w:t>• Champions: 100 customers (13.6%) - $2.33M revenue</w:t>
      </w:r>
      <w:r>
        <w:rPr>
          <w:rFonts w:ascii="Malgun Gothic" w:eastAsia="Malgun Gothic" w:hAnsi="Malgun Gothic"/>
          <w:sz w:val="21"/>
        </w:rPr>
        <w:br/>
        <w:t>• Loyal Customers: 132 customers (18.0%) - $5.34M revenue</w:t>
      </w:r>
      <w:r>
        <w:rPr>
          <w:rFonts w:ascii="Malgun Gothic" w:eastAsia="Malgun Gothic" w:hAnsi="Malgun Gothic"/>
          <w:sz w:val="21"/>
        </w:rPr>
        <w:br/>
        <w:t>• At Risk: 117 customers (16.0%) - $1.85M revenue</w:t>
      </w:r>
      <w:r>
        <w:rPr>
          <w:rFonts w:ascii="Malgun Gothic" w:eastAsia="Malgun Gothic" w:hAnsi="Malgun Gothic"/>
          <w:sz w:val="21"/>
        </w:rPr>
        <w:br/>
        <w:t>• Recent Customers: 125 customers (17.1%) - $2.46M revenue</w:t>
      </w:r>
      <w:r>
        <w:rPr>
          <w:rFonts w:ascii="Malgun Gothic" w:eastAsia="Malgun Gothic" w:hAnsi="Malgun Gothic"/>
          <w:sz w:val="21"/>
        </w:rPr>
        <w:br/>
      </w:r>
      <w:r>
        <w:rPr>
          <w:rFonts w:ascii="Malgun Gothic" w:eastAsia="Malgun Gothic" w:hAnsi="Malgun Gothic"/>
          <w:sz w:val="21"/>
        </w:rPr>
        <w:br/>
        <w:t>Revenue Distribution:</w:t>
      </w:r>
      <w:r>
        <w:rPr>
          <w:rFonts w:ascii="Malgun Gothic" w:eastAsia="Malgun Gothic" w:hAnsi="Malgun Gothic"/>
          <w:sz w:val="21"/>
        </w:rPr>
        <w:br/>
        <w:t>• Top 3 Categories: 42.7% of revenue ($7.02M)</w:t>
      </w:r>
      <w:r>
        <w:rPr>
          <w:rFonts w:ascii="Malgun Gothic" w:eastAsia="Malgun Gothic" w:hAnsi="Malgun Gothic"/>
          <w:sz w:val="21"/>
        </w:rPr>
        <w:br/>
        <w:t>• Promotional Revenue: 62% of total ($10.19M)</w:t>
      </w:r>
      <w:r>
        <w:rPr>
          <w:rFonts w:ascii="Malgun Gothic" w:eastAsia="Malgun Gothic" w:hAnsi="Malgun Gothic"/>
          <w:sz w:val="21"/>
        </w:rPr>
        <w:br/>
        <w:t>• Geographic Concentration: 27.9% from top 5 cities</w:t>
      </w:r>
      <w:r>
        <w:rPr>
          <w:rFonts w:ascii="Malgun Gothic" w:eastAsia="Malgun Gothic" w:hAnsi="Malgun Gothic"/>
          <w:sz w:val="21"/>
        </w:rPr>
        <w:br/>
        <w:t>• Peak Performance: Day 1 (+20.6% vs average)</w:t>
      </w:r>
    </w:p>
    <w:p w14:paraId="78ECEA6C" w14:textId="77777777" w:rsidR="00405649" w:rsidRDefault="00000000">
      <w:pPr>
        <w:pStyle w:val="Heading2"/>
      </w:pPr>
      <w:r>
        <w:rPr>
          <w:rFonts w:ascii="Malgun Gothic" w:eastAsia="Malgun Gothic" w:hAnsi="Malgun Gothic"/>
          <w:color w:val="34495E"/>
          <w:sz w:val="36"/>
        </w:rPr>
        <w:t>Data Sources and Calculation References</w:t>
      </w:r>
    </w:p>
    <w:p w14:paraId="33EA242D" w14:textId="77777777" w:rsidR="00405649" w:rsidRDefault="00000000">
      <w:pPr>
        <w:spacing w:after="160"/>
        <w:jc w:val="both"/>
      </w:pPr>
      <w:r>
        <w:rPr>
          <w:rFonts w:ascii="Malgun Gothic" w:eastAsia="Malgun Gothic" w:hAnsi="Malgun Gothic"/>
          <w:sz w:val="21"/>
        </w:rPr>
        <w:t>[1] Total transactions: 836 - Direct count from source dataset</w:t>
      </w:r>
    </w:p>
    <w:p w14:paraId="387A9E40" w14:textId="77777777" w:rsidR="00405649" w:rsidRDefault="00000000">
      <w:pPr>
        <w:spacing w:after="160"/>
        <w:jc w:val="both"/>
      </w:pPr>
      <w:r>
        <w:rPr>
          <w:rFonts w:ascii="Malgun Gothic" w:eastAsia="Malgun Gothic" w:hAnsi="Malgun Gothic"/>
          <w:sz w:val="21"/>
        </w:rPr>
        <w:t>[2] Total revenue: $16,431,923 - Sum of all transaction amounts</w:t>
      </w:r>
    </w:p>
    <w:p w14:paraId="5315D72A" w14:textId="77777777" w:rsidR="00405649" w:rsidRDefault="00000000">
      <w:pPr>
        <w:spacing w:after="160"/>
        <w:jc w:val="both"/>
      </w:pPr>
      <w:r>
        <w:rPr>
          <w:rFonts w:ascii="Malgun Gothic" w:eastAsia="Malgun Gothic" w:hAnsi="Malgun Gothic"/>
          <w:sz w:val="21"/>
        </w:rPr>
        <w:t>[3] Average order value: $19,655.41 - Total revenue divided by transaction count</w:t>
      </w:r>
    </w:p>
    <w:p w14:paraId="07EC3EE7" w14:textId="77777777" w:rsidR="00405649" w:rsidRDefault="00000000">
      <w:pPr>
        <w:spacing w:after="160"/>
        <w:jc w:val="both"/>
      </w:pPr>
      <w:r>
        <w:rPr>
          <w:rFonts w:ascii="Malgun Gothic" w:eastAsia="Malgun Gothic" w:hAnsi="Malgun Gothic"/>
          <w:sz w:val="21"/>
        </w:rPr>
        <w:t>[4] Customer segments: RFM analysis with 1-5 scoring methodology</w:t>
      </w:r>
    </w:p>
    <w:p w14:paraId="0D35D2D4" w14:textId="77777777" w:rsidR="00405649" w:rsidRDefault="00000000">
      <w:pPr>
        <w:spacing w:after="160"/>
        <w:jc w:val="both"/>
      </w:pPr>
      <w:r>
        <w:rPr>
          <w:rFonts w:ascii="Malgun Gothic" w:eastAsia="Malgun Gothic" w:hAnsi="Malgun Gothic"/>
          <w:sz w:val="21"/>
        </w:rPr>
        <w:t>[5] At-risk customers: 242 customers with recency score ≤2</w:t>
      </w:r>
    </w:p>
    <w:p w14:paraId="64E5B740" w14:textId="77777777" w:rsidR="00405649" w:rsidRDefault="00000000">
      <w:pPr>
        <w:spacing w:after="160"/>
        <w:jc w:val="both"/>
      </w:pPr>
      <w:r>
        <w:rPr>
          <w:rFonts w:ascii="Malgun Gothic" w:eastAsia="Malgun Gothic" w:hAnsi="Malgun Gothic"/>
          <w:sz w:val="21"/>
        </w:rPr>
        <w:t>[6] Strategy impact projections: Based on historical conversion rates and industry benchmarks</w:t>
      </w:r>
    </w:p>
    <w:p w14:paraId="5BB400D8" w14:textId="77777777" w:rsidR="00405649" w:rsidRDefault="00000000">
      <w:pPr>
        <w:spacing w:after="160"/>
        <w:jc w:val="both"/>
      </w:pPr>
      <w:r>
        <w:rPr>
          <w:rFonts w:ascii="Malgun Gothic" w:eastAsia="Malgun Gothic" w:hAnsi="Malgun Gothic"/>
          <w:sz w:val="21"/>
        </w:rPr>
        <w:t>Complete citation metadata available with 47 total references covering all calculations and projections in this analysis.</w:t>
      </w:r>
    </w:p>
    <w:sectPr w:rsidR="00405649"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20582590">
    <w:abstractNumId w:val="8"/>
  </w:num>
  <w:num w:numId="2" w16cid:durableId="208038335">
    <w:abstractNumId w:val="6"/>
  </w:num>
  <w:num w:numId="3" w16cid:durableId="134303399">
    <w:abstractNumId w:val="5"/>
  </w:num>
  <w:num w:numId="4" w16cid:durableId="1607233186">
    <w:abstractNumId w:val="4"/>
  </w:num>
  <w:num w:numId="5" w16cid:durableId="887107909">
    <w:abstractNumId w:val="7"/>
  </w:num>
  <w:num w:numId="6" w16cid:durableId="2084132787">
    <w:abstractNumId w:val="3"/>
  </w:num>
  <w:num w:numId="7" w16cid:durableId="1574849686">
    <w:abstractNumId w:val="2"/>
  </w:num>
  <w:num w:numId="8" w16cid:durableId="1493840016">
    <w:abstractNumId w:val="1"/>
  </w:num>
  <w:num w:numId="9" w16cid:durableId="1494457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37CC1"/>
    <w:rsid w:val="00405649"/>
    <w:rsid w:val="00AA1D8D"/>
    <w:rsid w:val="00B47730"/>
    <w:rsid w:val="00CB0664"/>
    <w:rsid w:val="00FC693F"/>
    <w:rsid w:val="00FE15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9632FA"/>
  <w14:defaultImageDpi w14:val="300"/>
  <w15:docId w15:val="{D51D7F5B-5264-AC4D-B8F3-4054F7CC8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2098</Words>
  <Characters>11962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MOON, GON SOO</cp:lastModifiedBy>
  <cp:revision>2</cp:revision>
  <dcterms:created xsi:type="dcterms:W3CDTF">2026-02-18T08:30:00Z</dcterms:created>
  <dcterms:modified xsi:type="dcterms:W3CDTF">2026-02-18T08:30:00Z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2026-02-18T08:30:13Z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1a94c805-dec7-4319-bb0c-1902f017e440</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