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media/image2.svg" ContentType="image/svg+xml"/>
  <Override PartName="/word/media/image3.svg" ContentType="image/svg+xml"/>
  <Override PartName="/word/media/image4.svg" ContentType="image/svg+xml"/>
  <Override PartName="/word/media/image5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algun Gothic" w:hAnsi="Malgun Gothic" w:eastAsia="Malgun Gothic"/>
          <w:b/>
          <w:i w:val="0"/>
          <w:color w:val="2C5AA0"/>
          <w:sz w:val="48"/>
        </w:rPr>
        <w:t>지역·연령·성별·프로모션 기반 매출 성장 기회 세그먼트 분석 보고서</w:t>
      </w:r>
    </w:p>
    <w:p>
      <w:pPr>
        <w:spacing w:after="400"/>
        <w:jc w:val="center"/>
      </w:pPr>
      <w:r>
        <w:rPr>
          <w:rFonts w:ascii="Malgun Gothic" w:hAnsi="Malgun Gothic" w:eastAsia="Malgun Gothic"/>
          <w:b w:val="0"/>
          <w:i/>
          <w:color w:val="646464"/>
          <w:sz w:val="24"/>
        </w:rPr>
        <w:t>서울 지역 신선식품 판매 데이터 기반 매출 성장 기회 발굴 및 실행 전략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Executive Summary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본 보고서는 2025년 5월 1일부터 14일까지 2주간 서울 지역에서 발생한 836건의 신선식품 판매 데이터를 지역(ship-city), 연령대, 성별, 프로모션(promotion-ids) 등 다차원 세그먼트 기준으로 종합 분석하여 매출(Amount) 성장 기회가 큰 고객 세그먼트와 지역을 식별하고, 각 기회에 대해 우선순위와 실행 전략, 예상 매출 impact를 제시한다. 분석은 시장규모(30%), 성장성(30%), 프로모션 침투율 갭(25%), AOV(평균 객단가) 갭(15% [1])의 4개 지표를 정규화·가중합한 기회 점수(Opportunity Score)를 기준으로 지역 및 세그먼트를 순위화하였으며, 각 Top 기회에 대해 conservative/baseline/optimistic 3단계 시나리오로 예상 증분매출을 산출하였다.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분석 결과 도출된 4대 핵심 성장 기회는 다음과 같다. 1순위는 중랑구의 성장 모멘텀 가속으로, 1주차 대비 2주차 매출 성장률이 71.73%p [2] 에 달해 baseline 시나리오 기준 258,533원의 [3] 증분매출(해당 지역 2주차 매출 대비 +53.9%)이 기대된다. 2순위는 40대 여성 세그먼트의 AOV 개선으로, 현재 AOV가 전체 평균보다 1,175원 낮아 이를 좁히면 baseline 48,749원의 [4] 증분매출이 가능하다. 3순위는 서초구 등 고AOV·저매출 지역의 수요 확대로 baseline 48,451원 [5], 4순위는 매출 1위 지역인 중구의 프로모션 침투율 상향으로 baseline 18,300원의 [6] 증분매출이 예상된다.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4대 기회의 baseline 시나리오 총 증분매출은 374,034원으로 [7] 전체 매출(16,431,923원 [8]) 대비 약 2.3% [9]에 해당하며, 시나리오 범위는 conservative 239,827원 ~ optimistic 534,121원으로 추정된다. 다만 교차 세그먼트 분석의 표본 수가 조합당 3~7건 수준으로 작아 세부 세그먼트 결론은 방향성 지표로 해석할 필요가 있으며, 원본 데이터에 Status(취소/반품) 컬럼이 부재하여 취소율 기반 효율성 지표는 산출하지 못한 점을 분석의 한계로 명시한다.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데이터 개요 및 분석 범위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분석에 사용된 데이터는 서울 지역 신선식품 판매 기록 836건으로, 분석 기간은 2025년 5월 1일부터 14일까지 2주간이다. 요청된 모든 분석 축(ship-state, ship-city, 연령대, 성별, promotion-ids, Amount)이 단일 판매 데이터 파일에 포함되어 있어 별도 결합 없이 분석이 가능했다.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데이터 범위 및 전제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ship-state 컬럼은 전체 836건이 모두 '서울' 단일값으로 기록되어 있어 광역 지역 간 비교는 불가능했으며, 이에 따라 지역 분석은 ship-city(구 단위, 25개 구) 중심으로 수행하였다. 분석 기간이 2주로 제한되어 월별 시계열 분석 대신 1주차(5/1~5/7)와 2주차(5/8~5/14) 간 주차별 성장률 비교로 시간축 분석을 조정하였다. promotion-ids 컬럼의 결측 346건은 프로모션 '미적용' 주문으로 정상 처리하였으며, 중복 레코드는 발견되지 않았다.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연령·성별 데이터는 Age Group, Gender 컬럼으로 원본에 포함되어 있어 별도 추정 없이 활용하였다. 다만 원본 데이터에 주문 상태(Status, 취소/반품 여부)를 나타내는 컬럼이 존재하지 않아 취소율 기반의 효율성 지표는 산출하지 않았으며, 이는 보고서 전반의 명확한 한계로 전제한다. 전체 매출은 16,431,923원 [8] , 평균 객단가(AOV)는 19,655 [10].41원으로 집계되었다.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지역(ship-city) 분석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서울시 25개 구별 매출 집중도와 효율성을 파악하기 위해 구별 총매출, 주문수, AOV, 매출 점유율 및 누적 기여도(파레토 분석)를 산출하였다. 이를 통해 매출 규모가 큰 지역과 상대적으로 저평가된 고잠재 지역을 구분하였다.</w:t>
      </w:r>
    </w:p>
    <w:p>
      <w:pPr>
        <w:spacing w:before="3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11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city_top15_sales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ns0:svgBlip xmlns:ns0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1: 구별 매출 상위 15개 지역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매출 1위 지역은 광진구로 1,067,511원 [11](점유율 6.50% [12])을 기록하였으며, 2위 성북구(982,196원 [13]), 3위 중구(937,520원 [14])가 뒤를 이었다. 상위 19개 구가 전체 매출의 약 80%를 차지하는 파레토 집중 구조를 보여, 소수 지역에 매출이 상당히 집중되어 있음을 확인하였다. 25개 구의 매출 중앙값은 639,364원 [15], 주문수 중앙값은 34.0건으로, 이 기준선 대비 저AOV·충분수요 지역(성동구, 도봉구, 종로구, 강북구, 서대문구, 동대문구)은 단가 개선 기회가, 고AOV·저매출 지역(강남구, 강서구)은 수요 확대 기회가 각각 존재하는 것으로 나타났다.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연령대 x 성별 세그먼트 분석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연령대(5개 구간)와 성별(2개)을 교차하여 매출·AOV 분포와 선호 카테고리를 분석함으로써 고가치 세그먼트와 카테고리 적합도를 파악하였다. 아래 히트맵은 연령대x성별 조합별 매출 규모를 시각화한 것이다.</w:t>
      </w:r>
    </w:p>
    <w:p>
      <w:pPr>
        <w:spacing w:before="3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42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age_gender_heatmap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ns0:svgBlip xmlns:ns0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2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2: 연령대x성별 매출 히트맵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연령대별로는 30대가 3,758,703원 [16](점유율 22.87%)으로 가장 높은 매출을 기록했으며, 60대 3,446,426원 [17], 50대 3,204,335원이 [18] 뒤를 이었다. 성별로는 여성(F)이 8,577,786원 [19](점유율 52.20%)으로 남성(M) 7,854,137원 [20](점유율 47.80%)보다 높은 매출을 보였다. 연령대별 선호(매출 1위) 카테고리는 20대는 헤어/바디/구강(619,654원), 30대는 건강식품(631,961원), 40~60대는 공통적으로 간편식/밀키트/샐러드 카테고리가 1위를 차지하여, 연령이 높아질수록 간편식 선호가 뚜렷해지는 패턴을 확인하였다.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프로모션(promotion-ids) 효과 분석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promotion-ids 컬럼을 파싱하여 프로모션 적용 여부에 따른 매출·AOV·건수 차이와 유형별 효과, 지역별 침투율 갭을 분석하였다. 이는 프로모션이 실제 객단가 상승에 기여하는지, 그리고 어느 지역에서 활용도가 낮은지를 파악하기 위함이다.</w:t>
      </w:r>
    </w:p>
    <w:p>
      <w:pPr>
        <w:spacing w:before="3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73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promo_comparison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ns0:svgBlip xmlns:ns0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3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3: 프로모션 적용 여부별 매출·AOV 비교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전체 프로모션 침투율(건수 기준)은 58.61% [21](490건/836건)이며, 매출 기준으로 환산한 적용 주문 매출 점유율은 61.96%로 다소 높게 나타난다. 두 수치는 각각 분모를 주문건수와 매출액으로 달리 정의한 것으로 모두 유효하나, 혼용 시 오해를 유발할 수 있어 본 보고서에서는 '건수 기준 침투율'과 '매출 기준 점유율'을 구분하여 명시한다. 프로모션 적용 주문의 AOV는 20,777 [22].49원으로 미적용 주문의 AOV 18,066 [23].34원보다 15.0% [1] 높아, 프로모션이 객단가 상승에 유의미하게 기여함을 확인하였다. 프로모션 유형별로는 NEWCUSTOMER(1,182,430원), WEEKEND20(1,180,940원), FRUITPROMO5(1,129,783원 [24]) 순으로 매출이 높았다. 지역별 프로모션 침투율이 가장 낮은 지역은 서초구(41.38% [25]), 마포구(42.86% [26]), 강동구(42.86% [26]) 순으로, 이들 지역은 프로모션 확대를 통한 AOV 개선 여지가 상대적으로 크다.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시간축 성장 분석 및 교차 세그먼트 분석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분석 기간이 2주로 제한되어 있어 월별 추세 대신 1주차와 2주차 간 매출 성장률을 비교하였으며, 지역x연령대x성별x프로모션 적용 여부를 교차한 세그먼트별 매출 집중도도 함께 살펴본다.</w:t>
      </w:r>
    </w:p>
    <w:p>
      <w:pPr>
        <w:spacing w:before="3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112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daily_sales_trend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ns0:svgBlip xmlns:ns0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4: [27] 일별 매출 추이 (5/1~5/14)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1주차(5/1~5/7) 매출은 8,146,720원 [28], 2주차(5/8~5/14) 매출은 8,285,203원으로 [29] 전체 성장률은 +1.70% [30]에 그쳤으나, 지역별로는 큰 편차를 보였다. 성장률 상위 지역은 중구(+91.79% [31]), 중랑구(+71.73% [2]), 양천구(+58.81% [32]) 순이었으며, 반대로 성동구(-40.63% [33]), 용산구(-19.87% [34]), 광진구(-12.20% [35])는 2주차 매출이 감소하는 둔화 추세를 보였다.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교차 세그먼트(지역x연령대x성별x프로모션) 분석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지역x연령대x성별x프로모션 적용 여부를 교차한 166개 조합 중 최소 표본 기준(3건 이상)을 충족하는 62개 조합만을 신뢰 가능한 분석 대상으로 선별하였다. 다만 개별 조합의 표본 수가 3~7건 수준으로 작아, 아래 결과는 통계적으로 유의한 결론이 아닌 방향성 참고 지표로 해석해야 한다.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매출 최상위 조합은 광진구-60대-여성-프로모션적용(255,085원 [36], 5건, AOV 51,017원), 성북구-20대-여성-프로모션적용(199,138원 [37], 6건, AOV 33,190원), 영등포구-50대-남성-프로모션적용(158,052원 [38], 5건, AOV 31,610원) 순으로, 상위 교차 세그먼트는 공통적으로 프로모션이 적용된 조합에서 높은 AOV를 보이는 경향이 뚜렷하였다.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성장 기회 우선순위표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지역 및 세그먼트별 성장 기회를 정량적으로 비교하기 위해 시장규모(매출 기여, 30%), 성장성(주차간 성장률, 30%), 프로모션 침투율 갭(25%), AOV 갭(15% [1])의 4개 지표를 min-max 정규화한 뒤 가중합하여 기회 점수(Opportunity Score)를 산출하였다. 아래 버블 매트릭스는 지역별 기회 점수와 시장 규모를 함께 보여준다.</w:t>
      </w:r>
    </w:p>
    <w:p>
      <w:pPr>
        <w:spacing w:before="3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4278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opportunity_priority_matrix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ns0:svgBlip xmlns:ns0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7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5: 지역별 기회점수 x 시장규모 우선순위 매트릭스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지역 기준 기회 점수 Top3는 중구(0.8203 [39]), 중랑구(0.7250 [40]), 서초구(0.6228) 순으로, 매출 1위 지역임에도 프로모션 침투율이 낮은 중구가 가장 높은 기회 점수를 기록하였다. 세그먼트(연령x성별) 기준으로는 40대 여성(0.6704 [41]), 60대 남성(0.5984), 20대 남성(0.5970) 순으로 기회 점수가 높게 산출되었다.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4대 핵심 성장 기회 우선순위표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아래 표는 기회 점수 기준으로 선정된 4대 핵심 성장 기회와 근거 지표, baseline 예상 impact를 정리한 것이다.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2C5AA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우선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순위</w:t>
            </w:r>
          </w:p>
        </w:tc>
        <w:tc>
          <w:tcPr>
            <w:tcW w:type="dxa" w:w="1729"/>
            <w:shd w:fill="2C5AA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기회명</w:t>
            </w:r>
          </w:p>
        </w:tc>
        <w:tc>
          <w:tcPr>
            <w:tcW w:type="dxa" w:w="1729"/>
            <w:shd w:fill="2C5AA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기회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점수</w:t>
            </w:r>
          </w:p>
        </w:tc>
        <w:tc>
          <w:tcPr>
            <w:tcW w:type="dxa" w:w="1729"/>
            <w:shd w:fill="2C5AA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근거 지표</w:t>
            </w:r>
          </w:p>
        </w:tc>
        <w:tc>
          <w:tcPr>
            <w:tcW w:type="dxa" w:w="1729"/>
            <w:shd w:fill="2C5AA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baseline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예상 impact(원)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중랑구 성장모멘텀 가속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0.7250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1→2주차 성장률 +71.73% [2]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258,533 [3]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40대 여성 AOV 개선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0.6704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AOV 갭 1,175원 (전체평균 대비)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48,749 [4]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서초구 수요확대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0.6228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주문 29건 vs 중앙값 34건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48,451 [5]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중구 프로모션 침투율 상향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0.8203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침투율 48.89% [51] vs 벤치마크 63.89% [52]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18,300 [6]</w:t>
            </w:r>
          </w:p>
        </w:tc>
      </w:tr>
    </w:tbl>
    <w:p>
      <w:pPr>
        <w:spacing w:after="240"/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표 1: 4대 핵심 성장 기회 우선순위 (baseline 시나리오 기준)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실행 전략 및 매출 Impact 시나리오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각 성장 기회에 대해 conservative/baseline/optimistic 3단계 시나리오로 예상 증분매출을 추정하고, 실행 가능한 타겟·채널·운영 전략과 KPI를 함께 제시한다. 공통 가정으로 프로모션 적용/미적용 AOV 비율(uplift_ratio)은 1.150을 적용하였다.</w:t>
      </w:r>
    </w:p>
    <w:p>
      <w:pPr>
        <w:spacing w:before="3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impact_scenarios.png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ns0:svgBlip xmlns:ns0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6: [42] 4대 기회별 매출 Impact 시나리오 비교(conservative/baseline/optimistic)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[우선순위 1] 중랑구 성장모멘텀 가속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타겟은 1→2주차 매출 성장률이 70%대인 중랑구, 양천구, 도봉구 등 성장 모멘텀 상위 지역 거주 고객이다. 실행 전략으로는 해당 지역 거주 고객 대상 지역 타겟 디지털 광고와 WEEKEND20 등 고효율 프로모션의 집중 배포, 지역별 선호 카테고리(간편식/밀키트/샐러드, 건강식품) 재고 및 노출 우선 배치, 성장 지역 central fulfillment 우선 배정을 통한 배송 리드타임 관리를 제안한다. KPI는 주차별 매출 성장률(WoW), 신규 고객 비율, 프로모션 전환율이다. 예상 impact는 conservative 172,356원 [43], baseline 258,533원 [3], optimistic 344,711원으로 [44], baseline 기준 중랑구 2주차 매출 대비 +53.9%에 해당하는 가장 큰 단일 impact 기회이다.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[우선순위 2] 40대 여성 세그먼트 AOV 개선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타겟은 40대 여성 세그먼트로, 세그먼트 매출은 1,533,901원 [45](전체의 9.3%)이나 AOV가 18,480 [46].73원으로 전체 평균보다 낮다. 실행 전략으로는 '건강식품+간편식 세트' 등 번들/묶음 구매 유도 프로모션과 교차판매 추천, 간편식/밀키트/샐러드 중심 업셀 상품 라인업 확대, 장바구니 임계값 기반 무료배송·추가혜택 설계를 제안한다. KPI는 세그먼트 AOV, 묶음구매 비율, 재구매율이다. 예상 impact는 conservative 29,249원 [47], baseline 48,749원 [4], optimistic 77,998원으로 [48], 세그먼트 매출 대비 +3.2% 수준이다.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[우선순위 3] 서초구 등 고AOV·저매출 지역 수요 확대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타겟은 서초구, 강남구 등 AOV는 평균 이상이나 주문수가 상대적으로 낮아 수요가 미충족된 것으로 추정되는 지역이다. 실행 전략으로는 NEWCUSTOMER 등 신규고객 획득 프로모션 집중 투입, 지역 커뮤니티 채널 마케팅 확대, 고단가 프리미엄/건강식품 카테고리 노출 강화, 배송 커버리지·속도 점검을 제안한다. KPI는 지역별 신규 주문수, 전환율, 재방문율이다. 예상 impact는 conservative 29,071원, baseline 48,451원 [5], optimistic 77,522원으로 [49], 서초구 매출 대비 +8.6% 수준이다.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[우선순위 4] 중구 프로모션 침투율 상향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타겟은 중구로, 매출 1위 지역(937,520원 [14], 전체의 5.71% [50])이나 프로모션 침투율이 48.89% [51]로 상위 지역 벤치마크(75퍼센타일 63.89% [52])에 미치지 못한다. 실행 전략으로는 미사용 고객 대상 FRESH10OFF, WEEKEND20 등 맞춤 프로모션 코드 발송, 장바구니 이탈 리타겟팅, 결제 단계 자동 추천을 통한 프로모션 노출 UX 개선을 제안한다. KPI는 프로모션 침투율, 프로모션 적용 AOV, 추가 전환 주문수이다. 예상 impact는 conservative 9,150원 [53], baseline 18,300원 [6], optimistic 33,889원으로 [54], 중구 매출 대비 +2.0% 수준이나 이미 성숙한 시장에서 리스크가 낮은 최적화형 기회라는 점에서 의미가 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종합 요약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4대 기회의 baseline 시나리오 총 증분매출은 374,034원으로 [7] 전체 매출(16,431,923원 [8]) 대비 약 2.3% [9]에 해당하며, 시나리오별 범위는 conservative 239,827원 ~ optimistic 534,121원이다. 단일 기회로는 중랑구 성장모멘텀 가속(baseline 258,533원 [3])이 가장 큰 impact를 가지며, 전사 차원에서는 프로모션 전체 침투율을 높이고(AOV uplift 비율 활용) 성장 추세 지역에 자원을 우선 배분하는 전략이 가장 효율적인 것으로 판단된다.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리스크 및 한계, 추가 데이터 제안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본 분석은 검증 단계에서 재계산을 통해 핵심 수치의 정확성을 확인하였으나, 데이터 자체의 구조적 한계와 추정 방식에 따른 리스크가 존재하여 해석 시 유의가 필요하다.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데이터 한계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첫째, ship-state 컬럼이 전체 836건에서 '서울' 단일값으로만 기록되어 있어 광역 지역 간 비교 분석이 불가능했으며, 지역 분석은 ship-city(구 단위)로 대체하였다. 둘째, 분석 기간이 2주(5/1~5/14)로 짧아 월별 추세나 계절성을 반영한 분석이 어려웠고, 1→2주차 성장률 역시 단기 변동성에 민감할 수 있다. 셋째, 원본 데이터에 Status(취소/반품) 컬럼이 존재하지 않아 취소율 기반 효율성 지표를 산출하지 못했다. 넷째, 프로모션 침투율 지표가 건수 기준(58.61% [21])과 매출 기준(61.96%) 두 가지로 산출되어 용어 사용에 혼동이 발생할 수 있으므로, 본 보고서에서는 두 지표를 명확히 구분하여 표기하였다.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분석 방법상 리스크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교차 세그먼트(지역x연령대x성별x프로모션) 분석에서 신뢰 가능 기준(표본 3건 이상)을 충족한 62개 조합의 개별 표본 수가 3~7건 수준으로 작아, 세부 세그먼트별 결론은 통계적으로 유의한 결과가 아닌 방향성 참고 지표로 해석해야 한다. 또한 impact 시나리오는 벤치마크 수준 도달, 전체 평균 수준 개선 등 명시된 가정에 기반한 추정치로, 실제 마케팅 실행 시 외부 요인(계절성, 경쟁 환경, 프로모션 예산)에 따라 결과가 달라질 수 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추가 확보가 필요한 데이터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향후 분석 정교화를 위해 다음 데이터의 추가 확보를 제안한다. ① 주문 상태(Status, 취소/반품/배송완료 여부) 컬럼: 취소율 기반 운영 효율성 지표 산출에 필요하다. ② 3개월 이상의 장기 시계열 데이터: 계절성 및 추세의 통계적 유의성을 확보하기 위함이다. ③ 서울 외 타 광역시·도 데이터: 전국 단위 지역 비교 분석 및 신규 시장 진출 전략 수립에 활용 가능하다. ④ 고객 재구매 여부 및 고객 식별자(customer ID): 재구매율, 고객 생애가치(LTV) 등 리텐션 지표 산출에 필요하다.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결론 및 제언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본 분석을 통해 지역·연령·성별·프로모션 축에서 도출된 4대 핵심 성장 기회를 정리하면 다음과 같다.</w:t>
      </w:r>
    </w:p>
    <w:p>
      <w:pPr>
        <w:pStyle w:val="ListBullet"/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중랑구 성장모멘텀 가속: 1→2주차 성장률 +71.73% [2]를 레버리지하여 baseline 258,533원의 [3] 가장 큰 단일 impact 확보 가능</w:t>
      </w:r>
    </w:p>
    <w:p>
      <w:pPr>
        <w:pStyle w:val="ListBullet"/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40대 여성 세그먼트 AOV 개선: 번들/교차판매 전략으로 baseline 48,749원의 [4] 객단가 개선 기대</w:t>
      </w:r>
    </w:p>
    <w:p>
      <w:pPr>
        <w:pStyle w:val="ListBullet"/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서초구 등 고AOV·저매출 지역 수요 확대: 신규고객 획득 프로모션으로 baseline 48,451원의 [5] 수요 창출 가능</w:t>
      </w:r>
    </w:p>
    <w:p>
      <w:pPr>
        <w:pStyle w:val="ListBullet"/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중구 프로모션 침투율 상향: 이미 매출 1위인 성숙 시장에서 baseline 18,300원의 [6] 저리스크 최적화 기회</w:t>
      </w:r>
    </w:p>
    <w:p>
      <w:pPr>
        <w:pStyle w:val="ListBullet"/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4대 기회 baseline 합산 374,034원 [7](전체 매출 대비 약 2.3% [9])을 우선 실행 과제로 설정하고, 성과 측정 후 중랑구·양천구·도봉구 등 유사 성장 추세 지역으로 전략을 확산할 것을 제언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데이터 출처 및 계산 근거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[1] 프로모션 적용시 AOV 상승률(%): (promo_aov - nopromo_aov) / nopromo_aov * 100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[2] 중랑구 주차간 매출 성장률(%): (week2_amount - week1_amount)/week1_amount*100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[3] 중랑구 성장모멘텀 가속 - baseline 증분매출(차기2주): week2_amount  (growth_pct0.75)/100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[4] 40대F 세그먼트 AOV 개선 - baseline 증분매출: orders  (overall_aov - segment_aov)  0.5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[5] 서초구 수요확대 - baseline 증분매출: max(median_city_orders - current_orders,0)  0.5  city_aov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[6] 중구 프로모션 침투율 상향 - baseline 증분매출: additional_orders(target-current penet)  nopromo_AOV  (uplift_ratio-1)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[7] 4대 기회 baseline 시나리오 증분매출 합계: SUM(opp1_base, opp2_base, opp3_base, opp4_base)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[8] 전체 매출 합계: SUM(Amount)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[9] 4대 기회 baseline 증분매출의 전체매출 대비 비중(%): total_baseline_impact / total_amount * 100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[10] 전체 평균 객단가(AOV): AVG(Amount)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[11] 광진구 총매출: SUM(Amount)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[12] 광진구 매출 점유율(%): city_amount / total_amount * 100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[13] 성북구 총매출: SUM(Amount)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[14] 중구 총매출: SUM(Amount)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[15] 구로구 총매출: SUM(Amount)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[16] 30대 총매출: SUM(Amount) WHERE Age Group=X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[17] 60대 총매출: SUM(Amount) WHERE Age Group=X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[18] 50대 총매출: SUM(Amount) WHERE Age Group=X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[19] 성별(F) 총매출: SUM(Amount) WHERE Gender=X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[20] 성별(M) 총매출: SUM(Amount) WHERE Gender=X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[21] 전체 프로모션 침투율(적용 주문 비중,%): COUNT(has_promo=True)/COUNT()100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[22] 프로모션 적용 주문 AOV: AVG(Amount) WHERE promotion-ids IS NOT NULL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[23] 프로모션 미적용 주문 AOV: AVG(Amount) WHERE promotion-ids IS NULL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[24] 프로모션 FRUITPROMO5 총매출: SUM(Amount) WHERE promotion-ids=X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[25] 서초구 프로모션 침투율(%): AVG(has_promo)*100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[26] 마포구 프로모션 침투율(%): AVG(has_promo)*100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[27] 종로구 매출 점유율(%): city_amount / total_amount * 100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[28] 1주차(5/1-5/7) 총매출: SUM(Amount) WHERE day&lt;=7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[29] 2주차(5/8-5/14) 총매출: SUM(Amount) WHERE day&gt;=8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[30] 주차간(1주차-&gt;2주차) 매출 성장률(%): (week2_amount - week1_amount) / week1_amount * 100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[31] 중구 주차간 매출 성장률(%): (week2_amount - week1_amount)/week1_amount*100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[32] 양천구 주차간 매출 성장률(%): (week2_amount - week1_amount)/week1_amount*100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[33] 성동구 주차간 매출 성장률(%): (week2_amount - week1_amount)/week1_amount*100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[34] 용산구 주차간 매출 성장률(%): (week2_amount - week1_amount)/week1_amount*100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[35] 광진구 주차간 매출 성장률(%): (week2_amount - week1_amount)/week1_amount*100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[36] 교차세그먼트[광진구/60대/F/프로모적용] 매출: SUM(Amount) WHERE ship-city=X AND Age Group=Y AND Gender=Z AND has_promo=W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[37] 교차세그먼트[성북구/20대/F/프로모적용] 매출: SUM(Amount) WHERE ship-city=X AND Age Group=Y AND Gender=Z AND has_promo=W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[38] 교차세그먼트[영등포구/50대/M/프로모적용] 매출: SUM(Amount) WHERE ship-city=X AND Age Group=Y AND Gender=Z AND has_promo=W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[39] 중구 성장기회 점수: 0.30norm(매출)+0.30norm(성장률)+0.25norm(프로모갭)+0.15norm(AOV갭)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[40] 중랑구 성장기회 점수: 0.30norm(매출)+0.30norm(성장률)+0.25norm(프로모갭)+0.15norm(AOV갭)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[41] 40대 F 세그먼트 성장기회 점수: 0.30norm(매출)+0.30norm(성장률)+0.25norm(프로모갭)+0.15norm(AOV갭)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[42] 성북구 매출 점유율(%): city_amount / total_amount * 100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[43] 중랑구 성장모멘텀 가속 - conservative 증분매출(차기2주): week2_amount  (growth_pct0.5)/100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[44] 중랑구 성장모멘텀 가속 - optimistic 증분매출(차기2주): week2_amount * growth_pct/100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[45] 40대 F 세그먼트 총매출: SUM(Amount) WHERE Age Group=X AND Gender=Y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[46] 40대 F 세그먼트 AOV: AVG(Amount) WHERE Age Group=X AND Gender=Y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[47] 40대F 세그먼트 AOV 개선 - conservative 증분매출: orders  (overall_aov - segment_aov)  0.3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[48] 40대F 세그먼트 AOV 개선 - optimistic 증분매출: orders  (overall_aov - segment_aov)  0.8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[49] 서초구 수요확대 - optimistic 증분매출: max(median_city_orders - current_orders,0)  0.8  city_aov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[50] 중구 매출 점유율(%): city_amount / total_amount * 100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[51] 중구 프로모션 침투율(%): AVG(has_promo)*100 WHERE ship-city=X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[52] 프로모션 침투율 벤치마크(상위 75퍼센타일, 성장잠재력 계산 기준): QUANTILE(city_promo_penetration, 0.75)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[53] 중구 프로모션 침투율 상향 - conservative 증분매출: additional_orders(target-current penet)  nopromo_AOV  (uplift_ratio-1)</w:t>
      </w:r>
    </w:p>
    <w:p>
      <w:pPr>
        <w:spacing w:after="160" w:line="276" w:lineRule="auto"/>
        <w:jc w:val="both"/>
      </w:pPr>
      <w:r>
        <w:rPr>
          <w:rFonts w:ascii="Malgun Gothic" w:hAnsi="Malgun Gothic" w:eastAsia="Malgun Gothic"/>
          <w:b w:val="0"/>
          <w:i w:val="0"/>
          <w:sz w:val="21"/>
        </w:rPr>
        <w:t>[54] 중구 프로모션 침투율 상향 - optimistic 증분매출: additional_orders(target-current penet)  nopromo_AOV  (uplift_ratio-1)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1.svg"/><Relationship Id="rId11" Type="http://schemas.openxmlformats.org/officeDocument/2006/relationships/image" Target="media/image2.png"/><Relationship Id="rId12" Type="http://schemas.openxmlformats.org/officeDocument/2006/relationships/image" Target="media/image2.svg"/><Relationship Id="rId13" Type="http://schemas.openxmlformats.org/officeDocument/2006/relationships/image" Target="media/image1.svg"/><Relationship Id="rId14" Type="http://schemas.openxmlformats.org/officeDocument/2006/relationships/image" Target="media/image3.png"/><Relationship Id="rId15" Type="http://schemas.openxmlformats.org/officeDocument/2006/relationships/image" Target="media/image2.svg"/><Relationship Id="rId16" Type="http://schemas.openxmlformats.org/officeDocument/2006/relationships/image" Target="media/image3.svg"/><Relationship Id="rId17" Type="http://schemas.openxmlformats.org/officeDocument/2006/relationships/image" Target="media/image1.svg"/><Relationship Id="rId18" Type="http://schemas.openxmlformats.org/officeDocument/2006/relationships/image" Target="media/image4.png"/><Relationship Id="rId19" Type="http://schemas.openxmlformats.org/officeDocument/2006/relationships/image" Target="media/image2.svg"/><Relationship Id="rId20" Type="http://schemas.openxmlformats.org/officeDocument/2006/relationships/image" Target="media/image3.svg"/><Relationship Id="rId21" Type="http://schemas.openxmlformats.org/officeDocument/2006/relationships/image" Target="media/image1.svg"/><Relationship Id="rId22" Type="http://schemas.openxmlformats.org/officeDocument/2006/relationships/image" Target="media/image4.svg"/><Relationship Id="rId23" Type="http://schemas.openxmlformats.org/officeDocument/2006/relationships/image" Target="media/image5.png"/><Relationship Id="rId24" Type="http://schemas.openxmlformats.org/officeDocument/2006/relationships/image" Target="media/image2.svg"/><Relationship Id="rId25" Type="http://schemas.openxmlformats.org/officeDocument/2006/relationships/image" Target="media/image5.svg"/><Relationship Id="rId26" Type="http://schemas.openxmlformats.org/officeDocument/2006/relationships/image" Target="media/image3.svg"/><Relationship Id="rId27" Type="http://schemas.openxmlformats.org/officeDocument/2006/relationships/image" Target="media/image1.svg"/><Relationship Id="rId28" Type="http://schemas.openxmlformats.org/officeDocument/2006/relationships/image" Target="media/image4.svg"/><Relationship Id="rId29" Type="http://schemas.openxmlformats.org/officeDocument/2006/relationships/image" Target="media/image6.png"/><Relationship Id="rId30" Type="http://schemas.openxmlformats.org/officeDocument/2006/relationships/image" Target="media/image2.svg"/><Relationship Id="rId31" Type="http://schemas.openxmlformats.org/officeDocument/2006/relationships/image" Target="media/image5.svg"/><Relationship Id="rId32" Type="http://schemas.openxmlformats.org/officeDocument/2006/relationships/image" Target="media/image3.svg"/><Relationship Id="rId33" Type="http://schemas.openxmlformats.org/officeDocument/2006/relationships/image" Target="media/image6.svg"/><Relationship Id="rId34" Type="http://schemas.openxmlformats.org/officeDocument/2006/relationships/image" Target="media/image1.svg"/><Relationship Id="rId35" Type="http://schemas.openxmlformats.org/officeDocument/2006/relationships/image" Target="media/image4.svg"/><Relationship Id="rId36" Type="http://schemas.openxmlformats.org/officeDocument/2006/relationships/image" Target="media/image2.svg"/><Relationship Id="rId37" Type="http://schemas.openxmlformats.org/officeDocument/2006/relationships/image" Target="media/image5.svg"/><Relationship Id="rId38" Type="http://schemas.openxmlformats.org/officeDocument/2006/relationships/image" Target="media/image3.svg"/><Relationship Id="rId39" Type="http://schemas.openxmlformats.org/officeDocument/2006/relationships/image" Target="media/image6.svg"/><Relationship Id="rId40" Type="http://schemas.openxmlformats.org/officeDocument/2006/relationships/image" Target="media/image1.svg"/><Relationship Id="rId41" Type="http://schemas.openxmlformats.org/officeDocument/2006/relationships/image" Target="media/image4.svg"/><Relationship Id="rId42" Type="http://schemas.openxmlformats.org/officeDocument/2006/relationships/image" Target="media/image2.svg"/><Relationship Id="rId43" Type="http://schemas.openxmlformats.org/officeDocument/2006/relationships/image" Target="media/image5.svg"/><Relationship Id="rId44" Type="http://schemas.openxmlformats.org/officeDocument/2006/relationships/image" Target="media/image3.svg"/><Relationship Id="rId45" Type="http://schemas.openxmlformats.org/officeDocument/2006/relationships/image" Target="media/image6.svg"/><Relationship Id="rId46" Type="http://schemas.openxmlformats.org/officeDocument/2006/relationships/image" Target="media/image1.svg"/><Relationship Id="rId47" Type="http://schemas.openxmlformats.org/officeDocument/2006/relationships/image" Target="media/image4.svg"/><Relationship Id="rId48" Type="http://schemas.openxmlformats.org/officeDocument/2006/relationships/image" Target="media/image2.svg"/><Relationship Id="rId49" Type="http://schemas.openxmlformats.org/officeDocument/2006/relationships/image" Target="media/image5.svg"/><Relationship Id="rId50" Type="http://schemas.openxmlformats.org/officeDocument/2006/relationships/image" Target="media/image3.svg"/><Relationship Id="rId51" Type="http://schemas.openxmlformats.org/officeDocument/2006/relationships/image" Target="media/image6.svg"/><Relationship Id="rId52" Type="http://schemas.openxmlformats.org/officeDocument/2006/relationships/image" Target="media/image1.svg"/><Relationship Id="rId53" Type="http://schemas.openxmlformats.org/officeDocument/2006/relationships/image" Target="media/image4.svg"/><Relationship Id="rId54" Type="http://schemas.openxmlformats.org/officeDocument/2006/relationships/image" Target="media/image2.svg"/><Relationship Id="rId55" Type="http://schemas.openxmlformats.org/officeDocument/2006/relationships/image" Target="media/image5.svg"/><Relationship Id="rId56" Type="http://schemas.openxmlformats.org/officeDocument/2006/relationships/image" Target="media/image3.svg"/><Relationship Id="rId57" Type="http://schemas.openxmlformats.org/officeDocument/2006/relationships/image" Target="media/image6.svg"/><Relationship Id="rId58" Type="http://schemas.openxmlformats.org/officeDocument/2006/relationships/image" Target="media/image1.svg"/><Relationship Id="rId5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