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media/image1.svg" ContentType="image/svg+xml"/>
  <Override PartName="/word/media/image2.svg" ContentType="image/svg+xml"/>
  <Override PartName="/word/media/image3.svg" ContentType="image/svg+xml"/>
  <Override PartName="/word/media/image4.svg" ContentType="image/svg+xml"/>
  <Override PartName="/word/media/image5.svg" ContentType="image/svg+xml"/>
  <Override PartName="/word/media/image6.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Default Extension="svg" ContentType="image/svg+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center"/>
      </w:pPr>
      <w:r>
        <w:rPr>
          <w:rFonts w:ascii="Malgun Gothic" w:hAnsi="Malgun Gothic" w:eastAsia="Malgun Gothic"/>
          <w:b/>
          <w:i w:val="0"/>
          <w:color w:val="2C5AA0"/>
          <w:sz w:val="48"/>
        </w:rPr>
        <w:t>Moon Market Fresh Food Sales: Growth Opportunity Analysis and Next-Month Revenue Strategies</w:t>
      </w:r>
    </w:p>
    <w:p>
      <w:pPr>
        <w:spacing w:after="480"/>
        <w:jc w:val="center"/>
      </w:pPr>
      <w:r>
        <w:rPr>
          <w:rFonts w:ascii="Malgun Gothic" w:hAnsi="Malgun Gothic" w:eastAsia="Malgun Gothic"/>
          <w:b w:val="0"/>
          <w:i/>
          <w:color w:val="5A5A5A"/>
          <w:sz w:val="24"/>
        </w:rPr>
        <w:t>Customer Segmentation, Revenue Optimization, and Three Prioritized Growth Strategies</w:t>
      </w:r>
    </w:p>
    <w:p>
      <w:pPr>
        <w:pStyle w:val="Heading2"/>
      </w:pPr>
      <w:r>
        <w:rPr>
          <w:rFonts w:ascii="Malgun Gothic" w:hAnsi="Malgun Gothic" w:eastAsia="Malgun Gothic"/>
          <w:b/>
          <w:i w:val="0"/>
          <w:color w:val="34495E"/>
          <w:sz w:val="36"/>
        </w:rPr>
        <w:t>Executive Summary</w:t>
      </w:r>
    </w:p>
    <w:p>
      <w:pPr>
        <w:spacing w:after="160" w:line="276" w:lineRule="auto"/>
        <w:jc w:val="both"/>
      </w:pPr>
      <w:r>
        <w:rPr>
          <w:rFonts w:ascii="Malgun Gothic" w:hAnsi="Malgun Gothic" w:eastAsia="Malgun Gothic"/>
          <w:b w:val="0"/>
          <w:i w:val="0"/>
          <w:sz w:val="21"/>
        </w:rPr>
        <w:t>Moon Market's 14-day fresh-food sales dataset (2025-05-01 to 2025-05-14, Seoul market, 1,144 orders, 10 districts) reveals a revenue base that is heavily concentrated in time, category, and order size, creating clear and immediately actionable growth levers for next month. Total revenue over the period was 22,787,840 KRW [1]  across 1,144 orders at an average order value (AOV) of 19,919 KRW [2] , projecting to a 48,831,086 KRW [3] baseline for a 30-day month  if current daily patterns persist.</w:t>
      </w:r>
    </w:p>
    <w:p>
      <w:pPr>
        <w:spacing w:after="160" w:line="276" w:lineRule="auto"/>
        <w:jc w:val="both"/>
      </w:pPr>
      <w:r>
        <w:rPr>
          <w:rFonts w:ascii="Malgun Gothic" w:hAnsi="Malgun Gothic" w:eastAsia="Malgun Gothic"/>
          <w:b w:val="0"/>
          <w:i w:val="0"/>
          <w:sz w:val="21"/>
        </w:rPr>
        <w:t>The single most important finding is that undiscounted public-holiday demand (+207.9% [4] revenue per day versus a regular weekday) vastly outperforms the existing 20%-off WEEKEND20 promotion (+21.1% [5] versus a regular weekday), meaning the business is paying a real discount cost for a smaller demand lift than it already gets for free on high-demand calendar days. Revenue is also concentrated: the top 2 of 8 categories (Fruit/Nuts/Rice and Health Supplements) generate 49.06% of revenue, and a Premium basket-value tier (orders above 23,800 KRW, 24.74% of all orders) generates 59.13% [6] of total revenue. A cohort-based segmentation (K-means, k=3, applied to the 10 Gender x Age Group cohorts since no customer ID exists in the data) identifies a 'Premium Health-Conscious' cluster (F50s/M50s/M60s) that contributes 31.41% [7] of revenue at the highest average order value and the highest promotion responsiveness of any cluster — a clear upsell target.</w:t>
      </w:r>
    </w:p>
    <w:p>
      <w:pPr>
        <w:spacing w:after="160" w:line="276" w:lineRule="auto"/>
        <w:jc w:val="both"/>
      </w:pPr>
      <w:r>
        <w:rPr>
          <w:rFonts w:ascii="Malgun Gothic" w:hAnsi="Malgun Gothic" w:eastAsia="Malgun Gothic"/>
          <w:b w:val="0"/>
          <w:i w:val="0"/>
          <w:sz w:val="21"/>
        </w:rPr>
        <w:t>Based on these validated patterns, this report proposes three prioritized, data-traced growth strategies for next month: (1 [8]) Planned Demand Event Days replicating the holiday effect without discounting, (2 [9]) a Targeted Bundle Cross-Sell program replacing the inefficient blanket weekend discount, and (3) a Premium Cohort AOV Upsell program for the highest-value customer segment. Combined, the base-case projection for these three strategies is +4,782,331 KRW [10] per month, equal to 9.79% [11] of baseline revenue — with all projections clearly labeled as estimates built from verified historical data and explicitly stated response-rate assumptions, not guaranteed outcomes.</w:t>
      </w:r>
    </w:p>
    <w:p>
      <w:pPr>
        <w:pStyle w:val="Heading2"/>
      </w:pPr>
      <w:r>
        <w:rPr>
          <w:rFonts w:ascii="Malgun Gothic" w:hAnsi="Malgun Gothic" w:eastAsia="Malgun Gothic"/>
          <w:b/>
          <w:i w:val="0"/>
          <w:color w:val="34495E"/>
          <w:sz w:val="36"/>
        </w:rPr>
        <w:t>Data Overview &amp; Caveats</w:t>
      </w:r>
    </w:p>
    <w:p>
      <w:pPr>
        <w:spacing w:after="160" w:line="276" w:lineRule="auto"/>
        <w:jc w:val="both"/>
      </w:pPr>
      <w:r>
        <w:rPr>
          <w:rFonts w:ascii="Malgun Gothic" w:hAnsi="Malgun Gothic" w:eastAsia="Malgun Gothic"/>
          <w:b w:val="0"/>
          <w:i w:val="0"/>
          <w:sz w:val="21"/>
        </w:rPr>
        <w:t>Before presenting findings, it is important to understand the scope and structural limits of the underlying dataset, since these limits shape how segmentation and projections must be interpreted throughout this report.</w:t>
      </w:r>
    </w:p>
    <w:p>
      <w:pPr>
        <w:spacing w:after="160" w:line="276" w:lineRule="auto"/>
        <w:jc w:val="both"/>
      </w:pPr>
      <w:r>
        <w:rPr>
          <w:rFonts w:ascii="Malgun Gothic" w:hAnsi="Malgun Gothic" w:eastAsia="Malgun Gothic"/>
          <w:b w:val="0"/>
          <w:i w:val="0"/>
          <w:sz w:val="21"/>
        </w:rPr>
        <w:t>The dataset covers 1,144 transaction rows across 12 columns for the period 2025-05-01 to 2025-05-14 (14 days), spanning 10 districts in the Seoul market. Data quality is high: there are no missing values except the promotion-id field (blank where no promotion applied, as expected), and no exact duplicate rows were found or removed. Each row represents one order — there is no customer ID and no separate order ID in the source file.</w:t>
      </w:r>
    </w:p>
    <w:p>
      <w:pPr>
        <w:pStyle w:val="Heading3"/>
      </w:pPr>
      <w:r>
        <w:rPr>
          <w:rFonts w:ascii="Malgun Gothic" w:hAnsi="Malgun Gothic" w:eastAsia="Malgun Gothic"/>
          <w:b/>
          <w:i w:val="0"/>
          <w:color w:val="2C3E50"/>
          <w:sz w:val="32"/>
        </w:rPr>
        <w:t>Key Structural Limitations</w:t>
      </w:r>
    </w:p>
    <w:p>
      <w:pPr>
        <w:pStyle w:val="ListBullet"/>
        <w:spacing w:after="80"/>
      </w:pPr>
      <w:r>
        <w:rPr>
          <w:rFonts w:ascii="Malgun Gothic" w:hAnsi="Malgun Gothic" w:eastAsia="Malgun Gothic"/>
          <w:b w:val="0"/>
          <w:i w:val="0"/>
          <w:sz w:val="21"/>
        </w:rPr>
        <w:t>No customer identifier exists, so true per-customer RFM (recency/frequency/monetary) segmentation and individual customer lifetime value or churn-risk analysis are not possible. This report instead builds a demographic-cohort segmentation (Gender x Age Group, 10 cohorts) as the finest identity-like grouping available, plus a basket-value-tier segmentation at the transaction level.</w:t>
      </w:r>
    </w:p>
    <w:p>
      <w:pPr>
        <w:pStyle w:val="ListBullet"/>
        <w:spacing w:after="80"/>
      </w:pPr>
      <w:r>
        <w:rPr>
          <w:rFonts w:ascii="Malgun Gothic" w:hAnsi="Malgun Gothic" w:eastAsia="Malgun Gothic"/>
          <w:b w:val="0"/>
          <w:i w:val="0"/>
          <w:sz w:val="21"/>
        </w:rPr>
        <w:t>No basket/order ID beyond the single-row-per-order structure exists, so classic market-basket (co-purchase within one transaction) analysis cannot be performed. Cross-sell affinities in this report are computed via a cohort + same-day co-occurrence proxy, which is explicitly a proxy for — not a direct measure of — same-basket purchasing.</w:t>
      </w:r>
    </w:p>
    <w:p>
      <w:pPr>
        <w:pStyle w:val="ListBullet"/>
        <w:spacing w:after="80"/>
      </w:pPr>
      <w:r>
        <w:rPr>
          <w:rFonts w:ascii="Malgun Gothic" w:hAnsi="Malgun Gothic" w:eastAsia="Malgun Gothic"/>
          <w:b w:val="0"/>
          <w:i w:val="0"/>
          <w:sz w:val="21"/>
        </w:rPr>
        <w:t>No cost, margin, waste, spoilage, stockout, or returns columns exist. All revenue and 'optimization' findings are margin-blind, based on Amount (revenue) only; true profit impact should be validated against actual product-level margins before execution.</w:t>
      </w:r>
    </w:p>
    <w:p>
      <w:pPr>
        <w:pStyle w:val="ListBullet"/>
        <w:spacing w:after="80"/>
      </w:pPr>
      <w:r>
        <w:rPr>
          <w:rFonts w:ascii="Malgun Gothic" w:hAnsi="Malgun Gothic" w:eastAsia="Malgun Gothic"/>
          <w:b w:val="0"/>
          <w:i w:val="0"/>
          <w:sz w:val="21"/>
        </w:rPr>
        <w:t>The 14-day observation window is short. Public holidays on 2025-05-05 and 2025-05-06 are flagged and analyzed separately because the WEEKEND20 20% automatic weekend discount does not apply on them, which cleanly isolates organic demand from discount-driven demand — but seasonality beyond this bi-weekly window cannot be verified from this data alone.</w:t>
      </w:r>
    </w:p>
    <w:p>
      <w:pPr>
        <w:pStyle w:val="Heading2"/>
      </w:pPr>
      <w:r>
        <w:rPr>
          <w:rFonts w:ascii="Malgun Gothic" w:hAnsi="Malgun Gothic" w:eastAsia="Malgun Gothic"/>
          <w:b/>
          <w:i w:val="0"/>
          <w:color w:val="34495E"/>
          <w:sz w:val="36"/>
        </w:rPr>
        <w:t>Revenue Baseline and Trends</w:t>
      </w:r>
    </w:p>
    <w:p>
      <w:pPr>
        <w:spacing w:after="160" w:line="276" w:lineRule="auto"/>
        <w:jc w:val="both"/>
      </w:pPr>
      <w:r>
        <w:rPr>
          <w:rFonts w:ascii="Malgun Gothic" w:hAnsi="Malgun Gothic" w:eastAsia="Malgun Gothic"/>
          <w:b w:val="0"/>
          <w:i w:val="0"/>
          <w:sz w:val="21"/>
        </w:rPr>
        <w:t>Establishing a clean revenue baseline is the foundation for every uplift projection later in this report. This section presents headline revenue metrics and the day-type pattern that drives them.</w:t>
      </w:r>
    </w:p>
    <w:p>
      <w:pPr>
        <w:spacing w:after="160" w:line="276" w:lineRule="auto"/>
        <w:jc w:val="both"/>
      </w:pPr>
      <w:r>
        <w:rPr>
          <w:rFonts w:ascii="Malgun Gothic" w:hAnsi="Malgun Gothic" w:eastAsia="Malgun Gothic"/>
          <w:b w:val="0"/>
          <w:i w:val="0"/>
          <w:sz w:val="21"/>
        </w:rPr>
        <w:t>Total revenue across the 14-day period was 22,787,840 KRW [1]  across 1,144 orders and 2,166 units, with an average order value (AOV) of 19,919 KRW [2]  and average daily revenue of 1,627,703 KRW [12] . Projecting this average daily revenue across a standard 30-day month gives a baseline next-month revenue of 48,831,086 KRW [3]  — the reference figure against which all three growth strategies in this report are measured. Week-over-week, Week 1 (5/1-5/7) generated more revenue than Week 2 (5/8-5/14), a decline driven almost entirely by Week 1 containing both public holidays rather than any underlying weakening of demand.</w:t>
      </w:r>
    </w:p>
    <w:p>
      <w:pPr>
        <w:spacing w:before="360" w:after="120"/>
        <w:jc w:val="center"/>
      </w:pPr>
      <w:r>
        <w:drawing>
          <wp:inline xmlns:a="http://schemas.openxmlformats.org/drawingml/2006/main" xmlns:pic="http://schemas.openxmlformats.org/drawingml/2006/picture">
            <wp:extent cx="5029200" cy="3112934"/>
            <wp:docPr id="1" name="Picture 1"/>
            <wp:cNvGraphicFramePr>
              <a:graphicFrameLocks noChangeAspect="1"/>
            </wp:cNvGraphicFramePr>
            <a:graphic>
              <a:graphicData uri="http://schemas.openxmlformats.org/drawingml/2006/picture">
                <pic:pic>
                  <pic:nvPicPr>
                    <pic:cNvPr id="0" name="chart1_revenue_trend.png"/>
                    <pic:cNvPicPr/>
                  </pic:nvPicPr>
                  <pic:blipFill>
                    <a:blip r:embed="rId9">
                      <a:extLst>
                        <a:ext uri="{96DAC541-7B7A-43D3-8B79-37D633B846F1}">
                          <ns0:svgBlip xmlns:ns0="http://schemas.microsoft.com/office/drawing/2016/SVG/main" r:embed="rId10"/>
                        </a:ext>
                      </a:extLst>
                    </a:blip>
                    <a:stretch>
                      <a:fillRect/>
                    </a:stretch>
                  </pic:blipFill>
                  <pic:spPr>
                    <a:xfrm>
                      <a:off x="0" y="0"/>
                      <a:ext cx="5029200" cy="3112934"/>
                    </a:xfrm>
                    <a:prstGeom prst="rect"/>
                  </pic:spPr>
                </pic:pic>
              </a:graphicData>
            </a:graphic>
          </wp:inline>
        </w:drawing>
      </w:r>
    </w:p>
    <w:p>
      <w:pPr>
        <w:pStyle w:val="Caption"/>
        <w:spacing w:after="240"/>
        <w:jc w:val="center"/>
      </w:pPr>
      <w:r>
        <w:rPr>
          <w:rFonts w:ascii="Malgun Gothic" w:hAnsi="Malgun Gothic" w:eastAsia="Malgun Gothic"/>
          <w:b w:val="0"/>
          <w:i/>
          <w:color w:val="7F8C8D"/>
          <w:sz w:val="18"/>
        </w:rPr>
        <w:t>Figure 1: Daily revenue, May 1-14, 2025, color-coded by day type (weekday / promo weekend / public holiday).</w:t>
      </w:r>
    </w:p>
    <w:p>
      <w:pPr>
        <w:spacing w:after="160" w:line="276" w:lineRule="auto"/>
        <w:jc w:val="both"/>
      </w:pPr>
      <w:r>
        <w:rPr>
          <w:rFonts w:ascii="Malgun Gothic" w:hAnsi="Malgun Gothic" w:eastAsia="Malgun Gothic"/>
          <w:b w:val="0"/>
          <w:i w:val="0"/>
          <w:sz w:val="21"/>
        </w:rPr>
        <w:t>The chart shows a clear and repeatable pattern: the two public holidays (2025-05-05 and 2025-05-06) produce the highest single-day revenue in the entire period, despite carrying no discount at all. Average daily revenue is 3,692,750 KRW [13] on public holidays , versus 1,452,260 KRW on WEEKEND20 promo weekends  and 1,199,162 KRW on regular weekdays . In relative terms, holiday revenue per day is 207.9% [4] higher than a regular weekday  — driven purely by organic gift-giving demand around the Children's Day / Buddha's Birthday period — while the 20%-discounted promo weekend achieves only a 21.1% [5] lift over a regular weekday . This means the existing blanket promotion recovers only about a fifth of the demand lift that an undiscounted holiday achieves naturally, for a real discount cost: total WEEKEND20 discount given over the 14 days was 1,452,260 KRW , equal to 5.99% [14] of estimated pre-discount list revenue . Order volume tells the same story: holidays average 149.5 ord [15]ers per day versus 60.0 orders per day on a regular weekday, while the peak day (2025-05-06, 150 ord [15]ers) was 2.54x the trough day (2025-05-01, 59 orders)  — a demand swing that current flat staffing and stocking levels likely do not match.</w:t>
      </w:r>
    </w:p>
    <w:p>
      <w:pPr>
        <w:pStyle w:val="Heading2"/>
      </w:pPr>
      <w:r>
        <w:rPr>
          <w:rFonts w:ascii="Malgun Gothic" w:hAnsi="Malgun Gothic" w:eastAsia="Malgun Gothic"/>
          <w:b/>
          <w:i w:val="0"/>
          <w:color w:val="34495E"/>
          <w:sz w:val="36"/>
        </w:rPr>
        <w:t>Customer Patterns &amp; Segmentation</w:t>
      </w:r>
    </w:p>
    <w:p>
      <w:pPr>
        <w:spacing w:after="160" w:line="276" w:lineRule="auto"/>
        <w:jc w:val="both"/>
      </w:pPr>
      <w:r>
        <w:rPr>
          <w:rFonts w:ascii="Malgun Gothic" w:hAnsi="Malgun Gothic" w:eastAsia="Malgun Gothic"/>
          <w:b w:val="0"/>
          <w:i w:val="0"/>
          <w:sz w:val="21"/>
        </w:rPr>
        <w:t>This section uncovers hidden structure in the customer base and product catalog using category Pareto analysis, cohort-level clustering, and basket-value tiering — the finest-grained segmentation possible given that no customer ID exists in the source data.</w:t>
      </w:r>
    </w:p>
    <w:p>
      <w:pPr>
        <w:pStyle w:val="Heading3"/>
      </w:pPr>
      <w:r>
        <w:rPr>
          <w:rFonts w:ascii="Malgun Gothic" w:hAnsi="Malgun Gothic" w:eastAsia="Malgun Gothic"/>
          <w:b/>
          <w:i w:val="0"/>
          <w:color w:val="2C3E50"/>
          <w:sz w:val="32"/>
        </w:rPr>
        <w:t>Category and Product Concentration (Pareto)</w:t>
      </w:r>
    </w:p>
    <w:p>
      <w:pPr>
        <w:spacing w:after="160" w:line="276" w:lineRule="auto"/>
        <w:jc w:val="both"/>
      </w:pPr>
      <w:r>
        <w:rPr>
          <w:rFonts w:ascii="Malgun Gothic" w:hAnsi="Malgun Gothic" w:eastAsia="Malgun Gothic"/>
          <w:b w:val="0"/>
          <w:i w:val="0"/>
          <w:sz w:val="21"/>
        </w:rPr>
        <w:t>Revenue is heavily concentrated in a small number of categories and products, which has direct implications for assortment and merchandising priorities. Fruit/Nuts/Rice is the top category at 25.55% [16] of revenue, followed by Health Supplements at 23.50% [17] — together these two of eight categories account for 49.06% of all revenue. At the product level, only 14 of 24 products (58.3% [18] of the catalog) are needed to generate 80% of total revenue, a relatively shallow Pareto curve indicating the long tail is thin but still worth trimming; the top 5 products alone (White Rice, Red Ginseng, Mixed Nuts, Probiotics, Kimchi Stew Kit) contribute 44.5% [19] of total revenue, while the bottom 8 products combined contribute only 12.34% [20].</w:t>
      </w:r>
    </w:p>
    <w:p>
      <w:pPr>
        <w:spacing w:before="360" w:after="120"/>
        <w:jc w:val="center"/>
      </w:pPr>
      <w:r>
        <w:drawing>
          <wp:inline xmlns:a="http://schemas.openxmlformats.org/drawingml/2006/main" xmlns:pic="http://schemas.openxmlformats.org/drawingml/2006/picture">
            <wp:extent cx="5029200" cy="4070242"/>
            <wp:docPr id="2" name="Picture 2"/>
            <wp:cNvGraphicFramePr>
              <a:graphicFrameLocks noChangeAspect="1"/>
            </wp:cNvGraphicFramePr>
            <a:graphic>
              <a:graphicData uri="http://schemas.openxmlformats.org/drawingml/2006/picture">
                <pic:pic>
                  <pic:nvPicPr>
                    <pic:cNvPr id="0" name="chart2_product_pareto.png"/>
                    <pic:cNvPicPr/>
                  </pic:nvPicPr>
                  <pic:blipFill>
                    <a:blip r:embed="rId11">
                      <a:extLst>
                        <a:ext uri="{96DAC541-7B7A-43D3-8B79-37D633B846F1}">
                          <ns0:svgBlip xmlns:ns0="http://schemas.microsoft.com/office/drawing/2016/SVG/main" r:embed="rId13"/>
                        </a:ext>
                      </a:extLst>
                    </a:blip>
                    <a:stretch>
                      <a:fillRect/>
                    </a:stretch>
                  </pic:blipFill>
                  <pic:spPr>
                    <a:xfrm>
                      <a:off x="0" y="0"/>
                      <a:ext cx="5029200" cy="4070242"/>
                    </a:xfrm>
                    <a:prstGeom prst="rect"/>
                  </pic:spPr>
                </pic:pic>
              </a:graphicData>
            </a:graphic>
          </wp:inline>
        </w:drawing>
      </w:r>
    </w:p>
    <w:p>
      <w:pPr>
        <w:pStyle w:val="Caption"/>
        <w:spacing w:after="240"/>
        <w:jc w:val="center"/>
      </w:pPr>
      <w:r>
        <w:rPr>
          <w:rFonts w:ascii="Malgun Gothic" w:hAnsi="Malgun Gothic" w:eastAsia="Malgun Gothic"/>
          <w:b w:val="0"/>
          <w:i/>
          <w:color w:val="7F8C8D"/>
          <w:sz w:val="18"/>
        </w:rPr>
        <w:t>Figure 2: Revenue Pareto by product (top 15 products plus an aggregated "others" bar), with cumulative revenue share.</w:t>
      </w:r>
    </w:p>
    <w:p>
      <w:pPr>
        <w:spacing w:after="160" w:line="276" w:lineRule="auto"/>
        <w:jc w:val="both"/>
      </w:pPr>
      <w:r>
        <w:rPr>
          <w:rFonts w:ascii="Malgun Gothic" w:hAnsi="Malgun Gothic" w:eastAsia="Malgun Gothic"/>
          <w:b w:val="0"/>
          <w:i w:val="0"/>
          <w:sz w:val="21"/>
        </w:rPr>
        <w:t>The chart highlights an outlier worth flagging operationally: the Hanwoo Beef Gift Set has only 3 orders in the entire 14-day window — the lowest order count of any product — yet generates 1,170,000 KRW [21] in revenue at 390,000 KRW per order, a high-value, low-frequency gifting item that is almost certainly holiday-driven rather than everyday demand.</w:t>
      </w:r>
    </w:p>
    <w:p>
      <w:pPr>
        <w:pStyle w:val="Heading3"/>
      </w:pPr>
      <w:r>
        <w:rPr>
          <w:rFonts w:ascii="Malgun Gothic" w:hAnsi="Malgun Gothic" w:eastAsia="Malgun Gothic"/>
          <w:b/>
          <w:i w:val="0"/>
          <w:color w:val="2C3E50"/>
          <w:sz w:val="32"/>
        </w:rPr>
        <w:t>Hidden Cohort Segments (K-Means Clustering)</w:t>
      </w:r>
    </w:p>
    <w:p>
      <w:pPr>
        <w:spacing w:after="160" w:line="276" w:lineRule="auto"/>
        <w:jc w:val="both"/>
      </w:pPr>
      <w:r>
        <w:rPr>
          <w:rFonts w:ascii="Malgun Gothic" w:hAnsi="Malgun Gothic" w:eastAsia="Malgun Gothic"/>
          <w:b w:val="0"/>
          <w:i w:val="0"/>
          <w:sz w:val="21"/>
        </w:rPr>
        <w:t>Because no customer ID exists, clustering was performed on the 10 Gender x Age Group demographic cohorts (not individual customers), using standardized AOV, average quantity, promotion-usage rate, and order count as features. k=3 was selected via the elbow method, where the marginal drop in inertia flattens materially after k=3 — this is a directional, cohort-level segmentation given the small (10-point) sample, not a statistically definitive individual-customer segmentation.</w:t>
      </w:r>
    </w:p>
    <w:p>
      <w:pPr>
        <w:spacing w:before="360" w:after="120"/>
        <w:jc w:val="center"/>
      </w:pPr>
      <w:r>
        <w:drawing>
          <wp:inline xmlns:a="http://schemas.openxmlformats.org/drawingml/2006/main" xmlns:pic="http://schemas.openxmlformats.org/drawingml/2006/picture">
            <wp:extent cx="5029200" cy="4074559"/>
            <wp:docPr id="3" name="Picture 3"/>
            <wp:cNvGraphicFramePr>
              <a:graphicFrameLocks noChangeAspect="1"/>
            </wp:cNvGraphicFramePr>
            <a:graphic>
              <a:graphicData uri="http://schemas.openxmlformats.org/drawingml/2006/picture">
                <pic:pic>
                  <pic:nvPicPr>
                    <pic:cNvPr id="0" name="chart3_segment_map.png"/>
                    <pic:cNvPicPr/>
                  </pic:nvPicPr>
                  <pic:blipFill>
                    <a:blip r:embed="rId12">
                      <a:extLst>
                        <a:ext uri="{96DAC541-7B7A-43D3-8B79-37D633B846F1}">
                          <ns1:svgBlip xmlns:ns1="http://schemas.microsoft.com/office/drawing/2016/SVG/main" r:embed="rId15"/>
                        </a:ext>
                      </a:extLst>
                    </a:blip>
                    <a:stretch>
                      <a:fillRect/>
                    </a:stretch>
                  </pic:blipFill>
                  <pic:spPr>
                    <a:xfrm>
                      <a:off x="0" y="0"/>
                      <a:ext cx="5029200" cy="4074559"/>
                    </a:xfrm>
                    <a:prstGeom prst="rect"/>
                  </pic:spPr>
                </pic:pic>
              </a:graphicData>
            </a:graphic>
          </wp:inline>
        </w:drawing>
      </w:r>
    </w:p>
    <w:p>
      <w:pPr>
        <w:pStyle w:val="Caption"/>
        <w:spacing w:after="240"/>
        <w:jc w:val="center"/>
      </w:pPr>
      <w:r>
        <w:rPr>
          <w:rFonts w:ascii="Malgun Gothic" w:hAnsi="Malgun Gothic" w:eastAsia="Malgun Gothic"/>
          <w:b w:val="0"/>
          <w:i/>
          <w:color w:val="7F8C8D"/>
          <w:sz w:val="18"/>
        </w:rPr>
        <w:t>Figure 3: Cohort segment bubble map — orders (x-axis) vs. AOV (y-axis), bubble size = revenue, colored by K-means cluster.</w:t>
      </w:r>
    </w:p>
    <w:p>
      <w:pPr>
        <w:spacing w:after="160" w:line="276" w:lineRule="auto"/>
        <w:jc w:val="both"/>
      </w:pPr>
      <w:r>
        <w:rPr>
          <w:rFonts w:ascii="Malgun Gothic" w:hAnsi="Malgun Gothic" w:eastAsia="Malgun Gothic"/>
          <w:b w:val="0"/>
          <w:i w:val="0"/>
          <w:sz w:val="21"/>
        </w:rPr>
        <w:t>Three distinct clusters emerge. Cluster 0 ('General/Value cohorts': F20s, F40s, F60s, M20s, M40s) represents 45.96% [22] of revenue with the lowest average promotion-usage rate (29.1% [23]) and moderate AOV. Cluster 1 ('Premium Health-Conscious': F50s, M50s, M60s) represents 31.41% [7] of revenue with the highest average AOV (22,970 KRW [24]) and the highest average promotion-usage rate (34.3% [25]) of any cluster — this group spends the most per order and is simultaneously the most promotion-responsive, making it the highest-leverage upsell target in the dataset. Cluster 2 ('30s Active shoppers': F30s, M30s) represents 22.63% [26] of revenue with the highest average quantity per order (1.95 units) but the lowest average AOV (17,881 KRW [27]) — a promo-sensitive, volume-oriented segment. Within Cluster 1, Health Supplements dominates spend for F60s (50.86% [28] of F60s spend) and M60s (48.24% [29] of M60s spend), while M50s skews toward Fruit/Nuts/Rice (35.79% [30]); M50s also posts the single highest cohort AOV in the entire dataset at 26,169 KRW [31].</w:t>
      </w:r>
    </w:p>
    <w:p>
      <w:pPr>
        <w:pStyle w:val="Heading3"/>
      </w:pPr>
      <w:r>
        <w:rPr>
          <w:rFonts w:ascii="Malgun Gothic" w:hAnsi="Malgun Gothic" w:eastAsia="Malgun Gothic"/>
          <w:b/>
          <w:i w:val="0"/>
          <w:color w:val="2C3E50"/>
          <w:sz w:val="32"/>
        </w:rPr>
        <w:t>Basket-Value Tier Segmentation</w:t>
      </w:r>
    </w:p>
    <w:p>
      <w:pPr>
        <w:spacing w:after="160" w:line="276" w:lineRule="auto"/>
        <w:jc w:val="both"/>
      </w:pPr>
      <w:r>
        <w:rPr>
          <w:rFonts w:ascii="Malgun Gothic" w:hAnsi="Malgun Gothic" w:eastAsia="Malgun Gothic"/>
          <w:b w:val="0"/>
          <w:i w:val="0"/>
          <w:sz w:val="21"/>
        </w:rPr>
        <w:t>As a transaction-level complement to the cohort clustering, orders were also segmented into four value tiers (Premium, High, Mid, Low) based on per-order amount.</w:t>
      </w:r>
    </w:p>
    <w:p>
      <w:pPr>
        <w:pStyle w:val="ListBullet"/>
        <w:spacing w:after="80"/>
      </w:pPr>
      <w:r>
        <w:rPr>
          <w:rFonts w:ascii="Malgun Gothic" w:hAnsi="Malgun Gothic" w:eastAsia="Malgun Gothic"/>
          <w:b w:val="0"/>
          <w:i w:val="0"/>
          <w:sz w:val="21"/>
        </w:rPr>
        <w:t>Premium tier (&gt;23,800 KRW/order): 24.74% of orders but 59.13% [6] of total revenue (13,475,480 KRW [32]) — revenue is extremely concentrated in large orders.</w:t>
      </w:r>
    </w:p>
    <w:p>
      <w:pPr>
        <w:pStyle w:val="ListBullet"/>
        <w:spacing w:after="80"/>
      </w:pPr>
      <w:r>
        <w:rPr>
          <w:rFonts w:ascii="Malgun Gothic" w:hAnsi="Malgun Gothic" w:eastAsia="Malgun Gothic"/>
          <w:b w:val="0"/>
          <w:i w:val="0"/>
          <w:sz w:val="21"/>
        </w:rPr>
        <w:t>High tier (12,900-23,800 KRW): 24.74% of orders, 21.89% [33] of revenue.</w:t>
      </w:r>
    </w:p>
    <w:p>
      <w:pPr>
        <w:pStyle w:val="ListBullet"/>
        <w:spacing w:after="80"/>
      </w:pPr>
      <w:r>
        <w:rPr>
          <w:rFonts w:ascii="Malgun Gothic" w:hAnsi="Malgun Gothic" w:eastAsia="Malgun Gothic"/>
          <w:b w:val="0"/>
          <w:i w:val="0"/>
          <w:sz w:val="21"/>
        </w:rPr>
        <w:t>Mid tier (7,120-12,900 KRW): 24.30% of orders, 12.38% [34] of revenue.</w:t>
      </w:r>
    </w:p>
    <w:p>
      <w:pPr>
        <w:pStyle w:val="ListBullet"/>
        <w:spacing w:after="80"/>
      </w:pPr>
      <w:r>
        <w:rPr>
          <w:rFonts w:ascii="Malgun Gothic" w:hAnsi="Malgun Gothic" w:eastAsia="Malgun Gothic"/>
          <w:b w:val="0"/>
          <w:i w:val="0"/>
          <w:sz w:val="21"/>
        </w:rPr>
        <w:t>Low tier (&lt;=7,120 KRW): 26.22% of orders, only 6.60% [35] of revenue.</w:t>
      </w:r>
    </w:p>
    <w:p>
      <w:pPr>
        <w:spacing w:after="160" w:line="276" w:lineRule="auto"/>
        <w:jc w:val="both"/>
      </w:pPr>
      <w:r>
        <w:rPr>
          <w:rFonts w:ascii="Malgun Gothic" w:hAnsi="Malgun Gothic" w:eastAsia="Malgun Gothic"/>
          <w:b w:val="0"/>
          <w:i w:val="0"/>
          <w:sz w:val="21"/>
        </w:rPr>
        <w:t>The practical implication is that roughly a quarter of orders (the Premium tier) drive about six times the revenue of an equally-sized quartile of Low-tier orders — basket-size growth through upselling or bundling in the Low and Mid tiers therefore carries outsized revenue leverage per order converted.</w:t>
      </w:r>
    </w:p>
    <w:p>
      <w:pPr>
        <w:pStyle w:val="Heading2"/>
      </w:pPr>
      <w:r>
        <w:rPr>
          <w:rFonts w:ascii="Malgun Gothic" w:hAnsi="Malgun Gothic" w:eastAsia="Malgun Gothic"/>
          <w:b/>
          <w:i w:val="0"/>
          <w:color w:val="34495E"/>
          <w:sz w:val="36"/>
        </w:rPr>
        <w:t>Revenue Optimization Opportunities</w:t>
      </w:r>
    </w:p>
    <w:p>
      <w:pPr>
        <w:spacing w:after="160" w:line="276" w:lineRule="auto"/>
        <w:jc w:val="both"/>
      </w:pPr>
      <w:r>
        <w:rPr>
          <w:rFonts w:ascii="Malgun Gothic" w:hAnsi="Malgun Gothic" w:eastAsia="Malgun Gothic"/>
          <w:b w:val="0"/>
          <w:i w:val="0"/>
          <w:sz w:val="21"/>
        </w:rPr>
        <w:t>This section examines where revenue is being left on the table or given away unnecessarily, covering cross-sell affinity, discount effectiveness, and pricing/velocity mismatches.</w:t>
      </w:r>
    </w:p>
    <w:p>
      <w:pPr>
        <w:pStyle w:val="Heading3"/>
      </w:pPr>
      <w:r>
        <w:rPr>
          <w:rFonts w:ascii="Malgun Gothic" w:hAnsi="Malgun Gothic" w:eastAsia="Malgun Gothic"/>
          <w:b/>
          <w:i w:val="0"/>
          <w:color w:val="2C3E50"/>
          <w:sz w:val="32"/>
        </w:rPr>
        <w:t>Cross-Sell / Category Affinity</w:t>
      </w:r>
    </w:p>
    <w:p>
      <w:pPr>
        <w:spacing w:after="160" w:line="276" w:lineRule="auto"/>
        <w:jc w:val="both"/>
      </w:pPr>
      <w:r>
        <w:rPr>
          <w:rFonts w:ascii="Malgun Gothic" w:hAnsi="Malgun Gothic" w:eastAsia="Malgun Gothic"/>
          <w:b w:val="0"/>
          <w:i w:val="0"/>
          <w:sz w:val="21"/>
        </w:rPr>
        <w:t>Since no basket ID exists, cross-sell opportunities were identified using a cohort + same-day co-occurrence proxy (same demographic cohort purchasing from multiple categories on the same day) as a stand-in for true same-basket co-purchase. Across 140 cohort-day groups, 136 (97%) bought from 2 or more categories, confirming that most cohort-day purchasing spans multiple categories and supports the feasibility of bundling. The strongest affinity pair is Fruit/Nuts/Rice + Ready Meal/Meal Kit/Salad, co-occurring in 68 of 140 cohort-day groups (48.6% [36] support) — the strongest cross-category affinity in the data. Other notable pairs include Bakery + Fruit/Nuts/Rice (47.9% support), Coffee/Tea + Ready Meal/Meal Kit/Salad (45.7%), Coffee/Tea + Fruit/Nuts/Rice (45.0%), and Bakery + Ready Meal/Meal Kit/Salad (44.3%). The combined revenue at stake for the top pair alone is 8,626,980 KRW [37] over the 14-day window — 37.9% of total revenue — a substantial base for a targeted bundle offer.</w:t>
      </w:r>
    </w:p>
    <w:p>
      <w:pPr>
        <w:pStyle w:val="Heading3"/>
      </w:pPr>
      <w:r>
        <w:rPr>
          <w:rFonts w:ascii="Malgun Gothic" w:hAnsi="Malgun Gothic" w:eastAsia="Malgun Gothic"/>
          <w:b/>
          <w:i w:val="0"/>
          <w:color w:val="2C3E50"/>
          <w:sz w:val="32"/>
        </w:rPr>
        <w:t>Discount and Promotion Effectiveness</w:t>
      </w:r>
    </w:p>
    <w:p>
      <w:pPr>
        <w:spacing w:after="160" w:line="276" w:lineRule="auto"/>
        <w:jc w:val="both"/>
      </w:pPr>
      <w:r>
        <w:rPr>
          <w:rFonts w:ascii="Malgun Gothic" w:hAnsi="Malgun Gothic" w:eastAsia="Malgun Gothic"/>
          <w:b w:val="0"/>
          <w:i w:val="0"/>
          <w:sz w:val="21"/>
        </w:rPr>
        <w:t>A direct comparison of discounted demand (WEEKEND20 promo weekends) against undiscounted demand (public holidays) and ordinary weekdays reveals how efficiently the current promotion is spending its discount budget.</w:t>
      </w:r>
    </w:p>
    <w:p>
      <w:pPr>
        <w:spacing w:before="360" w:after="120"/>
        <w:jc w:val="center"/>
      </w:pPr>
      <w:r>
        <w:drawing>
          <wp:inline xmlns:a="http://schemas.openxmlformats.org/drawingml/2006/main" xmlns:pic="http://schemas.openxmlformats.org/drawingml/2006/picture">
            <wp:extent cx="5029200" cy="3106349"/>
            <wp:docPr id="4" name="Picture 4"/>
            <wp:cNvGraphicFramePr>
              <a:graphicFrameLocks noChangeAspect="1"/>
            </wp:cNvGraphicFramePr>
            <a:graphic>
              <a:graphicData uri="http://schemas.openxmlformats.org/drawingml/2006/picture">
                <pic:pic>
                  <pic:nvPicPr>
                    <pic:cNvPr id="0" name="chart5_discount_response.png"/>
                    <pic:cNvPicPr/>
                  </pic:nvPicPr>
                  <pic:blipFill>
                    <a:blip r:embed="rId16">
                      <a:extLst>
                        <a:ext uri="{96DAC541-7B7A-43D3-8B79-37D633B846F1}">
                          <ns0:svgBlip xmlns:ns0="http://schemas.microsoft.com/office/drawing/2016/SVG/main" r:embed="rId20"/>
                        </a:ext>
                      </a:extLst>
                    </a:blip>
                    <a:stretch>
                      <a:fillRect/>
                    </a:stretch>
                  </pic:blipFill>
                  <pic:spPr>
                    <a:xfrm>
                      <a:off x="0" y="0"/>
                      <a:ext cx="5029200" cy="3106349"/>
                    </a:xfrm>
                    <a:prstGeom prst="rect"/>
                  </pic:spPr>
                </pic:pic>
              </a:graphicData>
            </a:graphic>
          </wp:inline>
        </w:drawing>
      </w:r>
    </w:p>
    <w:p>
      <w:pPr>
        <w:pStyle w:val="Caption"/>
        <w:spacing w:after="240"/>
        <w:jc w:val="center"/>
      </w:pPr>
      <w:r>
        <w:rPr>
          <w:rFonts w:ascii="Malgun Gothic" w:hAnsi="Malgun Gothic" w:eastAsia="Malgun Gothic"/>
          <w:b w:val="0"/>
          <w:i/>
          <w:color w:val="7F8C8D"/>
          <w:sz w:val="18"/>
        </w:rPr>
        <w:t>Figure 4: Discount depth (0% vs. 20%) versus daily unit-volume response, grouped by day type.</w:t>
      </w:r>
    </w:p>
    <w:p>
      <w:pPr>
        <w:spacing w:after="160" w:line="276" w:lineRule="auto"/>
        <w:jc w:val="both"/>
      </w:pPr>
      <w:r>
        <w:rPr>
          <w:rFonts w:ascii="Malgun Gothic" w:hAnsi="Malgun Gothic" w:eastAsia="Malgun Gothic"/>
          <w:b w:val="0"/>
          <w:i w:val="0"/>
          <w:sz w:val="21"/>
        </w:rPr>
        <w:t>The scatter shows that order volume lift from the 20%-discounted promo weekend (+52.1% [38] orders, +53.8% [39] units versus weekday) is real but modest compared to the lift achieved by public holidays with zero discount (+149% [15] orders versus weekday). In revenue terms, the promo weekend's +21.1% [5] lift over weekday comes at a direct cost of 1,452,260 KRW in discounts given over the 14-day window — equal to 5.99% [14] of estimated pre-discount list revenue of 24,240,100 KRW [40] — while the holiday's +207.9% [4] lift costs nothing in discount. This is the central revenue-optimization finding of the analysis: the existing blanket discount is a comparatively inefficient demand lever next to organic, well-timed, undiscounted demand events.</w:t>
      </w:r>
    </w:p>
    <w:p>
      <w:pPr>
        <w:spacing w:after="160" w:line="276" w:lineRule="auto"/>
        <w:jc w:val="both"/>
      </w:pPr>
      <w:r>
        <w:rPr>
          <w:rFonts w:ascii="Malgun Gothic" w:hAnsi="Malgun Gothic" w:eastAsia="Malgun Gothic"/>
          <w:b w:val="0"/>
          <w:i w:val="0"/>
          <w:sz w:val="21"/>
        </w:rPr>
        <w:t>A supporting correlation analysis (noting that correlation does not imply causation, especially with only 14 days of aggregate order data) found unit_price vs. Qty at approximately 0.021 — essentially no relationship, indicating low price elasticity within the observed price bands — while has_promo vs. Amount was approximately -0.102 and has_promo vs. unit_price was approximately -0.134, consistent with WEEKEND20 pulling in lower-priced, lower-AOV baskets rather than driving incremental high-value purchases.</w:t>
      </w:r>
    </w:p>
    <w:p>
      <w:pPr>
        <w:pStyle w:val="Heading3"/>
      </w:pPr>
      <w:r>
        <w:rPr>
          <w:rFonts w:ascii="Malgun Gothic" w:hAnsi="Malgun Gothic" w:eastAsia="Malgun Gothic"/>
          <w:b/>
          <w:i w:val="0"/>
          <w:color w:val="2C3E50"/>
          <w:sz w:val="32"/>
        </w:rPr>
        <w:t>Pricing and Velocity Mismatches</w:t>
      </w:r>
    </w:p>
    <w:p>
      <w:pPr>
        <w:spacing w:after="160" w:line="276" w:lineRule="auto"/>
        <w:jc w:val="both"/>
      </w:pPr>
      <w:r>
        <w:rPr>
          <w:rFonts w:ascii="Malgun Gothic" w:hAnsi="Malgun Gothic" w:eastAsia="Malgun Gothic"/>
          <w:b w:val="0"/>
          <w:i w:val="0"/>
          <w:sz w:val="21"/>
        </w:rPr>
        <w:t>Comparing unit price against daily sales velocity surfaces specific SKU-level opportunities for bundling, promotion, or price testing.</w:t>
      </w:r>
    </w:p>
    <w:p>
      <w:pPr>
        <w:pStyle w:val="ListBullet"/>
        <w:spacing w:after="80"/>
      </w:pPr>
      <w:r>
        <w:rPr>
          <w:rFonts w:ascii="Malgun Gothic" w:hAnsi="Malgun Gothic" w:eastAsia="Malgun Gothic"/>
          <w:b w:val="0"/>
          <w:i w:val="0"/>
          <w:sz w:val="21"/>
        </w:rPr>
        <w:t>High-price / low-velocity (bundling or promotion candidates): Red Ginseng (36,636 KRW/unit, 4.71 units/day), Hanwoo Beef Gift Set (130,000 KRW/unit, 0.64 units/day), Probiotics (23,041 KRW [24]/unit, 5.36 units/day), Omega-3 (18,614 KRW/unit, 4.64 units/day).</w:t>
      </w:r>
    </w:p>
    <w:p>
      <w:pPr>
        <w:pStyle w:val="ListBullet"/>
        <w:spacing w:after="80"/>
      </w:pPr>
      <w:r>
        <w:rPr>
          <w:rFonts w:ascii="Malgun Gothic" w:hAnsi="Malgun Gothic" w:eastAsia="Malgun Gothic"/>
          <w:b w:val="0"/>
          <w:i w:val="0"/>
          <w:sz w:val="21"/>
        </w:rPr>
        <w:t>Low-price / high-velocity (upsell or price-test candidates): Cheddar Cheese (5,888 KRW/unit, 8.50 units/day), Salad Kit (6,369 KRW/unit, 8.36 units/day), Egg (4,593 KRW/unit, 7.29 units/day).</w:t>
      </w:r>
    </w:p>
    <w:p>
      <w:pPr>
        <w:spacing w:after="160" w:line="276" w:lineRule="auto"/>
        <w:jc w:val="both"/>
      </w:pPr>
      <w:r>
        <w:rPr>
          <w:rFonts w:ascii="Malgun Gothic" w:hAnsi="Malgun Gothic" w:eastAsia="Malgun Gothic"/>
          <w:b w:val="0"/>
          <w:i w:val="0"/>
          <w:sz w:val="21"/>
        </w:rPr>
        <w:t>At the category level, Ready Meal/Meal Kit/Salad has the fastest velocity (25.5 units/day), while Health Supplements — despite being the #2 revenue category — is the slowest-moving major category at 14.7 units/day, consistent with its profile as a premium, infrequent-purchase category rather than a daily staple.</w:t>
      </w:r>
    </w:p>
    <w:p>
      <w:pPr>
        <w:pStyle w:val="Heading2"/>
      </w:pPr>
      <w:r>
        <w:rPr>
          <w:rFonts w:ascii="Malgun Gothic" w:hAnsi="Malgun Gothic" w:eastAsia="Malgun Gothic"/>
          <w:b/>
          <w:i w:val="0"/>
          <w:color w:val="34495E"/>
          <w:sz w:val="36"/>
        </w:rPr>
        <w:t>Marketing &amp; Operational Efficiency Improvements</w:t>
      </w:r>
    </w:p>
    <w:p>
      <w:pPr>
        <w:spacing w:after="160" w:line="276" w:lineRule="auto"/>
        <w:jc w:val="both"/>
      </w:pPr>
      <w:r>
        <w:rPr>
          <w:rFonts w:ascii="Malgun Gothic" w:hAnsi="Malgun Gothic" w:eastAsia="Malgun Gothic"/>
          <w:b w:val="0"/>
          <w:i w:val="0"/>
          <w:sz w:val="21"/>
        </w:rPr>
        <w:t>Beyond pricing and segmentation, demand is also unevenly distributed across days of the week, creating staffing and stocking inefficiencies if the business operates on a flat, non-differentiated schedule. This section examines that demand-vs-capacity mismatch and related geographic/demographic patterns relevant to marketing targeting.</w:t>
      </w:r>
    </w:p>
    <w:p>
      <w:pPr>
        <w:spacing w:before="360" w:after="120"/>
        <w:jc w:val="center"/>
      </w:pPr>
      <w:r>
        <w:drawing>
          <wp:inline xmlns:a="http://schemas.openxmlformats.org/drawingml/2006/main" xmlns:pic="http://schemas.openxmlformats.org/drawingml/2006/picture">
            <wp:extent cx="5029200" cy="2718183"/>
            <wp:docPr id="5" name="Picture 5"/>
            <wp:cNvGraphicFramePr>
              <a:graphicFrameLocks noChangeAspect="1"/>
            </wp:cNvGraphicFramePr>
            <a:graphic>
              <a:graphicData uri="http://schemas.openxmlformats.org/drawingml/2006/picture">
                <pic:pic>
                  <pic:nvPicPr>
                    <pic:cNvPr id="0" name="chart4_dow_heatmap.png"/>
                    <pic:cNvPicPr/>
                  </pic:nvPicPr>
                  <pic:blipFill>
                    <a:blip r:embed="rId21">
                      <a:extLst>
                        <a:ext uri="{96DAC541-7B7A-43D3-8B79-37D633B846F1}">
                          <ns0:svgBlip xmlns:ns0="http://schemas.microsoft.com/office/drawing/2016/SVG/main" r:embed="rId25"/>
                        </a:ext>
                      </a:extLst>
                    </a:blip>
                    <a:stretch>
                      <a:fillRect/>
                    </a:stretch>
                  </pic:blipFill>
                  <pic:spPr>
                    <a:xfrm>
                      <a:off x="0" y="0"/>
                      <a:ext cx="5029200" cy="2718183"/>
                    </a:xfrm>
                    <a:prstGeom prst="rect"/>
                  </pic:spPr>
                </pic:pic>
              </a:graphicData>
            </a:graphic>
          </wp:inline>
        </w:drawing>
      </w:r>
    </w:p>
    <w:p>
      <w:pPr>
        <w:pStyle w:val="Caption"/>
        <w:spacing w:after="240"/>
        <w:jc w:val="center"/>
      </w:pPr>
      <w:r>
        <w:rPr>
          <w:rFonts w:ascii="Malgun Gothic" w:hAnsi="Malgun Gothic" w:eastAsia="Malgun Gothic"/>
          <w:b w:val="0"/>
          <w:i/>
          <w:color w:val="7F8C8D"/>
          <w:sz w:val="18"/>
        </w:rPr>
        <w:t>Figure 5: Day-of-week x week-number order-volume heatmap (2 weeks x 7 days).</w:t>
      </w:r>
    </w:p>
    <w:p>
      <w:pPr>
        <w:spacing w:after="160" w:line="276" w:lineRule="auto"/>
        <w:jc w:val="both"/>
      </w:pPr>
      <w:r>
        <w:rPr>
          <w:rFonts w:ascii="Malgun Gothic" w:hAnsi="Malgun Gothic" w:eastAsia="Malgun Gothic"/>
          <w:b w:val="0"/>
          <w:i w:val="0"/>
          <w:sz w:val="21"/>
        </w:rPr>
        <w:t>The heatmap confirms the day-type pattern already seen in revenue: order counts spike sharply around the public holidays and promo weekends, while regular weekdays run at a materially lower and flatter level. The peak day, 2025-05-06 (150 ord [15]ers), is 2.54x the trough day, 2025-05-01 (59 orders) — yet staffing and stocking are presumed to be roughly constant across days under the current operating model. This is a clear efficiency gap: dynamic staffing and inventory pre-positioning around known demand-concentration days (holidays, weekends) would reduce both understaffing risk on peak days and overstaffing cost on trough days.</w:t>
      </w:r>
    </w:p>
    <w:p>
      <w:pPr>
        <w:spacing w:after="160" w:line="276" w:lineRule="auto"/>
        <w:jc w:val="both"/>
      </w:pPr>
      <w:r>
        <w:rPr>
          <w:rFonts w:ascii="Malgun Gothic" w:hAnsi="Malgun Gothic" w:eastAsia="Malgun Gothic"/>
          <w:b w:val="0"/>
          <w:i w:val="0"/>
          <w:sz w:val="21"/>
        </w:rPr>
        <w:t>No waste, spoilage, stockout, or returns columns exist in this dataset, so operational-efficiency analysis here is necessarily limited to demand-timing and sales-velocity proxies (see the Pricing and Velocity Mismatches discussion above) rather than direct loss metrics — this is a data limitation to flag for future instrumentation, not a finding in itself.</w:t>
      </w:r>
    </w:p>
    <w:p>
      <w:pPr>
        <w:pStyle w:val="Heading3"/>
      </w:pPr>
      <w:r>
        <w:rPr>
          <w:rFonts w:ascii="Malgun Gothic" w:hAnsi="Malgun Gothic" w:eastAsia="Malgun Gothic"/>
          <w:b/>
          <w:i w:val="0"/>
          <w:color w:val="2C3E50"/>
          <w:sz w:val="32"/>
        </w:rPr>
        <w:t>Marketing Targeting Signals (Geography and Demographics)</w:t>
      </w:r>
    </w:p>
    <w:p>
      <w:pPr>
        <w:spacing w:after="160" w:line="276" w:lineRule="auto"/>
        <w:jc w:val="both"/>
      </w:pPr>
      <w:r>
        <w:rPr>
          <w:rFonts w:ascii="Malgun Gothic" w:hAnsi="Malgun Gothic" w:eastAsia="Malgun Gothic"/>
          <w:b w:val="0"/>
          <w:i w:val="0"/>
          <w:sz w:val="21"/>
        </w:rPr>
        <w:t>Geographic and demographic breakdowns further sharpen where marketing spend and merchandising attention should concentrate. Songpa-gu is the top district by revenue (17.88% of revenue, 215 orders), followed by Seocho-gu (12.55% of revenue but the highest AOV of any district at 29,796 KRW/order on only 96 orders) and Mapo-gu (11.09%). By gender, female customers generate 53.13% of revenue (12,106,940 KRW [41], AOV 20,348 KRW [42]) versus male customers at 46.87% (10,680,900 KRW [43], AOV 19,455 KRW [44]) — female AOV runs about 4.6% higher. By age group, the 30s lead in revenue share (22.63% [26]), narrowly ahead of the 50s (22.38%), but AOV tells a different story: the 50s post by far the highest AOV (24,172 KRW [45]) versus the 20s, the lowest (17,665 KRW [46]) — the 50s cohort buys less often but spends substantially more per order, reinforcing it as a high-value targeting priority alongside the Cluster 1 finding above.</w:t>
      </w:r>
    </w:p>
    <w:p>
      <w:pPr>
        <w:pStyle w:val="Heading2"/>
      </w:pPr>
      <w:r>
        <w:rPr>
          <w:rFonts w:ascii="Malgun Gothic" w:hAnsi="Malgun Gothic" w:eastAsia="Malgun Gothic"/>
          <w:b/>
          <w:i w:val="0"/>
          <w:color w:val="34495E"/>
          <w:sz w:val="36"/>
        </w:rPr>
        <w:t>Three Prioritized Growth Strategies</w:t>
      </w:r>
    </w:p>
    <w:p>
      <w:pPr>
        <w:spacing w:after="160" w:line="276" w:lineRule="auto"/>
        <w:jc w:val="both"/>
      </w:pPr>
      <w:r>
        <w:rPr>
          <w:rFonts w:ascii="Malgun Gothic" w:hAnsi="Malgun Gothic" w:eastAsia="Malgun Gothic"/>
          <w:b w:val="0"/>
          <w:i w:val="0"/>
          <w:sz w:val="21"/>
        </w:rPr>
        <w:t>Each strategy below is built directly from a validated pattern in the data and projects next-month revenue uplift using the reproducible formula: addressable base x observed response/conversion rate x observed AOV or margin. All inputs are traced to historical data; the response, conversion, and gap-closure rates themselves are explicitly labeled as planning assumptions, not observed outcomes, and should be validated through A/B testing during execution. All uplift figures are measured against the projected baseline next-month revenue of 48,831,086 KRW [3] .</w:t>
      </w:r>
    </w:p>
    <w:p>
      <w:pPr>
        <w:spacing w:before="360" w:after="120"/>
        <w:jc w:val="center"/>
      </w:pPr>
      <w:r>
        <w:drawing>
          <wp:inline xmlns:a="http://schemas.openxmlformats.org/drawingml/2006/main" xmlns:pic="http://schemas.openxmlformats.org/drawingml/2006/picture">
            <wp:extent cx="5029200" cy="3104707"/>
            <wp:docPr id="6" name="Picture 6"/>
            <wp:cNvGraphicFramePr>
              <a:graphicFrameLocks noChangeAspect="1"/>
            </wp:cNvGraphicFramePr>
            <a:graphic>
              <a:graphicData uri="http://schemas.openxmlformats.org/drawingml/2006/picture">
                <pic:pic>
                  <pic:nvPicPr>
                    <pic:cNvPr id="0" name="chart6_uplift_scenarios.png"/>
                    <pic:cNvPicPr/>
                  </pic:nvPicPr>
                  <pic:blipFill>
                    <a:blip r:embed="rId27">
                      <a:extLst>
                        <a:ext uri="{96DAC541-7B7A-43D3-8B79-37D633B846F1}">
                          <ns0:svgBlip xmlns:ns0="http://schemas.microsoft.com/office/drawing/2016/SVG/main" r:embed="rId31"/>
                        </a:ext>
                      </a:extLst>
                    </a:blip>
                    <a:stretch>
                      <a:fillRect/>
                    </a:stretch>
                  </pic:blipFill>
                  <pic:spPr>
                    <a:xfrm>
                      <a:off x="0" y="0"/>
                      <a:ext cx="5029200" cy="3104707"/>
                    </a:xfrm>
                    <a:prstGeom prst="rect"/>
                  </pic:spPr>
                </pic:pic>
              </a:graphicData>
            </a:graphic>
          </wp:inline>
        </w:drawing>
      </w:r>
    </w:p>
    <w:p>
      <w:pPr>
        <w:pStyle w:val="Caption"/>
        <w:spacing w:after="240"/>
        <w:jc w:val="center"/>
      </w:pPr>
      <w:r>
        <w:rPr>
          <w:rFonts w:ascii="Malgun Gothic" w:hAnsi="Malgun Gothic" w:eastAsia="Malgun Gothic"/>
          <w:b w:val="0"/>
          <w:i/>
          <w:color w:val="7F8C8D"/>
          <w:sz w:val="18"/>
        </w:rPr>
        <w:t>Figure 6: Projected next-month revenue uplift by strategy — conservative / base / optimistic scenarios.</w:t>
      </w:r>
    </w:p>
    <w:p>
      <w:pPr>
        <w:spacing w:after="160" w:line="276" w:lineRule="auto"/>
        <w:jc w:val="both"/>
      </w:pPr>
      <w:r>
        <w:rPr>
          <w:rFonts w:ascii="Malgun Gothic" w:hAnsi="Malgun Gothic" w:eastAsia="Malgun Gothic"/>
          <w:b w:val="0"/>
          <w:i w:val="0"/>
          <w:sz w:val="21"/>
        </w:rPr>
        <w:t>The chart shows Strategy 1 (Demand Event Days) as the largest single lever in every scenario, followed by Strategy 2 (Bundle Cross-Sell) and then Strategy 3 (Premium Cohort Upsell). Combined, the base-case scenario across all three strategies projects +4,782,331 KRW [10] in incremental monthly revenue, equal to 9.79% [11] of baseline.</w:t>
      </w:r>
    </w:p>
    <w:p>
      <w:pPr>
        <w:pStyle w:val="Heading3"/>
      </w:pPr>
      <w:r>
        <w:rPr>
          <w:rFonts w:ascii="Malgun Gothic" w:hAnsi="Malgun Gothic" w:eastAsia="Malgun Gothic"/>
          <w:b/>
          <w:i w:val="0"/>
          <w:color w:val="2C3E50"/>
          <w:sz w:val="32"/>
        </w:rPr>
        <w:t>Strategy 1: Planned Demand Event Days</w:t>
      </w:r>
    </w:p>
    <w:p>
      <w:pPr>
        <w:spacing w:after="160" w:line="276" w:lineRule="auto"/>
        <w:jc w:val="both"/>
      </w:pPr>
      <w:r>
        <w:rPr>
          <w:rFonts w:ascii="Malgun Gothic" w:hAnsi="Malgun Gothic" w:eastAsia="Malgun Gothic"/>
          <w:b w:val="0"/>
          <w:i w:val="0"/>
          <w:sz w:val="21"/>
        </w:rPr>
        <w:t>Target segment: all customers, timed around 2 non-holiday high-traffic calendar days per month (e.g., payday weekend, mid-month Friday) using pure demand-generation tactics (flash merchandising, limited-time gift sets, visibility push) with no price discount. Rationale: organic holiday demand (+207.9% [4] vs. weekday) outperforms the discounted WEEKEND20 promo (+21.1% [5] vs. weekday) by roughly 10x on a revenue-per-day basis, with zero margin give-up. Formula: holiday_lift_per_day (2,493,588 KRW [47]) x capture_rate x 2 event days. Conservative (30% capture): +1,496,152 KRW [48] (3.06% of baseline). Base (50% capture): +2,493,588 KRW [47] (5.11% of baseline). Optimistic (70% capture): +3,491,022 KRW (7.15% of baseline). Priority: HIGH — largest expected impact combined with low implementation effort, since no pricing or systems change is required, only marketing/merchandising execution.</w:t>
      </w:r>
    </w:p>
    <w:p>
      <w:pPr>
        <w:pStyle w:val="Heading3"/>
      </w:pPr>
      <w:r>
        <w:rPr>
          <w:rFonts w:ascii="Malgun Gothic" w:hAnsi="Malgun Gothic" w:eastAsia="Malgun Gothic"/>
          <w:b/>
          <w:i w:val="0"/>
          <w:color w:val="2C3E50"/>
          <w:sz w:val="32"/>
        </w:rPr>
        <w:t>Strategy 2: Targeted Bundle Cross-Sell (replacing blanket WEEKEND20)</w:t>
      </w:r>
    </w:p>
    <w:p>
      <w:pPr>
        <w:spacing w:after="160" w:line="276" w:lineRule="auto"/>
        <w:jc w:val="both"/>
      </w:pPr>
      <w:r>
        <w:rPr>
          <w:rFonts w:ascii="Malgun Gothic" w:hAnsi="Malgun Gothic" w:eastAsia="Malgun Gothic"/>
          <w:b w:val="0"/>
          <w:i w:val="0"/>
          <w:sz w:val="21"/>
        </w:rPr>
        <w:t>Target segment: weekend shoppers currently buying only Fruit/Nuts/Rice or only Ready Meal/Meal Kit/Salad — the 51.4% of cohort-day groups not already buying both categories. Rationale: the current blanket 20%-off weekend promo gives up 5.99% [14] of list revenue for only a +21.1% [5] revenue lift; a narrower bundle discount targeting the strongest affinity pair (48.6% [36] cohort-day co-occurrence support, 8,626,980 KRW [37] in combined 14-day category revenue) can achieve comparable or better conversion at lower discount depth. Formula: monthly bundle-category revenue (18,486,386 KRW [49]) x non-bundle-buyer share (51.4%, giving an addressable base of 9,497,964 KRW [50]) x conversion rate. Conservative (8% conversion): +760,160 KRW [51] (1.56% of baseline). Base (15% conversion): +1,425,300 KRW [52] (2.92% of baseline). Optimistic (22% conversion): +2,090,440 KRW [53] (4.28% of baseline). Priority: HIGH — high revenue potential that largely self-funds by redirecting existing discount budget rather than adding incremental promo spend, though it requires promo-engine and checkout logic changes (medium effort).</w:t>
      </w:r>
    </w:p>
    <w:p>
      <w:pPr>
        <w:pStyle w:val="Heading3"/>
      </w:pPr>
      <w:r>
        <w:rPr>
          <w:rFonts w:ascii="Malgun Gothic" w:hAnsi="Malgun Gothic" w:eastAsia="Malgun Gothic"/>
          <w:b/>
          <w:i w:val="0"/>
          <w:color w:val="2C3E50"/>
          <w:sz w:val="32"/>
        </w:rPr>
        <w:t>Strategy 3: Premium Cohort (50s/60s) AOV Upsell Program</w:t>
      </w:r>
    </w:p>
    <w:p>
      <w:pPr>
        <w:spacing w:after="160" w:line="276" w:lineRule="auto"/>
        <w:jc w:val="both"/>
      </w:pPr>
      <w:r>
        <w:rPr>
          <w:rFonts w:ascii="Malgun Gothic" w:hAnsi="Malgun Gothic" w:eastAsia="Malgun Gothic"/>
          <w:b w:val="0"/>
          <w:i w:val="0"/>
          <w:sz w:val="21"/>
        </w:rPr>
        <w:t>Target segment: Cluster 1 cohorts (F50s, M50s, M60s) — 31.41% [7] of revenue, highest AOV, highest promotion responsiveness, Health-Supplements-skewed. Rationale: M50s already achieves a 26,169 KRW [31] AOV ceiling; closing even a fraction of the 3,229 KRW [54] gap for the broader Cluster 1 cohort via loyalty tiering, personalized Health Supplement bundles, or free-shipping thresholds compounds across roughly 669 pro [55]jected monthly orders from this high-value, promo-responsive group. Formula: AOV gap (3,229 KRW [54]) x gap-closure rate x monthly Cluster 1 order count (669 [55]). Conservative (20% gap closed): +431,722 KRW [56] (0.88% of baseline). Base (40% gap closed): +863,443 KRW [57] (1.77% of baseline). Optimistic (60% [58] gap closed): +1,295,165 KRW [59] (2.65% of baseline). Priority: MEDIUM — the smallest absolute impact of the three strategies and requires more precise, persistent customer-level targeting infrastructure than currently exists, but carries the highest long-term retention value for the most profitable segment.</w:t>
      </w:r>
    </w:p>
    <w:p>
      <w:pPr>
        <w:pStyle w:val="Heading3"/>
      </w:pPr>
      <w:r>
        <w:rPr>
          <w:rFonts w:ascii="Malgun Gothic" w:hAnsi="Malgun Gothic" w:eastAsia="Malgun Gothic"/>
          <w:b/>
          <w:i w:val="0"/>
          <w:color w:val="2C3E50"/>
          <w:sz w:val="32"/>
        </w:rPr>
        <w:t>Strategy Comparison Table</w:t>
      </w:r>
    </w:p>
    <w:p>
      <w:pPr>
        <w:spacing w:after="160" w:line="276" w:lineRule="auto"/>
        <w:jc w:val="both"/>
      </w:pPr>
      <w:r>
        <w:rPr>
          <w:rFonts w:ascii="Malgun Gothic" w:hAnsi="Malgun Gothic" w:eastAsia="Malgun Gothic"/>
          <w:b w:val="0"/>
          <w:i w:val="0"/>
          <w:sz w:val="21"/>
        </w:rPr>
        <w:t>The table below summarizes all three strategies side by side for prioritization and resourcing decisions.</w:t>
      </w:r>
    </w:p>
    <w:tbl>
      <w:tblPr>
        <w:tblStyle w:val="LightGrid-Accent1"/>
        <w:tblW w:type="auto" w:w="0"/>
        <w:tblLayout w:type="fixed"/>
        <w:tblLook w:firstColumn="1" w:firstRow="1" w:lastColumn="0" w:lastRow="0" w:noHBand="0" w:noVBand="1" w:val="04A0"/>
      </w:tblPr>
      <w:tblGrid>
        <w:gridCol w:w="1081"/>
        <w:gridCol w:w="1081"/>
        <w:gridCol w:w="1081"/>
        <w:gridCol w:w="1081"/>
        <w:gridCol w:w="1081"/>
        <w:gridCol w:w="1081"/>
        <w:gridCol w:w="1081"/>
        <w:gridCol w:w="1081"/>
      </w:tblGrid>
      <w:tr>
        <w:tc>
          <w:tcPr>
            <w:tcW w:type="dxa" w:w="1304"/>
            <w:shd w:val="clear" w:color="auto" w:fill="2C5AA0"/>
          </w:tcPr>
          <w:p>
            <w:pPr>
              <w:jc w:val="center"/>
            </w:pPr>
            <w:r>
              <w:rPr>
                <w:rFonts w:ascii="Malgun Gothic" w:hAnsi="Malgun Gothic" w:eastAsia="Malgun Gothic"/>
                <w:b/>
                <w:i w:val="0"/>
                <w:color w:val="FFFFFF"/>
                <w:sz w:val="19"/>
              </w:rPr>
            </w:r>
            <w:r>
              <w:rPr>
                <w:rFonts w:ascii="Malgun Gothic" w:hAnsi="Malgun Gothic" w:eastAsia="Malgun Gothic"/>
                <w:b/>
                <w:i w:val="0"/>
                <w:color w:val="FFFFFF"/>
                <w:sz w:val="19"/>
              </w:rPr>
              <w:t>Strategy</w:t>
            </w:r>
          </w:p>
        </w:tc>
        <w:tc>
          <w:tcPr>
            <w:tcW w:type="dxa" w:w="1474"/>
            <w:shd w:val="clear" w:color="auto" w:fill="2C5AA0"/>
          </w:tcPr>
          <w:p>
            <w:pPr>
              <w:jc w:val="center"/>
            </w:pPr>
            <w:r>
              <w:rPr>
                <w:rFonts w:ascii="Malgun Gothic" w:hAnsi="Malgun Gothic" w:eastAsia="Malgun Gothic"/>
                <w:b/>
                <w:i w:val="0"/>
                <w:color w:val="FFFFFF"/>
                <w:sz w:val="19"/>
              </w:rPr>
            </w:r>
            <w:r>
              <w:rPr>
                <w:rFonts w:ascii="Malgun Gothic" w:hAnsi="Malgun Gothic" w:eastAsia="Malgun Gothic"/>
                <w:b/>
                <w:i w:val="0"/>
                <w:color w:val="FFFFFF"/>
                <w:sz w:val="19"/>
              </w:rPr>
              <w:t>Target Segment</w:t>
            </w:r>
          </w:p>
        </w:tc>
        <w:tc>
          <w:tcPr>
            <w:tcW w:type="dxa" w:w="794"/>
            <w:shd w:val="clear" w:color="auto" w:fill="2C5AA0"/>
          </w:tcPr>
          <w:p>
            <w:pPr>
              <w:jc w:val="center"/>
            </w:pPr>
            <w:r>
              <w:rPr>
                <w:rFonts w:ascii="Malgun Gothic" w:hAnsi="Malgun Gothic" w:eastAsia="Malgun Gothic"/>
                <w:b/>
                <w:i w:val="0"/>
                <w:color w:val="FFFFFF"/>
                <w:sz w:val="19"/>
              </w:rPr>
            </w:r>
            <w:r>
              <w:rPr>
                <w:rFonts w:ascii="Malgun Gothic" w:hAnsi="Malgun Gothic" w:eastAsia="Malgun Gothic"/>
                <w:b/>
                <w:i w:val="0"/>
                <w:color w:val="FFFFFF"/>
                <w:sz w:val="19"/>
              </w:rPr>
              <w:t>Priority</w:t>
            </w:r>
          </w:p>
        </w:tc>
        <w:tc>
          <w:tcPr>
            <w:tcW w:type="dxa" w:w="1814"/>
            <w:shd w:val="clear" w:color="auto" w:fill="2C5AA0"/>
          </w:tcPr>
          <w:p>
            <w:pPr>
              <w:jc w:val="center"/>
            </w:pPr>
            <w:r>
              <w:rPr>
                <w:rFonts w:ascii="Malgun Gothic" w:hAnsi="Malgun Gothic" w:eastAsia="Malgun Gothic"/>
                <w:b/>
                <w:i w:val="0"/>
                <w:color w:val="FFFFFF"/>
                <w:sz w:val="19"/>
              </w:rPr>
            </w:r>
            <w:r>
              <w:rPr>
                <w:rFonts w:ascii="Malgun Gothic" w:hAnsi="Malgun Gothic" w:eastAsia="Malgun Gothic"/>
                <w:b/>
                <w:i w:val="0"/>
                <w:color w:val="FFFFFF"/>
                <w:sz w:val="19"/>
              </w:rPr>
              <w:t>Expected Revenue Impact</w:t>
            </w:r>
          </w:p>
          <w:p>
            <w:pPr>
              <w:jc w:val="center"/>
            </w:pPr>
            <w:r>
              <w:rPr>
                <w:rFonts w:ascii="Malgun Gothic" w:hAnsi="Malgun Gothic" w:eastAsia="Malgun Gothic"/>
                <w:b/>
                <w:i w:val="0"/>
                <w:color w:val="FFFFFF"/>
                <w:sz w:val="19"/>
              </w:rPr>
              <w:t>(Conservative / Base / Optimistic)</w:t>
            </w:r>
          </w:p>
        </w:tc>
        <w:tc>
          <w:tcPr>
            <w:tcW w:type="dxa" w:w="1134"/>
            <w:shd w:val="clear" w:color="auto" w:fill="2C5AA0"/>
          </w:tcPr>
          <w:p>
            <w:pPr>
              <w:jc w:val="center"/>
            </w:pPr>
            <w:r>
              <w:rPr>
                <w:rFonts w:ascii="Malgun Gothic" w:hAnsi="Malgun Gothic" w:eastAsia="Malgun Gothic"/>
                <w:b/>
                <w:i w:val="0"/>
                <w:color w:val="FFFFFF"/>
                <w:sz w:val="19"/>
              </w:rPr>
            </w:r>
            <w:r>
              <w:rPr>
                <w:rFonts w:ascii="Malgun Gothic" w:hAnsi="Malgun Gothic" w:eastAsia="Malgun Gothic"/>
                <w:b/>
                <w:i w:val="0"/>
                <w:color w:val="FFFFFF"/>
                <w:sz w:val="19"/>
              </w:rPr>
              <w:t>Implementation</w:t>
            </w:r>
          </w:p>
          <w:p>
            <w:pPr>
              <w:jc w:val="center"/>
            </w:pPr>
            <w:r>
              <w:rPr>
                <w:rFonts w:ascii="Malgun Gothic" w:hAnsi="Malgun Gothic" w:eastAsia="Malgun Gothic"/>
                <w:b/>
                <w:i w:val="0"/>
                <w:color w:val="FFFFFF"/>
                <w:sz w:val="19"/>
              </w:rPr>
              <w:t>Effort</w:t>
            </w:r>
          </w:p>
        </w:tc>
        <w:tc>
          <w:tcPr>
            <w:tcW w:type="dxa" w:w="1474"/>
            <w:shd w:val="clear" w:color="auto" w:fill="2C5AA0"/>
          </w:tcPr>
          <w:p>
            <w:pPr>
              <w:jc w:val="center"/>
            </w:pPr>
            <w:r>
              <w:rPr>
                <w:rFonts w:ascii="Malgun Gothic" w:hAnsi="Malgun Gothic" w:eastAsia="Malgun Gothic"/>
                <w:b/>
                <w:i w:val="0"/>
                <w:color w:val="FFFFFF"/>
                <w:sz w:val="19"/>
              </w:rPr>
            </w:r>
            <w:r>
              <w:rPr>
                <w:rFonts w:ascii="Malgun Gothic" w:hAnsi="Malgun Gothic" w:eastAsia="Malgun Gothic"/>
                <w:b/>
                <w:i w:val="0"/>
                <w:color w:val="FFFFFF"/>
                <w:sz w:val="19"/>
              </w:rPr>
              <w:t>Timeline</w:t>
            </w:r>
          </w:p>
        </w:tc>
        <w:tc>
          <w:tcPr>
            <w:tcW w:type="dxa" w:w="1134"/>
            <w:shd w:val="clear" w:color="auto" w:fill="2C5AA0"/>
          </w:tcPr>
          <w:p>
            <w:pPr>
              <w:jc w:val="center"/>
            </w:pPr>
            <w:r>
              <w:rPr>
                <w:rFonts w:ascii="Malgun Gothic" w:hAnsi="Malgun Gothic" w:eastAsia="Malgun Gothic"/>
                <w:b/>
                <w:i w:val="0"/>
                <w:color w:val="FFFFFF"/>
                <w:sz w:val="19"/>
              </w:rPr>
            </w:r>
            <w:r>
              <w:rPr>
                <w:rFonts w:ascii="Malgun Gothic" w:hAnsi="Malgun Gothic" w:eastAsia="Malgun Gothic"/>
                <w:b/>
                <w:i w:val="0"/>
                <w:color w:val="FFFFFF"/>
                <w:sz w:val="19"/>
              </w:rPr>
              <w:t>Owner</w:t>
            </w:r>
          </w:p>
        </w:tc>
        <w:tc>
          <w:tcPr>
            <w:tcW w:type="dxa" w:w="1474"/>
            <w:shd w:val="clear" w:color="auto" w:fill="2C5AA0"/>
          </w:tcPr>
          <w:p>
            <w:pPr>
              <w:jc w:val="center"/>
            </w:pPr>
            <w:r>
              <w:rPr>
                <w:rFonts w:ascii="Malgun Gothic" w:hAnsi="Malgun Gothic" w:eastAsia="Malgun Gothic"/>
                <w:b/>
                <w:i w:val="0"/>
                <w:color w:val="FFFFFF"/>
                <w:sz w:val="19"/>
              </w:rPr>
            </w:r>
            <w:r>
              <w:rPr>
                <w:rFonts w:ascii="Malgun Gothic" w:hAnsi="Malgun Gothic" w:eastAsia="Malgun Gothic"/>
                <w:b/>
                <w:i w:val="0"/>
                <w:color w:val="FFFFFF"/>
                <w:sz w:val="19"/>
              </w:rPr>
              <w:t>Leading KPI</w:t>
            </w:r>
          </w:p>
        </w:tc>
      </w:tr>
      <w:tr>
        <w:tc>
          <w:tcPr>
            <w:tcW w:type="dxa" w:w="1304"/>
          </w:tcPr>
          <w:p>
            <w:r/>
            <w:r>
              <w:rPr>
                <w:rFonts w:ascii="Malgun Gothic" w:hAnsi="Malgun Gothic" w:eastAsia="Malgun Gothic"/>
                <w:b/>
                <w:i w:val="0"/>
                <w:sz w:val="17"/>
              </w:rPr>
              <w:t>1. Planned Demand</w:t>
            </w:r>
          </w:p>
          <w:p>
            <w:r>
              <w:rPr>
                <w:rFonts w:ascii="Malgun Gothic" w:hAnsi="Malgun Gothic" w:eastAsia="Malgun Gothic"/>
                <w:b/>
                <w:i w:val="0"/>
                <w:sz w:val="17"/>
              </w:rPr>
              <w:t>Event Days</w:t>
            </w:r>
          </w:p>
        </w:tc>
        <w:tc>
          <w:tcPr>
            <w:tcW w:type="dxa" w:w="1474"/>
          </w:tcPr>
          <w:p>
            <w:r/>
            <w:r>
              <w:rPr>
                <w:rFonts w:ascii="Malgun Gothic" w:hAnsi="Malgun Gothic" w:eastAsia="Malgun Gothic"/>
                <w:b w:val="0"/>
                <w:i w:val="0"/>
                <w:sz w:val="17"/>
              </w:rPr>
              <w:t>All customers;</w:t>
            </w:r>
          </w:p>
          <w:p>
            <w:r>
              <w:rPr>
                <w:rFonts w:ascii="Malgun Gothic" w:hAnsi="Malgun Gothic" w:eastAsia="Malgun Gothic"/>
                <w:b w:val="0"/>
                <w:i w:val="0"/>
                <w:sz w:val="17"/>
              </w:rPr>
              <w:t>2 non-holiday</w:t>
            </w:r>
          </w:p>
          <w:p>
            <w:r>
              <w:rPr>
                <w:rFonts w:ascii="Malgun Gothic" w:hAnsi="Malgun Gothic" w:eastAsia="Malgun Gothic"/>
                <w:b w:val="0"/>
                <w:i w:val="0"/>
                <w:sz w:val="17"/>
              </w:rPr>
              <w:t>high-traffic days/month</w:t>
            </w:r>
          </w:p>
        </w:tc>
        <w:tc>
          <w:tcPr>
            <w:tcW w:type="dxa" w:w="794"/>
          </w:tcPr>
          <w:p>
            <w:r/>
            <w:r>
              <w:rPr>
                <w:rFonts w:ascii="Malgun Gothic" w:hAnsi="Malgun Gothic" w:eastAsia="Malgun Gothic"/>
                <w:b w:val="0"/>
                <w:i w:val="0"/>
                <w:sz w:val="17"/>
              </w:rPr>
              <w:t>HIGH</w:t>
            </w:r>
          </w:p>
        </w:tc>
        <w:tc>
          <w:tcPr>
            <w:tcW w:type="dxa" w:w="1814"/>
          </w:tcPr>
          <w:p>
            <w:r/>
            <w:r>
              <w:rPr>
                <w:rFonts w:ascii="Malgun Gothic" w:hAnsi="Malgun Gothic" w:eastAsia="Malgun Gothic"/>
                <w:b w:val="0"/>
                <w:i w:val="0"/>
                <w:sz w:val="17"/>
              </w:rPr>
              <w:t>+1,496,152 KRW [48] (3.06%) /</w:t>
            </w:r>
          </w:p>
          <w:p>
            <w:r>
              <w:rPr>
                <w:rFonts w:ascii="Malgun Gothic" w:hAnsi="Malgun Gothic" w:eastAsia="Malgun Gothic"/>
                <w:b w:val="0"/>
                <w:i w:val="0"/>
                <w:sz w:val="17"/>
              </w:rPr>
              <w:t>+2,493,588 KRW [47] (5.11%) /</w:t>
            </w:r>
          </w:p>
          <w:p>
            <w:r>
              <w:rPr>
                <w:rFonts w:ascii="Malgun Gothic" w:hAnsi="Malgun Gothic" w:eastAsia="Malgun Gothic"/>
                <w:b w:val="0"/>
                <w:i w:val="0"/>
                <w:sz w:val="17"/>
              </w:rPr>
              <w:t>+3,491,022 KRW (7.15%)</w:t>
            </w:r>
          </w:p>
        </w:tc>
        <w:tc>
          <w:tcPr>
            <w:tcW w:type="dxa" w:w="1134"/>
          </w:tcPr>
          <w:p>
            <w:r/>
            <w:r>
              <w:rPr>
                <w:rFonts w:ascii="Malgun Gothic" w:hAnsi="Malgun Gothic" w:eastAsia="Malgun Gothic"/>
                <w:b w:val="0"/>
                <w:i w:val="0"/>
                <w:sz w:val="17"/>
              </w:rPr>
              <w:t>Low</w:t>
            </w:r>
          </w:p>
          <w:p>
            <w:r>
              <w:rPr>
                <w:rFonts w:ascii="Malgun Gothic" w:hAnsi="Malgun Gothic" w:eastAsia="Malgun Gothic"/>
                <w:b w:val="0"/>
                <w:i w:val="0"/>
                <w:sz w:val="17"/>
              </w:rPr>
              <w:t>(no pricing/systems</w:t>
            </w:r>
          </w:p>
          <w:p>
            <w:r>
              <w:rPr>
                <w:rFonts w:ascii="Malgun Gothic" w:hAnsi="Malgun Gothic" w:eastAsia="Malgun Gothic"/>
                <w:b w:val="0"/>
                <w:i w:val="0"/>
                <w:sz w:val="17"/>
              </w:rPr>
              <w:t>change)</w:t>
            </w:r>
          </w:p>
        </w:tc>
        <w:tc>
          <w:tcPr>
            <w:tcW w:type="dxa" w:w="1474"/>
          </w:tcPr>
          <w:p>
            <w:r/>
            <w:r>
              <w:rPr>
                <w:rFonts w:ascii="Malgun Gothic" w:hAnsi="Malgun Gothic" w:eastAsia="Malgun Gothic"/>
                <w:b w:val="0"/>
                <w:i w:val="0"/>
                <w:sz w:val="17"/>
              </w:rPr>
              <w:t>30 days</w:t>
            </w:r>
          </w:p>
          <w:p>
            <w:r>
              <w:rPr>
                <w:rFonts w:ascii="Malgun Gothic" w:hAnsi="Malgun Gothic" w:eastAsia="Malgun Gothic"/>
                <w:b w:val="0"/>
                <w:i w:val="0"/>
                <w:sz w:val="17"/>
              </w:rPr>
              <w:t>(Wk1 select dates;</w:t>
            </w:r>
          </w:p>
          <w:p>
            <w:r>
              <w:rPr>
                <w:rFonts w:ascii="Malgun Gothic" w:hAnsi="Malgun Gothic" w:eastAsia="Malgun Gothic"/>
                <w:b w:val="0"/>
                <w:i w:val="0"/>
                <w:sz w:val="17"/>
              </w:rPr>
              <w:t>Wk2 prep;</w:t>
            </w:r>
          </w:p>
          <w:p>
            <w:r>
              <w:rPr>
                <w:rFonts w:ascii="Malgun Gothic" w:hAnsi="Malgun Gothic" w:eastAsia="Malgun Gothic"/>
                <w:b w:val="0"/>
                <w:i w:val="0"/>
                <w:sz w:val="17"/>
              </w:rPr>
              <w:t>Wk3-4 execute)</w:t>
            </w:r>
          </w:p>
        </w:tc>
        <w:tc>
          <w:tcPr>
            <w:tcW w:type="dxa" w:w="1134"/>
          </w:tcPr>
          <w:p>
            <w:r/>
            <w:r>
              <w:rPr>
                <w:rFonts w:ascii="Malgun Gothic" w:hAnsi="Malgun Gothic" w:eastAsia="Malgun Gothic"/>
                <w:b w:val="0"/>
                <w:i w:val="0"/>
                <w:sz w:val="17"/>
              </w:rPr>
              <w:t>Marketing +</w:t>
            </w:r>
          </w:p>
          <w:p>
            <w:r>
              <w:rPr>
                <w:rFonts w:ascii="Malgun Gothic" w:hAnsi="Malgun Gothic" w:eastAsia="Malgun Gothic"/>
                <w:b w:val="0"/>
                <w:i w:val="0"/>
                <w:sz w:val="17"/>
              </w:rPr>
              <w:t>Merchandising</w:t>
            </w:r>
          </w:p>
        </w:tc>
        <w:tc>
          <w:tcPr>
            <w:tcW w:type="dxa" w:w="1474"/>
          </w:tcPr>
          <w:p>
            <w:r/>
            <w:r>
              <w:rPr>
                <w:rFonts w:ascii="Malgun Gothic" w:hAnsi="Malgun Gothic" w:eastAsia="Malgun Gothic"/>
                <w:b w:val="0"/>
                <w:i w:val="0"/>
                <w:sz w:val="17"/>
              </w:rPr>
              <w:t>Event-day revenue vs.</w:t>
            </w:r>
          </w:p>
          <w:p>
            <w:r>
              <w:rPr>
                <w:rFonts w:ascii="Malgun Gothic" w:hAnsi="Malgun Gothic" w:eastAsia="Malgun Gothic"/>
                <w:b w:val="0"/>
                <w:i w:val="0"/>
                <w:sz w:val="17"/>
              </w:rPr>
              <w:t>trailing 7-day weekday</w:t>
            </w:r>
          </w:p>
          <w:p>
            <w:r>
              <w:rPr>
                <w:rFonts w:ascii="Malgun Gothic" w:hAnsi="Malgun Gothic" w:eastAsia="Malgun Gothic"/>
                <w:b w:val="0"/>
                <w:i w:val="0"/>
                <w:sz w:val="17"/>
              </w:rPr>
              <w:t>avg (target: +150% [15]+)</w:t>
            </w:r>
          </w:p>
        </w:tc>
      </w:tr>
      <w:tr>
        <w:tc>
          <w:tcPr>
            <w:tcW w:type="dxa" w:w="1304"/>
          </w:tcPr>
          <w:p>
            <w:r/>
            <w:r>
              <w:rPr>
                <w:rFonts w:ascii="Malgun Gothic" w:hAnsi="Malgun Gothic" w:eastAsia="Malgun Gothic"/>
                <w:b/>
                <w:i w:val="0"/>
                <w:sz w:val="17"/>
              </w:rPr>
              <w:t>2. Targeted Bundle</w:t>
            </w:r>
          </w:p>
          <w:p>
            <w:r>
              <w:rPr>
                <w:rFonts w:ascii="Malgun Gothic" w:hAnsi="Malgun Gothic" w:eastAsia="Malgun Gothic"/>
                <w:b/>
                <w:i w:val="0"/>
                <w:sz w:val="17"/>
              </w:rPr>
              <w:t>Cross-Sell</w:t>
            </w:r>
          </w:p>
        </w:tc>
        <w:tc>
          <w:tcPr>
            <w:tcW w:type="dxa" w:w="1474"/>
          </w:tcPr>
          <w:p>
            <w:r/>
            <w:r>
              <w:rPr>
                <w:rFonts w:ascii="Malgun Gothic" w:hAnsi="Malgun Gothic" w:eastAsia="Malgun Gothic"/>
                <w:b w:val="0"/>
                <w:i w:val="0"/>
                <w:sz w:val="17"/>
              </w:rPr>
              <w:t>Weekend shoppers buying</w:t>
            </w:r>
          </w:p>
          <w:p>
            <w:r>
              <w:rPr>
                <w:rFonts w:ascii="Malgun Gothic" w:hAnsi="Malgun Gothic" w:eastAsia="Malgun Gothic"/>
                <w:b w:val="0"/>
                <w:i w:val="0"/>
                <w:sz w:val="17"/>
              </w:rPr>
              <w:t>only 1 of the top</w:t>
            </w:r>
          </w:p>
          <w:p>
            <w:r>
              <w:rPr>
                <w:rFonts w:ascii="Malgun Gothic" w:hAnsi="Malgun Gothic" w:eastAsia="Malgun Gothic"/>
                <w:b w:val="0"/>
                <w:i w:val="0"/>
                <w:sz w:val="17"/>
              </w:rPr>
              <w:t>affinity-pair categories</w:t>
            </w:r>
          </w:p>
          <w:p>
            <w:r>
              <w:rPr>
                <w:rFonts w:ascii="Malgun Gothic" w:hAnsi="Malgun Gothic" w:eastAsia="Malgun Gothic"/>
                <w:b w:val="0"/>
                <w:i w:val="0"/>
                <w:sz w:val="17"/>
              </w:rPr>
              <w:t>(51.4% of cohort-days)</w:t>
            </w:r>
          </w:p>
        </w:tc>
        <w:tc>
          <w:tcPr>
            <w:tcW w:type="dxa" w:w="794"/>
          </w:tcPr>
          <w:p>
            <w:r/>
            <w:r>
              <w:rPr>
                <w:rFonts w:ascii="Malgun Gothic" w:hAnsi="Malgun Gothic" w:eastAsia="Malgun Gothic"/>
                <w:b w:val="0"/>
                <w:i w:val="0"/>
                <w:sz w:val="17"/>
              </w:rPr>
              <w:t>HIGH</w:t>
            </w:r>
          </w:p>
        </w:tc>
        <w:tc>
          <w:tcPr>
            <w:tcW w:type="dxa" w:w="1814"/>
          </w:tcPr>
          <w:p>
            <w:r/>
            <w:r>
              <w:rPr>
                <w:rFonts w:ascii="Malgun Gothic" w:hAnsi="Malgun Gothic" w:eastAsia="Malgun Gothic"/>
                <w:b w:val="0"/>
                <w:i w:val="0"/>
                <w:sz w:val="17"/>
              </w:rPr>
              <w:t>+760,160 KRW [51] (1.56%) /</w:t>
            </w:r>
          </w:p>
          <w:p>
            <w:r>
              <w:rPr>
                <w:rFonts w:ascii="Malgun Gothic" w:hAnsi="Malgun Gothic" w:eastAsia="Malgun Gothic"/>
                <w:b w:val="0"/>
                <w:i w:val="0"/>
                <w:sz w:val="17"/>
              </w:rPr>
              <w:t>+1,425,300 KRW [52] (2.92%) /</w:t>
            </w:r>
          </w:p>
          <w:p>
            <w:r>
              <w:rPr>
                <w:rFonts w:ascii="Malgun Gothic" w:hAnsi="Malgun Gothic" w:eastAsia="Malgun Gothic"/>
                <w:b w:val="0"/>
                <w:i w:val="0"/>
                <w:sz w:val="17"/>
              </w:rPr>
              <w:t>+2,090,440 KRW [53] (4.28%)</w:t>
            </w:r>
          </w:p>
        </w:tc>
        <w:tc>
          <w:tcPr>
            <w:tcW w:type="dxa" w:w="1134"/>
          </w:tcPr>
          <w:p>
            <w:r/>
            <w:r>
              <w:rPr>
                <w:rFonts w:ascii="Malgun Gothic" w:hAnsi="Malgun Gothic" w:eastAsia="Malgun Gothic"/>
                <w:b w:val="0"/>
                <w:i w:val="0"/>
                <w:sz w:val="17"/>
              </w:rPr>
              <w:t>Medium</w:t>
            </w:r>
          </w:p>
          <w:p>
            <w:r>
              <w:rPr>
                <w:rFonts w:ascii="Malgun Gothic" w:hAnsi="Malgun Gothic" w:eastAsia="Malgun Gothic"/>
                <w:b w:val="0"/>
                <w:i w:val="0"/>
                <w:sz w:val="17"/>
              </w:rPr>
              <w:t>(promo engine +</w:t>
            </w:r>
          </w:p>
          <w:p>
            <w:r>
              <w:rPr>
                <w:rFonts w:ascii="Malgun Gothic" w:hAnsi="Malgun Gothic" w:eastAsia="Malgun Gothic"/>
                <w:b w:val="0"/>
                <w:i w:val="0"/>
                <w:sz w:val="17"/>
              </w:rPr>
              <w:t>checkout logic)</w:t>
            </w:r>
          </w:p>
        </w:tc>
        <w:tc>
          <w:tcPr>
            <w:tcW w:type="dxa" w:w="1474"/>
          </w:tcPr>
          <w:p>
            <w:r/>
            <w:r>
              <w:rPr>
                <w:rFonts w:ascii="Malgun Gothic" w:hAnsi="Malgun Gothic" w:eastAsia="Malgun Gothic"/>
                <w:b w:val="0"/>
                <w:i w:val="0"/>
                <w:sz w:val="17"/>
              </w:rPr>
              <w:t>30 days</w:t>
            </w:r>
          </w:p>
          <w:p>
            <w:r>
              <w:rPr>
                <w:rFonts w:ascii="Malgun Gothic" w:hAnsi="Malgun Gothic" w:eastAsia="Malgun Gothic"/>
                <w:b w:val="0"/>
                <w:i w:val="0"/>
                <w:sz w:val="17"/>
              </w:rPr>
              <w:t>(Wk1 design;</w:t>
            </w:r>
          </w:p>
          <w:p>
            <w:r>
              <w:rPr>
                <w:rFonts w:ascii="Malgun Gothic" w:hAnsi="Malgun Gothic" w:eastAsia="Malgun Gothic"/>
                <w:b w:val="0"/>
                <w:i w:val="0"/>
                <w:sz w:val="17"/>
              </w:rPr>
              <w:t>Wk2 build/QA;</w:t>
            </w:r>
          </w:p>
          <w:p>
            <w:r>
              <w:rPr>
                <w:rFonts w:ascii="Malgun Gothic" w:hAnsi="Malgun Gothic" w:eastAsia="Malgun Gothic"/>
                <w:b w:val="0"/>
                <w:i w:val="0"/>
                <w:sz w:val="17"/>
              </w:rPr>
              <w:t>Wk3-4 launch + A/B test)</w:t>
            </w:r>
          </w:p>
        </w:tc>
        <w:tc>
          <w:tcPr>
            <w:tcW w:type="dxa" w:w="1134"/>
          </w:tcPr>
          <w:p>
            <w:r/>
            <w:r>
              <w:rPr>
                <w:rFonts w:ascii="Malgun Gothic" w:hAnsi="Malgun Gothic" w:eastAsia="Malgun Gothic"/>
                <w:b w:val="0"/>
                <w:i w:val="0"/>
                <w:sz w:val="17"/>
              </w:rPr>
              <w:t>Growth/Promotions +</w:t>
            </w:r>
          </w:p>
          <w:p>
            <w:r>
              <w:rPr>
                <w:rFonts w:ascii="Malgun Gothic" w:hAnsi="Malgun Gothic" w:eastAsia="Malgun Gothic"/>
                <w:b w:val="0"/>
                <w:i w:val="0"/>
                <w:sz w:val="17"/>
              </w:rPr>
              <w:t>Engineering</w:t>
            </w:r>
          </w:p>
        </w:tc>
        <w:tc>
          <w:tcPr>
            <w:tcW w:type="dxa" w:w="1474"/>
          </w:tcPr>
          <w:p>
            <w:r/>
            <w:r>
              <w:rPr>
                <w:rFonts w:ascii="Malgun Gothic" w:hAnsi="Malgun Gothic" w:eastAsia="Malgun Gothic"/>
                <w:b w:val="0"/>
                <w:i w:val="0"/>
                <w:sz w:val="17"/>
              </w:rPr>
              <w:t>Bundle attach rate</w:t>
            </w:r>
          </w:p>
          <w:p>
            <w:r>
              <w:rPr>
                <w:rFonts w:ascii="Malgun Gothic" w:hAnsi="Malgun Gothic" w:eastAsia="Malgun Gothic"/>
                <w:b w:val="0"/>
                <w:i w:val="0"/>
                <w:sz w:val="17"/>
              </w:rPr>
              <w:t>vs. 48.6% baseline</w:t>
            </w:r>
          </w:p>
        </w:tc>
      </w:tr>
      <w:tr>
        <w:tc>
          <w:tcPr>
            <w:tcW w:type="dxa" w:w="1304"/>
          </w:tcPr>
          <w:p>
            <w:r/>
            <w:r>
              <w:rPr>
                <w:rFonts w:ascii="Malgun Gothic" w:hAnsi="Malgun Gothic" w:eastAsia="Malgun Gothic"/>
                <w:b/>
                <w:i w:val="0"/>
                <w:sz w:val="17"/>
              </w:rPr>
              <w:t>3. Premium Cohort</w:t>
            </w:r>
          </w:p>
          <w:p>
            <w:r>
              <w:rPr>
                <w:rFonts w:ascii="Malgun Gothic" w:hAnsi="Malgun Gothic" w:eastAsia="Malgun Gothic"/>
                <w:b/>
                <w:i w:val="0"/>
                <w:sz w:val="17"/>
              </w:rPr>
              <w:t>AOV Upsell</w:t>
            </w:r>
          </w:p>
        </w:tc>
        <w:tc>
          <w:tcPr>
            <w:tcW w:type="dxa" w:w="1474"/>
          </w:tcPr>
          <w:p>
            <w:r/>
            <w:r>
              <w:rPr>
                <w:rFonts w:ascii="Malgun Gothic" w:hAnsi="Malgun Gothic" w:eastAsia="Malgun Gothic"/>
                <w:b w:val="0"/>
                <w:i w:val="0"/>
                <w:sz w:val="17"/>
              </w:rPr>
              <w:t>Cluster 1: F50s, M50s,</w:t>
            </w:r>
          </w:p>
          <w:p>
            <w:r>
              <w:rPr>
                <w:rFonts w:ascii="Malgun Gothic" w:hAnsi="Malgun Gothic" w:eastAsia="Malgun Gothic"/>
                <w:b w:val="0"/>
                <w:i w:val="0"/>
                <w:sz w:val="17"/>
              </w:rPr>
              <w:t>M60s (31.41% [7] of revenue)</w:t>
            </w:r>
          </w:p>
        </w:tc>
        <w:tc>
          <w:tcPr>
            <w:tcW w:type="dxa" w:w="794"/>
          </w:tcPr>
          <w:p>
            <w:r/>
            <w:r>
              <w:rPr>
                <w:rFonts w:ascii="Malgun Gothic" w:hAnsi="Malgun Gothic" w:eastAsia="Malgun Gothic"/>
                <w:b w:val="0"/>
                <w:i w:val="0"/>
                <w:sz w:val="17"/>
              </w:rPr>
              <w:t>MEDIUM</w:t>
            </w:r>
          </w:p>
        </w:tc>
        <w:tc>
          <w:tcPr>
            <w:tcW w:type="dxa" w:w="1814"/>
          </w:tcPr>
          <w:p>
            <w:r/>
            <w:r>
              <w:rPr>
                <w:rFonts w:ascii="Malgun Gothic" w:hAnsi="Malgun Gothic" w:eastAsia="Malgun Gothic"/>
                <w:b w:val="0"/>
                <w:i w:val="0"/>
                <w:sz w:val="17"/>
              </w:rPr>
              <w:t>+431,722 KRW [56] (0.88%) /</w:t>
            </w:r>
          </w:p>
          <w:p>
            <w:r>
              <w:rPr>
                <w:rFonts w:ascii="Malgun Gothic" w:hAnsi="Malgun Gothic" w:eastAsia="Malgun Gothic"/>
                <w:b w:val="0"/>
                <w:i w:val="0"/>
                <w:sz w:val="17"/>
              </w:rPr>
              <w:t>+863,443 KRW [57] (1.77%) /</w:t>
            </w:r>
          </w:p>
          <w:p>
            <w:r>
              <w:rPr>
                <w:rFonts w:ascii="Malgun Gothic" w:hAnsi="Malgun Gothic" w:eastAsia="Malgun Gothic"/>
                <w:b w:val="0"/>
                <w:i w:val="0"/>
                <w:sz w:val="17"/>
              </w:rPr>
              <w:t>+1,295,165 KRW [59] (2.65%)</w:t>
            </w:r>
          </w:p>
        </w:tc>
        <w:tc>
          <w:tcPr>
            <w:tcW w:type="dxa" w:w="1134"/>
          </w:tcPr>
          <w:p>
            <w:r/>
            <w:r>
              <w:rPr>
                <w:rFonts w:ascii="Malgun Gothic" w:hAnsi="Malgun Gothic" w:eastAsia="Malgun Gothic"/>
                <w:b w:val="0"/>
                <w:i w:val="0"/>
                <w:sz w:val="17"/>
              </w:rPr>
              <w:t>Medium-High</w:t>
            </w:r>
          </w:p>
          <w:p>
            <w:r>
              <w:rPr>
                <w:rFonts w:ascii="Malgun Gothic" w:hAnsi="Malgun Gothic" w:eastAsia="Malgun Gothic"/>
                <w:b w:val="0"/>
                <w:i w:val="0"/>
                <w:sz w:val="17"/>
              </w:rPr>
              <w:t>(segment tagging +</w:t>
            </w:r>
          </w:p>
          <w:p>
            <w:r>
              <w:rPr>
                <w:rFonts w:ascii="Malgun Gothic" w:hAnsi="Malgun Gothic" w:eastAsia="Malgun Gothic"/>
                <w:b w:val="0"/>
                <w:i w:val="0"/>
                <w:sz w:val="17"/>
              </w:rPr>
              <w:t>personalized offers)</w:t>
            </w:r>
          </w:p>
        </w:tc>
        <w:tc>
          <w:tcPr>
            <w:tcW w:type="dxa" w:w="1474"/>
          </w:tcPr>
          <w:p>
            <w:r/>
            <w:r>
              <w:rPr>
                <w:rFonts w:ascii="Malgun Gothic" w:hAnsi="Malgun Gothic" w:eastAsia="Malgun Gothic"/>
                <w:b w:val="0"/>
                <w:i w:val="0"/>
                <w:sz w:val="17"/>
              </w:rPr>
              <w:t>30 days</w:t>
            </w:r>
          </w:p>
          <w:p>
            <w:r>
              <w:rPr>
                <w:rFonts w:ascii="Malgun Gothic" w:hAnsi="Malgun Gothic" w:eastAsia="Malgun Gothic"/>
                <w:b w:val="0"/>
                <w:i w:val="0"/>
                <w:sz w:val="17"/>
              </w:rPr>
              <w:t>(Wk1-2 design;</w:t>
            </w:r>
          </w:p>
          <w:p>
            <w:r>
              <w:rPr>
                <w:rFonts w:ascii="Malgun Gothic" w:hAnsi="Malgun Gothic" w:eastAsia="Malgun Gothic"/>
                <w:b w:val="0"/>
                <w:i w:val="0"/>
                <w:sz w:val="17"/>
              </w:rPr>
              <w:t>Wk3 soft-launch;</w:t>
            </w:r>
          </w:p>
          <w:p>
            <w:r>
              <w:rPr>
                <w:rFonts w:ascii="Malgun Gothic" w:hAnsi="Malgun Gothic" w:eastAsia="Malgun Gothic"/>
                <w:b w:val="0"/>
                <w:i w:val="0"/>
                <w:sz w:val="17"/>
              </w:rPr>
              <w:t>Wk4 measure)</w:t>
            </w:r>
          </w:p>
        </w:tc>
        <w:tc>
          <w:tcPr>
            <w:tcW w:type="dxa" w:w="1134"/>
          </w:tcPr>
          <w:p>
            <w:r/>
            <w:r>
              <w:rPr>
                <w:rFonts w:ascii="Malgun Gothic" w:hAnsi="Malgun Gothic" w:eastAsia="Malgun Gothic"/>
                <w:b w:val="0"/>
                <w:i w:val="0"/>
                <w:sz w:val="17"/>
              </w:rPr>
              <w:t>CRM/Loyalty</w:t>
            </w:r>
          </w:p>
        </w:tc>
        <w:tc>
          <w:tcPr>
            <w:tcW w:type="dxa" w:w="1474"/>
          </w:tcPr>
          <w:p>
            <w:r/>
            <w:r>
              <w:rPr>
                <w:rFonts w:ascii="Malgun Gothic" w:hAnsi="Malgun Gothic" w:eastAsia="Malgun Gothic"/>
                <w:b w:val="0"/>
                <w:i w:val="0"/>
                <w:sz w:val="17"/>
              </w:rPr>
              <w:t>Cluster 1 AOV vs.</w:t>
            </w:r>
          </w:p>
          <w:p>
            <w:r>
              <w:rPr>
                <w:rFonts w:ascii="Malgun Gothic" w:hAnsi="Malgun Gothic" w:eastAsia="Malgun Gothic"/>
                <w:b w:val="0"/>
                <w:i w:val="0"/>
                <w:sz w:val="17"/>
              </w:rPr>
              <w:t>22,941 KRW [24] baseline</w:t>
            </w:r>
          </w:p>
          <w:p>
            <w:r>
              <w:rPr>
                <w:rFonts w:ascii="Malgun Gothic" w:hAnsi="Malgun Gothic" w:eastAsia="Malgun Gothic"/>
                <w:b w:val="0"/>
                <w:i w:val="0"/>
                <w:sz w:val="17"/>
              </w:rPr>
              <w:t>(target: close 40% of gap)</w:t>
            </w:r>
          </w:p>
        </w:tc>
      </w:tr>
    </w:tbl>
    <w:p>
      <w:pPr>
        <w:spacing w:after="160" w:line="276" w:lineRule="auto"/>
        <w:jc w:val="both"/>
      </w:pPr>
      <w:r>
        <w:rPr>
          <w:rFonts w:ascii="Malgun Gothic" w:hAnsi="Malgun Gothic" w:eastAsia="Malgun Gothic"/>
          <w:b w:val="0"/>
          <w:i w:val="0"/>
          <w:sz w:val="21"/>
        </w:rPr>
        <w:t>All three strategies are additive and address different parts of the revenue base (calendar-timing demand, cross-category basket size, and high-value cohort AOV), so they can be executed in parallel within the same 30-day cycle without competing for the same customers or budget line.</w:t>
      </w:r>
    </w:p>
    <w:p>
      <w:pPr>
        <w:pStyle w:val="Heading2"/>
      </w:pPr>
      <w:r>
        <w:rPr>
          <w:rFonts w:ascii="Malgun Gothic" w:hAnsi="Malgun Gothic" w:eastAsia="Malgun Gothic"/>
          <w:b/>
          <w:i w:val="0"/>
          <w:color w:val="34495E"/>
          <w:sz w:val="36"/>
        </w:rPr>
        <w:t>KPIs &amp; Measurement Plan</w:t>
      </w:r>
    </w:p>
    <w:p>
      <w:pPr>
        <w:spacing w:after="160" w:line="276" w:lineRule="auto"/>
        <w:jc w:val="both"/>
      </w:pPr>
      <w:r>
        <w:rPr>
          <w:rFonts w:ascii="Malgun Gothic" w:hAnsi="Malgun Gothic" w:eastAsia="Malgun Gothic"/>
          <w:b w:val="0"/>
          <w:i w:val="0"/>
          <w:sz w:val="21"/>
        </w:rPr>
        <w:t>To validate whether the projected uplift materializes, each strategy needs a leading indicator that can be checked well before full month-end revenue is known, plus a small set of overall guardrail metrics tracked throughout the 30-day execution window.</w:t>
      </w:r>
    </w:p>
    <w:p>
      <w:pPr>
        <w:pStyle w:val="ListBullet"/>
        <w:spacing w:after="80"/>
      </w:pPr>
      <w:r>
        <w:rPr>
          <w:rFonts w:ascii="Malgun Gothic" w:hAnsi="Malgun Gothic" w:eastAsia="Malgun Gothic"/>
          <w:b w:val="0"/>
          <w:i w:val="0"/>
          <w:sz w:val="21"/>
        </w:rPr>
        <w:t>Strategy 1 (Demand Event Days): daily revenue on each event day compared against the trailing 7-day weekday average, target +150% [15] or more — checked same-day.</w:t>
      </w:r>
    </w:p>
    <w:p>
      <w:pPr>
        <w:pStyle w:val="ListBullet"/>
        <w:spacing w:after="80"/>
      </w:pPr>
      <w:r>
        <w:rPr>
          <w:rFonts w:ascii="Malgun Gothic" w:hAnsi="Malgun Gothic" w:eastAsia="Malgun Gothic"/>
          <w:b w:val="0"/>
          <w:i w:val="0"/>
          <w:sz w:val="21"/>
        </w:rPr>
        <w:t>Strategy 2 (Bundle Cross-Sell): bundle attach rate (% of Fruit/Nuts/Rice or Ready Meal/Meal Kit/Salad orders that also include the other category) compared against the 48.6% [36] cohort-day co-occurrence baseline — checked weekly during the A/B test.</w:t>
      </w:r>
    </w:p>
    <w:p>
      <w:pPr>
        <w:pStyle w:val="ListBullet"/>
        <w:spacing w:after="80"/>
      </w:pPr>
      <w:r>
        <w:rPr>
          <w:rFonts w:ascii="Malgun Gothic" w:hAnsi="Malgun Gothic" w:eastAsia="Malgun Gothic"/>
          <w:b w:val="0"/>
          <w:i w:val="0"/>
          <w:sz w:val="21"/>
        </w:rPr>
        <w:t>Strategy 3 (Premium Cohort Upsell): Cluster 1 average order value compared against the 22,941 KRW [24] baseline, targeting closure of 40% of the 3,229 KRW [54] gap to the M50s ceiling of 26,169 KRW [31] — checked at soft-launch and full-rollout milestones.</w:t>
      </w:r>
    </w:p>
    <w:p>
      <w:pPr>
        <w:pStyle w:val="ListBullet"/>
        <w:spacing w:after="80"/>
      </w:pPr>
      <w:r>
        <w:rPr>
          <w:rFonts w:ascii="Malgun Gothic" w:hAnsi="Malgun Gothic" w:eastAsia="Malgun Gothic"/>
          <w:b w:val="0"/>
          <w:i w:val="0"/>
          <w:sz w:val="21"/>
        </w:rPr>
        <w:t>Overall guardrails (tracked weekly): total weekly revenue vs. the 48,831,086 KRW [3] monthly baseline pace, total discount KRW given (to confirm Strategy 2 is not increasing net discount spend versus the 1,452,260 KRW [60] WEEKEND20 baseline), and order count by day type (weekday / promo weekend / event day) to confirm demand-timing shifts are occurring as planned.</w:t>
      </w:r>
    </w:p>
    <w:p>
      <w:pPr>
        <w:spacing w:after="160" w:line="276" w:lineRule="auto"/>
        <w:jc w:val="both"/>
      </w:pPr>
      <w:r>
        <w:rPr>
          <w:rFonts w:ascii="Malgun Gothic" w:hAnsi="Malgun Gothic" w:eastAsia="Malgun Gothic"/>
          <w:b w:val="0"/>
          <w:i w:val="0"/>
          <w:sz w:val="21"/>
        </w:rPr>
        <w:t>Because all three strategies rely on assumption-based response rates (capture, conversion, and gap-closure percentages) rather than directly observed treatment effects, the recommended approach is to launch Strategy 2 as a formal A/B test where feasible (holding out a control group of weekends under the current WEEKEND20 mechanics) and to treat Strategy 1 and Strategy 3 as measured pilots in month one, with the conservative/base/optimistic ranges in this report used as the pre-registered success bands for go/no-go decisions on continued rollout.</w:t>
      </w:r>
    </w:p>
    <w:p>
      <w:pPr>
        <w:pStyle w:val="Heading2"/>
      </w:pPr>
      <w:r>
        <w:rPr>
          <w:rFonts w:ascii="Malgun Gothic" w:hAnsi="Malgun Gothic" w:eastAsia="Malgun Gothic"/>
          <w:b/>
          <w:i w:val="0"/>
          <w:color w:val="34495E"/>
          <w:sz w:val="36"/>
        </w:rPr>
        <w:t>Limitations</w:t>
      </w:r>
    </w:p>
    <w:p>
      <w:pPr>
        <w:spacing w:after="160" w:line="276" w:lineRule="auto"/>
        <w:jc w:val="both"/>
      </w:pPr>
      <w:r>
        <w:rPr>
          <w:rFonts w:ascii="Malgun Gothic" w:hAnsi="Malgun Gothic" w:eastAsia="Malgun Gothic"/>
          <w:b w:val="0"/>
          <w:i w:val="0"/>
          <w:sz w:val="21"/>
        </w:rPr>
        <w:t>The findings and projections in this report are subject to the following limitations, carried forward from the underlying data and the independent validation process, and should be read alongside every figure above.</w:t>
      </w:r>
    </w:p>
    <w:p>
      <w:pPr>
        <w:pStyle w:val="ListBullet"/>
        <w:spacing w:after="80"/>
      </w:pPr>
      <w:r>
        <w:rPr>
          <w:rFonts w:ascii="Malgun Gothic" w:hAnsi="Malgun Gothic" w:eastAsia="Malgun Gothic"/>
          <w:b w:val="0"/>
          <w:i w:val="0"/>
          <w:sz w:val="21"/>
        </w:rPr>
        <w:t>No customer ID or order ID exists in the source data; all 'segments' in this report are demographic cohorts (Gender x Age Group) or basket-value tiers, not individual customer behavior. True customer lifetime value, repeat-purchase rate, and churn-risk analysis are not possible with this data.</w:t>
      </w:r>
    </w:p>
    <w:p>
      <w:pPr>
        <w:pStyle w:val="ListBullet"/>
        <w:spacing w:after="80"/>
      </w:pPr>
      <w:r>
        <w:rPr>
          <w:rFonts w:ascii="Malgun Gothic" w:hAnsi="Malgun Gothic" w:eastAsia="Malgun Gothic"/>
          <w:b w:val="0"/>
          <w:i w:val="0"/>
          <w:sz w:val="21"/>
        </w:rPr>
        <w:t>The K-means clustering (k=3) was fit on only 10 cohort data points, selected via elbow-method inertia flattening. This is a reproducible methodology but a small sample — cluster assignments should be treated as directional guidance, not statistically definitive segments.</w:t>
      </w:r>
    </w:p>
    <w:p>
      <w:pPr>
        <w:pStyle w:val="ListBullet"/>
        <w:spacing w:after="80"/>
      </w:pPr>
      <w:r>
        <w:rPr>
          <w:rFonts w:ascii="Malgun Gothic" w:hAnsi="Malgun Gothic" w:eastAsia="Malgun Gothic"/>
          <w:b w:val="0"/>
          <w:i w:val="0"/>
          <w:sz w:val="21"/>
        </w:rPr>
        <w:t>Cross-sell affinities are computed via a cohort + same-day co-occurrence proxy, not true same-basket co-purchase, because no basket ID exists; the 48.6% [36] top-pair support figure reflects this proxy methodology.</w:t>
      </w:r>
    </w:p>
    <w:p>
      <w:pPr>
        <w:pStyle w:val="ListBullet"/>
        <w:spacing w:after="80"/>
      </w:pPr>
      <w:r>
        <w:rPr>
          <w:rFonts w:ascii="Malgun Gothic" w:hAnsi="Malgun Gothic" w:eastAsia="Malgun Gothic"/>
          <w:b w:val="0"/>
          <w:i w:val="0"/>
          <w:sz w:val="21"/>
        </w:rPr>
        <w:t>No cost, margin, waste, spoilage, stockout, or returns data exist in the source file. All revenue-optimization and operational-efficiency findings are based on revenue (Amount) alone and should be validated against true product-level margins before committing budget.</w:t>
      </w:r>
    </w:p>
    <w:p>
      <w:pPr>
        <w:pStyle w:val="ListBullet"/>
        <w:spacing w:after="80"/>
      </w:pPr>
      <w:r>
        <w:rPr>
          <w:rFonts w:ascii="Malgun Gothic" w:hAnsi="Malgun Gothic" w:eastAsia="Malgun Gothic"/>
          <w:b w:val="0"/>
          <w:i w:val="0"/>
          <w:sz w:val="21"/>
        </w:rPr>
        <w:t>All three strategies' uplift projections combine verified historical baselines (holiday lift, bundle category revenue, AOV gap) with assumption-based capture/conversion/gap-closure rates that are explicitly labeled as planning estimates, not observed outcomes. They should be validated through A/B testing or measured pilots during execution rather than treated as guaranteed results.</w:t>
      </w:r>
    </w:p>
    <w:p>
      <w:pPr>
        <w:pStyle w:val="ListBullet"/>
        <w:spacing w:after="80"/>
      </w:pPr>
      <w:r>
        <w:rPr>
          <w:rFonts w:ascii="Malgun Gothic" w:hAnsi="Malgun Gothic" w:eastAsia="Malgun Gothic"/>
          <w:b w:val="0"/>
          <w:i w:val="0"/>
          <w:sz w:val="21"/>
        </w:rPr>
        <w:t>Correlation does not imply causation. The pricing/discount correlation findings in this report (e.g., price vs. quantity, promo vs. amount) are descriptive associations within a 14-day aggregate dataset, not evidence of a controlled causal experiment.</w:t>
      </w:r>
    </w:p>
    <w:p>
      <w:pPr>
        <w:pStyle w:val="ListBullet"/>
        <w:spacing w:after="80"/>
      </w:pPr>
      <w:r>
        <w:rPr>
          <w:rFonts w:ascii="Malgun Gothic" w:hAnsi="Malgun Gothic" w:eastAsia="Malgun Gothic"/>
          <w:b w:val="0"/>
          <w:i w:val="0"/>
          <w:sz w:val="21"/>
        </w:rPr>
        <w:t>The 14-day observation window is short; seasonality beyond this bi-weekly pattern (a true monthly cycle, other holidays, or longer-term trend) cannot be verified from this data alone, and the baseline next-month projection assumes May patterns are reasonably representative of the immediate next month.</w:t>
      </w:r>
    </w:p>
    <w:p>
      <w:pPr>
        <w:pStyle w:val="Heading2"/>
      </w:pPr>
      <w:r>
        <w:rPr>
          <w:rFonts w:ascii="Malgun Gothic" w:hAnsi="Malgun Gothic" w:eastAsia="Malgun Gothic"/>
          <w:b/>
          <w:i w:val="0"/>
          <w:color w:val="34495E"/>
          <w:sz w:val="36"/>
        </w:rPr>
        <w:t>References</w:t>
      </w:r>
    </w:p>
    <w:p>
      <w:pPr>
        <w:spacing w:after="160" w:line="276" w:lineRule="auto"/>
        <w:jc w:val="both"/>
      </w:pPr>
      <w:r>
        <w:rPr>
          <w:rFonts w:ascii="Malgun Gothic" w:hAnsi="Malgun Gothic" w:eastAsia="Malgun Gothic"/>
          <w:b w:val="0"/>
          <w:i w:val="0"/>
          <w:sz w:val="21"/>
        </w:rPr>
        <w:t>[1] Total revenue across full period (2025-05-01 to 2025-05-14): SUM(Amount)</w:t>
      </w:r>
    </w:p>
    <w:p>
      <w:pPr>
        <w:spacing w:after="160" w:line="276" w:lineRule="auto"/>
        <w:jc w:val="both"/>
      </w:pPr>
      <w:r>
        <w:rPr>
          <w:rFonts w:ascii="Malgun Gothic" w:hAnsi="Malgun Gothic" w:eastAsia="Malgun Gothic"/>
          <w:b w:val="0"/>
          <w:i w:val="0"/>
          <w:sz w:val="21"/>
        </w:rPr>
        <w:t>[2] Average order value (AOV): MEAN(Amount)</w:t>
      </w:r>
    </w:p>
    <w:p>
      <w:pPr>
        <w:spacing w:after="160" w:line="276" w:lineRule="auto"/>
        <w:jc w:val="both"/>
      </w:pPr>
      <w:r>
        <w:rPr>
          <w:rFonts w:ascii="Malgun Gothic" w:hAnsi="Malgun Gothic" w:eastAsia="Malgun Gothic"/>
          <w:b w:val="0"/>
          <w:i w:val="0"/>
          <w:sz w:val="21"/>
        </w:rPr>
        <w:t>[3] Projected baseline next-month revenue (avg daily revenue x 30 days): avg_daily_revenue * 30</w:t>
      </w:r>
    </w:p>
    <w:p>
      <w:pPr>
        <w:spacing w:after="160" w:line="276" w:lineRule="auto"/>
        <w:jc w:val="both"/>
      </w:pPr>
      <w:r>
        <w:rPr>
          <w:rFonts w:ascii="Malgun Gothic" w:hAnsi="Malgun Gothic" w:eastAsia="Malgun Gothic"/>
          <w:b w:val="0"/>
          <w:i w:val="0"/>
          <w:sz w:val="21"/>
        </w:rPr>
        <w:t>[4] Revenue/day lift: public holiday (no promo) vs regular weekday: (avg_rev_holiday - avg_rev_weekday) / avg_rev_weekday * 100</w:t>
      </w:r>
    </w:p>
    <w:p>
      <w:pPr>
        <w:spacing w:after="160" w:line="276" w:lineRule="auto"/>
        <w:jc w:val="both"/>
      </w:pPr>
      <w:r>
        <w:rPr>
          <w:rFonts w:ascii="Malgun Gothic" w:hAnsi="Malgun Gothic" w:eastAsia="Malgun Gothic"/>
          <w:b w:val="0"/>
          <w:i w:val="0"/>
          <w:sz w:val="21"/>
        </w:rPr>
        <w:t>[5] Revenue/day lift: promo weekend vs regular weekday (net of 20% discount): (avg_rev_promo_weekend - avg_rev_weekday) / avg_rev_weekday * 100</w:t>
      </w:r>
    </w:p>
    <w:p>
      <w:pPr>
        <w:spacing w:after="160" w:line="276" w:lineRule="auto"/>
        <w:jc w:val="both"/>
      </w:pPr>
      <w:r>
        <w:rPr>
          <w:rFonts w:ascii="Malgun Gothic" w:hAnsi="Malgun Gothic" w:eastAsia="Malgun Gothic"/>
          <w:b w:val="0"/>
          <w:i w:val="0"/>
          <w:sz w:val="21"/>
        </w:rPr>
        <w:t>[6] Revenue share of basket tier 'Premium (&gt;23,800)': tier_revenue / total_revenue * 100</w:t>
      </w:r>
    </w:p>
    <w:p>
      <w:pPr>
        <w:spacing w:after="160" w:line="276" w:lineRule="auto"/>
        <w:jc w:val="both"/>
      </w:pPr>
      <w:r>
        <w:rPr>
          <w:rFonts w:ascii="Malgun Gothic" w:hAnsi="Malgun Gothic" w:eastAsia="Malgun Gothic"/>
          <w:b w:val="0"/>
          <w:i w:val="0"/>
          <w:sz w:val="21"/>
        </w:rPr>
        <w:t>[7] Revenue share of K-means cluster 1: SUM(cluster revenue) / total_revenue * 100</w:t>
      </w:r>
    </w:p>
    <w:p>
      <w:pPr>
        <w:spacing w:after="160" w:line="276" w:lineRule="auto"/>
        <w:jc w:val="both"/>
      </w:pPr>
      <w:r>
        <w:rPr>
          <w:rFonts w:ascii="Malgun Gothic" w:hAnsi="Malgun Gothic" w:eastAsia="Malgun Gothic"/>
          <w:b w:val="0"/>
          <w:i w:val="0"/>
          <w:sz w:val="21"/>
        </w:rPr>
        <w:t>[8] K-means cluster assignment for cohort F 50s (k=3): KMeans(k=3).fit_predict(standardized[aov, avg_qty, promo_rate, order_count])</w:t>
      </w:r>
    </w:p>
    <w:p>
      <w:pPr>
        <w:spacing w:after="160" w:line="276" w:lineRule="auto"/>
        <w:jc w:val="both"/>
      </w:pPr>
      <w:r>
        <w:rPr>
          <w:rFonts w:ascii="Malgun Gothic" w:hAnsi="Malgun Gothic" w:eastAsia="Malgun Gothic"/>
          <w:b w:val="0"/>
          <w:i w:val="0"/>
          <w:sz w:val="21"/>
        </w:rPr>
        <w:t>[9] K-means cluster assignment for cohort F 30s (k=3): KMeans(k=3).fit_predict(standardized[aov, avg_qty, promo_rate, order_count])</w:t>
      </w:r>
    </w:p>
    <w:p>
      <w:pPr>
        <w:spacing w:after="160" w:line="276" w:lineRule="auto"/>
        <w:jc w:val="both"/>
      </w:pPr>
      <w:r>
        <w:rPr>
          <w:rFonts w:ascii="Malgun Gothic" w:hAnsi="Malgun Gothic" w:eastAsia="Malgun Gothic"/>
          <w:b w:val="0"/>
          <w:i w:val="0"/>
          <w:sz w:val="21"/>
        </w:rPr>
        <w:t>[10] Combined base-case projected monthly revenue uplift across all 3 strategies: s1_uplift_base + s2_uplift_base + s3_uplift_base</w:t>
      </w:r>
    </w:p>
    <w:p>
      <w:pPr>
        <w:spacing w:after="160" w:line="276" w:lineRule="auto"/>
        <w:jc w:val="both"/>
      </w:pPr>
      <w:r>
        <w:rPr>
          <w:rFonts w:ascii="Malgun Gothic" w:hAnsi="Malgun Gothic" w:eastAsia="Malgun Gothic"/>
          <w:b w:val="0"/>
          <w:i w:val="0"/>
          <w:sz w:val="21"/>
        </w:rPr>
        <w:t>[11] Combined base-case uplift as % of projected baseline month revenue: combined_base_uplift / baseline_month_revenue * 100</w:t>
      </w:r>
    </w:p>
    <w:p>
      <w:pPr>
        <w:spacing w:after="160" w:line="276" w:lineRule="auto"/>
        <w:jc w:val="both"/>
      </w:pPr>
      <w:r>
        <w:rPr>
          <w:rFonts w:ascii="Malgun Gothic" w:hAnsi="Malgun Gothic" w:eastAsia="Malgun Gothic"/>
          <w:b w:val="0"/>
          <w:i w:val="0"/>
          <w:sz w:val="21"/>
        </w:rPr>
        <w:t>[12] Average daily revenue over 14-day period: MEAN(daily SUM(Amount))</w:t>
      </w:r>
    </w:p>
    <w:p>
      <w:pPr>
        <w:spacing w:after="160" w:line="276" w:lineRule="auto"/>
        <w:jc w:val="both"/>
      </w:pPr>
      <w:r>
        <w:rPr>
          <w:rFonts w:ascii="Malgun Gothic" w:hAnsi="Malgun Gothic" w:eastAsia="Malgun Gothic"/>
          <w:b w:val="0"/>
          <w:i w:val="0"/>
          <w:sz w:val="21"/>
        </w:rPr>
        <w:t>[13] Average daily revenue on public holidays (2025-05-05, 2025-05-06): MEAN(daily revenue) WHERE is_holiday</w:t>
      </w:r>
    </w:p>
    <w:p>
      <w:pPr>
        <w:spacing w:after="160" w:line="276" w:lineRule="auto"/>
        <w:jc w:val="both"/>
      </w:pPr>
      <w:r>
        <w:rPr>
          <w:rFonts w:ascii="Malgun Gothic" w:hAnsi="Malgun Gothic" w:eastAsia="Malgun Gothic"/>
          <w:b w:val="0"/>
          <w:i w:val="0"/>
          <w:sz w:val="21"/>
        </w:rPr>
        <w:t>[14] Discount given as % of estimated list revenue: discount_given / est_list_revenue * 100</w:t>
      </w:r>
    </w:p>
    <w:p>
      <w:pPr>
        <w:spacing w:after="160" w:line="276" w:lineRule="auto"/>
        <w:jc w:val="both"/>
      </w:pPr>
      <w:r>
        <w:rPr>
          <w:rFonts w:ascii="Malgun Gothic" w:hAnsi="Malgun Gothic" w:eastAsia="Malgun Gothic"/>
          <w:b w:val="0"/>
          <w:i w:val="0"/>
          <w:sz w:val="21"/>
        </w:rPr>
        <w:t>[15] Average daily order count on public holidays: MEAN(daily order count) WHERE is_holiday</w:t>
      </w:r>
    </w:p>
    <w:p>
      <w:pPr>
        <w:spacing w:after="160" w:line="276" w:lineRule="auto"/>
        <w:jc w:val="both"/>
      </w:pPr>
      <w:r>
        <w:rPr>
          <w:rFonts w:ascii="Malgun Gothic" w:hAnsi="Malgun Gothic" w:eastAsia="Malgun Gothic"/>
          <w:b w:val="0"/>
          <w:i w:val="0"/>
          <w:sz w:val="21"/>
        </w:rPr>
        <w:t>[16] Revenue share of category 'Fruit/Nuts/Rice': category_revenue / total_revenue * 100</w:t>
      </w:r>
    </w:p>
    <w:p>
      <w:pPr>
        <w:spacing w:after="160" w:line="276" w:lineRule="auto"/>
        <w:jc w:val="both"/>
      </w:pPr>
      <w:r>
        <w:rPr>
          <w:rFonts w:ascii="Malgun Gothic" w:hAnsi="Malgun Gothic" w:eastAsia="Malgun Gothic"/>
          <w:b w:val="0"/>
          <w:i w:val="0"/>
          <w:sz w:val="21"/>
        </w:rPr>
        <w:t>[17] Revenue share of category 'Health Supplements': category_revenue / total_revenue * 100</w:t>
      </w:r>
    </w:p>
    <w:p>
      <w:pPr>
        <w:spacing w:after="160" w:line="276" w:lineRule="auto"/>
        <w:jc w:val="both"/>
      </w:pPr>
      <w:r>
        <w:rPr>
          <w:rFonts w:ascii="Malgun Gothic" w:hAnsi="Malgun Gothic" w:eastAsia="Malgun Gothic"/>
          <w:b w:val="0"/>
          <w:i w:val="0"/>
          <w:sz w:val="21"/>
        </w:rPr>
        <w:t>[18] Percent of product catalog generating 80% of revenue: n_products_80 / total_products * 100</w:t>
      </w:r>
    </w:p>
    <w:p>
      <w:pPr>
        <w:spacing w:after="160" w:line="276" w:lineRule="auto"/>
        <w:jc w:val="both"/>
      </w:pPr>
      <w:r>
        <w:rPr>
          <w:rFonts w:ascii="Malgun Gothic" w:hAnsi="Malgun Gothic" w:eastAsia="Malgun Gothic"/>
          <w:b w:val="0"/>
          <w:i w:val="0"/>
          <w:sz w:val="21"/>
        </w:rPr>
        <w:t>[19] Revenue share of top 5 products: SUM(top5 revenue) / total_revenue * 100</w:t>
      </w:r>
    </w:p>
    <w:p>
      <w:pPr>
        <w:spacing w:after="160" w:line="276" w:lineRule="auto"/>
        <w:jc w:val="both"/>
      </w:pPr>
      <w:r>
        <w:rPr>
          <w:rFonts w:ascii="Malgun Gothic" w:hAnsi="Malgun Gothic" w:eastAsia="Malgun Gothic"/>
          <w:b w:val="0"/>
          <w:i w:val="0"/>
          <w:sz w:val="21"/>
        </w:rPr>
        <w:t>[20] Combined revenue share of bottom 8 products (long tail): SUM(bottom8 revenue) / total_revenue * 100</w:t>
      </w:r>
    </w:p>
    <w:p>
      <w:pPr>
        <w:spacing w:after="160" w:line="276" w:lineRule="auto"/>
        <w:jc w:val="both"/>
      </w:pPr>
      <w:r>
        <w:rPr>
          <w:rFonts w:ascii="Malgun Gothic" w:hAnsi="Malgun Gothic" w:eastAsia="Malgun Gothic"/>
          <w:b w:val="0"/>
          <w:i w:val="0"/>
          <w:sz w:val="21"/>
        </w:rPr>
        <w:t>[21] Total revenue for product 'Hanwoo Beef Gift Set': SUM(Amount) WHERE Product==prod</w:t>
      </w:r>
    </w:p>
    <w:p>
      <w:pPr>
        <w:spacing w:after="160" w:line="276" w:lineRule="auto"/>
        <w:jc w:val="both"/>
      </w:pPr>
      <w:r>
        <w:rPr>
          <w:rFonts w:ascii="Malgun Gothic" w:hAnsi="Malgun Gothic" w:eastAsia="Malgun Gothic"/>
          <w:b w:val="0"/>
          <w:i w:val="0"/>
          <w:sz w:val="21"/>
        </w:rPr>
        <w:t>[22] Revenue share of K-means cluster 0: SUM(cluster revenue) / total_revenue * 100</w:t>
      </w:r>
    </w:p>
    <w:p>
      <w:pPr>
        <w:spacing w:after="160" w:line="276" w:lineRule="auto"/>
        <w:jc w:val="both"/>
      </w:pPr>
      <w:r>
        <w:rPr>
          <w:rFonts w:ascii="Malgun Gothic" w:hAnsi="Malgun Gothic" w:eastAsia="Malgun Gothic"/>
          <w:b w:val="0"/>
          <w:i w:val="0"/>
          <w:sz w:val="21"/>
        </w:rPr>
        <w:t>[23] Average promo usage rate within K-means cluster 0: MEAN(cohort promo_rate) * 100 WHERE cluster==c</w:t>
      </w:r>
    </w:p>
    <w:p>
      <w:pPr>
        <w:spacing w:after="160" w:line="276" w:lineRule="auto"/>
        <w:jc w:val="both"/>
      </w:pPr>
      <w:r>
        <w:rPr>
          <w:rFonts w:ascii="Malgun Gothic" w:hAnsi="Malgun Gothic" w:eastAsia="Malgun Gothic"/>
          <w:b w:val="0"/>
          <w:i w:val="0"/>
          <w:sz w:val="21"/>
        </w:rPr>
        <w:t>[24] Average order value of Cluster 1 cohorts (F50s, M50s, M60s): MEAN(Amount) WHERE (Gender,Age Group) IN [(F,50s),(M,50s),(M,60s)]</w:t>
      </w:r>
    </w:p>
    <w:p>
      <w:pPr>
        <w:spacing w:after="160" w:line="276" w:lineRule="auto"/>
        <w:jc w:val="both"/>
      </w:pPr>
      <w:r>
        <w:rPr>
          <w:rFonts w:ascii="Malgun Gothic" w:hAnsi="Malgun Gothic" w:eastAsia="Malgun Gothic"/>
          <w:b w:val="0"/>
          <w:i w:val="0"/>
          <w:sz w:val="21"/>
        </w:rPr>
        <w:t>[25] Average promo usage rate within K-means cluster 1: MEAN(cohort promo_rate) * 100 WHERE cluster==c</w:t>
      </w:r>
    </w:p>
    <w:p>
      <w:pPr>
        <w:spacing w:after="160" w:line="276" w:lineRule="auto"/>
        <w:jc w:val="both"/>
      </w:pPr>
      <w:r>
        <w:rPr>
          <w:rFonts w:ascii="Malgun Gothic" w:hAnsi="Malgun Gothic" w:eastAsia="Malgun Gothic"/>
          <w:b w:val="0"/>
          <w:i w:val="0"/>
          <w:sz w:val="21"/>
        </w:rPr>
        <w:t>[26] Revenue share of K-means cluster 2: SUM(cluster revenue) / total_revenue * 100</w:t>
      </w:r>
    </w:p>
    <w:p>
      <w:pPr>
        <w:spacing w:after="160" w:line="276" w:lineRule="auto"/>
        <w:jc w:val="both"/>
      </w:pPr>
      <w:r>
        <w:rPr>
          <w:rFonts w:ascii="Malgun Gothic" w:hAnsi="Malgun Gothic" w:eastAsia="Malgun Gothic"/>
          <w:b w:val="0"/>
          <w:i w:val="0"/>
          <w:sz w:val="21"/>
        </w:rPr>
        <w:t>[27] Average order value for age group '30s': MEAN(Amount) WHERE Age Group==age</w:t>
      </w:r>
    </w:p>
    <w:p>
      <w:pPr>
        <w:spacing w:after="160" w:line="276" w:lineRule="auto"/>
        <w:jc w:val="both"/>
      </w:pPr>
      <w:r>
        <w:rPr>
          <w:rFonts w:ascii="Malgun Gothic" w:hAnsi="Malgun Gothic" w:eastAsia="Malgun Gothic"/>
          <w:b w:val="0"/>
          <w:i w:val="0"/>
          <w:sz w:val="21"/>
        </w:rPr>
        <w:t>[28] Top category ('Health Supplements') revenue share within cohort F 60s: cohort_category_revenue / cohort_total_revenue * 100</w:t>
      </w:r>
    </w:p>
    <w:p>
      <w:pPr>
        <w:spacing w:after="160" w:line="276" w:lineRule="auto"/>
        <w:jc w:val="both"/>
      </w:pPr>
      <w:r>
        <w:rPr>
          <w:rFonts w:ascii="Malgun Gothic" w:hAnsi="Malgun Gothic" w:eastAsia="Malgun Gothic"/>
          <w:b w:val="0"/>
          <w:i w:val="0"/>
          <w:sz w:val="21"/>
        </w:rPr>
        <w:t>[29] Top category ('Health Supplements') revenue share within cohort M 60s: cohort_category_revenue / cohort_total_revenue * 100</w:t>
      </w:r>
    </w:p>
    <w:p>
      <w:pPr>
        <w:spacing w:after="160" w:line="276" w:lineRule="auto"/>
        <w:jc w:val="both"/>
      </w:pPr>
      <w:r>
        <w:rPr>
          <w:rFonts w:ascii="Malgun Gothic" w:hAnsi="Malgun Gothic" w:eastAsia="Malgun Gothic"/>
          <w:b w:val="0"/>
          <w:i w:val="0"/>
          <w:sz w:val="21"/>
        </w:rPr>
        <w:t>[30] Top category ('Fruit/Nuts/Rice') revenue share within cohort M 50s: cohort_category_revenue / cohort_total_revenue * 100</w:t>
      </w:r>
    </w:p>
    <w:p>
      <w:pPr>
        <w:spacing w:after="160" w:line="276" w:lineRule="auto"/>
        <w:jc w:val="both"/>
      </w:pPr>
      <w:r>
        <w:rPr>
          <w:rFonts w:ascii="Malgun Gothic" w:hAnsi="Malgun Gothic" w:eastAsia="Malgun Gothic"/>
          <w:b w:val="0"/>
          <w:i w:val="0"/>
          <w:sz w:val="21"/>
        </w:rPr>
        <w:t>[31] AOV ceiling target: M50s cohort (highest observed cohort AOV): MEAN(Amount) WHERE Gender==M AND Age Group==50s</w:t>
      </w:r>
    </w:p>
    <w:p>
      <w:pPr>
        <w:spacing w:after="160" w:line="276" w:lineRule="auto"/>
        <w:jc w:val="both"/>
      </w:pPr>
      <w:r>
        <w:rPr>
          <w:rFonts w:ascii="Malgun Gothic" w:hAnsi="Malgun Gothic" w:eastAsia="Malgun Gothic"/>
          <w:b w:val="0"/>
          <w:i w:val="0"/>
          <w:sz w:val="21"/>
        </w:rPr>
        <w:t>[32] Total revenue for basket tier 'Premium (&gt;23,800)': SUM(Amount) WHERE basket_tier==tier</w:t>
      </w:r>
    </w:p>
    <w:p>
      <w:pPr>
        <w:spacing w:after="160" w:line="276" w:lineRule="auto"/>
        <w:jc w:val="both"/>
      </w:pPr>
      <w:r>
        <w:rPr>
          <w:rFonts w:ascii="Malgun Gothic" w:hAnsi="Malgun Gothic" w:eastAsia="Malgun Gothic"/>
          <w:b w:val="0"/>
          <w:i w:val="0"/>
          <w:sz w:val="21"/>
        </w:rPr>
        <w:t>[33] Revenue share of basket tier 'High (12,900-23,800)': tier_revenue / total_revenue * 100</w:t>
      </w:r>
    </w:p>
    <w:p>
      <w:pPr>
        <w:spacing w:after="160" w:line="276" w:lineRule="auto"/>
        <w:jc w:val="both"/>
      </w:pPr>
      <w:r>
        <w:rPr>
          <w:rFonts w:ascii="Malgun Gothic" w:hAnsi="Malgun Gothic" w:eastAsia="Malgun Gothic"/>
          <w:b w:val="0"/>
          <w:i w:val="0"/>
          <w:sz w:val="21"/>
        </w:rPr>
        <w:t>[34] Revenue share of basket tier 'Mid (7,120-12,900)': tier_revenue / total_revenue * 100</w:t>
      </w:r>
    </w:p>
    <w:p>
      <w:pPr>
        <w:spacing w:after="160" w:line="276" w:lineRule="auto"/>
        <w:jc w:val="both"/>
      </w:pPr>
      <w:r>
        <w:rPr>
          <w:rFonts w:ascii="Malgun Gothic" w:hAnsi="Malgun Gothic" w:eastAsia="Malgun Gothic"/>
          <w:b w:val="0"/>
          <w:i w:val="0"/>
          <w:sz w:val="21"/>
        </w:rPr>
        <w:t>[35] Revenue share of basket tier 'Low (&lt;=7,120)': tier_revenue / total_revenue * 100</w:t>
      </w:r>
    </w:p>
    <w:p>
      <w:pPr>
        <w:spacing w:after="160" w:line="276" w:lineRule="auto"/>
        <w:jc w:val="both"/>
      </w:pPr>
      <w:r>
        <w:rPr>
          <w:rFonts w:ascii="Malgun Gothic" w:hAnsi="Malgun Gothic" w:eastAsia="Malgun Gothic"/>
          <w:b w:val="0"/>
          <w:i w:val="0"/>
          <w:sz w:val="21"/>
        </w:rPr>
        <w:t>[36] Support % of top category co-occurrence pair (Fruit/Nuts/Rice + Ready Meal/Meal Kit/Salad): co_occurrence_count / total_cohort_day_groups * 100</w:t>
      </w:r>
    </w:p>
    <w:p>
      <w:pPr>
        <w:spacing w:after="160" w:line="276" w:lineRule="auto"/>
        <w:jc w:val="both"/>
      </w:pPr>
      <w:r>
        <w:rPr>
          <w:rFonts w:ascii="Malgun Gothic" w:hAnsi="Malgun Gothic" w:eastAsia="Malgun Gothic"/>
          <w:b w:val="0"/>
          <w:i w:val="0"/>
          <w:sz w:val="21"/>
        </w:rPr>
        <w:t>[37] Combined 14-day revenue of top affinity bundle categories (Fruit/Nuts/Rice + Ready Meal/Meal Kit/Salad): SUM(Amount) WHERE Category IN [Fruit/Nuts/Rice, Ready Meal/Meal Kit/Salad]</w:t>
      </w:r>
    </w:p>
    <w:p>
      <w:pPr>
        <w:spacing w:after="160" w:line="276" w:lineRule="auto"/>
        <w:jc w:val="both"/>
      </w:pPr>
      <w:r>
        <w:rPr>
          <w:rFonts w:ascii="Malgun Gothic" w:hAnsi="Malgun Gothic" w:eastAsia="Malgun Gothic"/>
          <w:b w:val="0"/>
          <w:i w:val="0"/>
          <w:sz w:val="21"/>
        </w:rPr>
        <w:t>[38] Order volume lift: avg daily orders on promo weekend vs regular weekday: (avg_orders_promo_weekend - avg_orders_weekday) / avg_orders_weekday * 100</w:t>
      </w:r>
    </w:p>
    <w:p>
      <w:pPr>
        <w:spacing w:after="160" w:line="276" w:lineRule="auto"/>
        <w:jc w:val="both"/>
      </w:pPr>
      <w:r>
        <w:rPr>
          <w:rFonts w:ascii="Malgun Gothic" w:hAnsi="Malgun Gothic" w:eastAsia="Malgun Gothic"/>
          <w:b w:val="0"/>
          <w:i w:val="0"/>
          <w:sz w:val="21"/>
        </w:rPr>
        <w:t>[39] Unit volume lift: avg daily units on promo weekend (Sat/Sun, non-holiday) vs regular weekday: (avg_units_promo_weekend - avg_units_weekday) / avg_units_weekday * 100</w:t>
      </w:r>
    </w:p>
    <w:p>
      <w:pPr>
        <w:spacing w:after="160" w:line="276" w:lineRule="auto"/>
        <w:jc w:val="both"/>
      </w:pPr>
      <w:r>
        <w:rPr>
          <w:rFonts w:ascii="Malgun Gothic" w:hAnsi="Malgun Gothic" w:eastAsia="Malgun Gothic"/>
          <w:b w:val="0"/>
          <w:i w:val="0"/>
          <w:sz w:val="21"/>
        </w:rPr>
        <w:t>[40] Estimated pre-discount list revenue (reconstructed: promo_amount/0.8): SUM(IF has_promo: Amount/0.8 ELSE Amount)</w:t>
      </w:r>
    </w:p>
    <w:p>
      <w:pPr>
        <w:spacing w:after="160" w:line="276" w:lineRule="auto"/>
        <w:jc w:val="both"/>
      </w:pPr>
      <w:r>
        <w:rPr>
          <w:rFonts w:ascii="Malgun Gothic" w:hAnsi="Malgun Gothic" w:eastAsia="Malgun Gothic"/>
          <w:b w:val="0"/>
          <w:i w:val="0"/>
          <w:sz w:val="21"/>
        </w:rPr>
        <w:t>[41] Total revenue for gender 'F': SUM(Amount) WHERE Gender==gender</w:t>
      </w:r>
    </w:p>
    <w:p>
      <w:pPr>
        <w:spacing w:after="160" w:line="276" w:lineRule="auto"/>
        <w:jc w:val="both"/>
      </w:pPr>
      <w:r>
        <w:rPr>
          <w:rFonts w:ascii="Malgun Gothic" w:hAnsi="Malgun Gothic" w:eastAsia="Malgun Gothic"/>
          <w:b w:val="0"/>
          <w:i w:val="0"/>
          <w:sz w:val="21"/>
        </w:rPr>
        <w:t>[42] Average order value for gender 'F': MEAN(Amount) WHERE Gender==gender</w:t>
      </w:r>
    </w:p>
    <w:p>
      <w:pPr>
        <w:spacing w:after="160" w:line="276" w:lineRule="auto"/>
        <w:jc w:val="both"/>
      </w:pPr>
      <w:r>
        <w:rPr>
          <w:rFonts w:ascii="Malgun Gothic" w:hAnsi="Malgun Gothic" w:eastAsia="Malgun Gothic"/>
          <w:b w:val="0"/>
          <w:i w:val="0"/>
          <w:sz w:val="21"/>
        </w:rPr>
        <w:t>[43] Total revenue for gender 'M': SUM(Amount) WHERE Gender==gender</w:t>
      </w:r>
    </w:p>
    <w:p>
      <w:pPr>
        <w:spacing w:after="160" w:line="276" w:lineRule="auto"/>
        <w:jc w:val="both"/>
      </w:pPr>
      <w:r>
        <w:rPr>
          <w:rFonts w:ascii="Malgun Gothic" w:hAnsi="Malgun Gothic" w:eastAsia="Malgun Gothic"/>
          <w:b w:val="0"/>
          <w:i w:val="0"/>
          <w:sz w:val="21"/>
        </w:rPr>
        <w:t>[44] Average order value for gender 'M': MEAN(Amount) WHERE Gender==gender</w:t>
      </w:r>
    </w:p>
    <w:p>
      <w:pPr>
        <w:spacing w:after="160" w:line="276" w:lineRule="auto"/>
        <w:jc w:val="both"/>
      </w:pPr>
      <w:r>
        <w:rPr>
          <w:rFonts w:ascii="Malgun Gothic" w:hAnsi="Malgun Gothic" w:eastAsia="Malgun Gothic"/>
          <w:b w:val="0"/>
          <w:i w:val="0"/>
          <w:sz w:val="21"/>
        </w:rPr>
        <w:t>[45] Average order value for age group '50s': MEAN(Amount) WHERE Age Group==age</w:t>
      </w:r>
    </w:p>
    <w:p>
      <w:pPr>
        <w:spacing w:after="160" w:line="276" w:lineRule="auto"/>
        <w:jc w:val="both"/>
      </w:pPr>
      <w:r>
        <w:rPr>
          <w:rFonts w:ascii="Malgun Gothic" w:hAnsi="Malgun Gothic" w:eastAsia="Malgun Gothic"/>
          <w:b w:val="0"/>
          <w:i w:val="0"/>
          <w:sz w:val="21"/>
        </w:rPr>
        <w:t>[46] Average order value for age group '20s': MEAN(Amount) WHERE Age Group==age</w:t>
      </w:r>
    </w:p>
    <w:p>
      <w:pPr>
        <w:spacing w:after="160" w:line="276" w:lineRule="auto"/>
        <w:jc w:val="both"/>
      </w:pPr>
      <w:r>
        <w:rPr>
          <w:rFonts w:ascii="Malgun Gothic" w:hAnsi="Malgun Gothic" w:eastAsia="Malgun Gothic"/>
          <w:b w:val="0"/>
          <w:i w:val="0"/>
          <w:sz w:val="21"/>
        </w:rPr>
        <w:t>[47] Absolute daily revenue lift of holiday vs weekday (KRW): daily_holiday_rev - daily_weekday_rev</w:t>
      </w:r>
    </w:p>
    <w:p>
      <w:pPr>
        <w:spacing w:after="160" w:line="276" w:lineRule="auto"/>
        <w:jc w:val="both"/>
      </w:pPr>
      <w:r>
        <w:rPr>
          <w:rFonts w:ascii="Malgun Gothic" w:hAnsi="Malgun Gothic" w:eastAsia="Malgun Gothic"/>
          <w:b w:val="0"/>
          <w:i w:val="0"/>
          <w:sz w:val="21"/>
        </w:rPr>
        <w:t>[48] Strategy 1 (conservative scenario) projected monthly revenue uplift from 2 planned demand-event days: holiday_lift_abs  capture_rate  n_event_days(2)</w:t>
      </w:r>
    </w:p>
    <w:p>
      <w:pPr>
        <w:spacing w:after="160" w:line="276" w:lineRule="auto"/>
        <w:jc w:val="both"/>
      </w:pPr>
      <w:r>
        <w:rPr>
          <w:rFonts w:ascii="Malgun Gothic" w:hAnsi="Malgun Gothic" w:eastAsia="Malgun Gothic"/>
          <w:b w:val="0"/>
          <w:i w:val="0"/>
          <w:sz w:val="21"/>
        </w:rPr>
        <w:t>[49] Projected monthly revenue of bundle categories (14-day bundle revenue scaled to 30 days): bundle_rev / 14 * 30</w:t>
      </w:r>
    </w:p>
    <w:p>
      <w:pPr>
        <w:spacing w:after="160" w:line="276" w:lineRule="auto"/>
        <w:jc w:val="both"/>
      </w:pPr>
      <w:r>
        <w:rPr>
          <w:rFonts w:ascii="Malgun Gothic" w:hAnsi="Malgun Gothic" w:eastAsia="Malgun Gothic"/>
          <w:b w:val="0"/>
          <w:i w:val="0"/>
          <w:sz w:val="21"/>
        </w:rPr>
        <w:t>[50] Strategy 2 addressable monthly revenue base (non-bundle-buyer share of bundle category revenue): monthly_bundle_rev * (1 - cross_sell_support_rate(48.6%))</w:t>
      </w:r>
    </w:p>
    <w:p>
      <w:pPr>
        <w:spacing w:after="160" w:line="276" w:lineRule="auto"/>
        <w:jc w:val="both"/>
      </w:pPr>
      <w:r>
        <w:rPr>
          <w:rFonts w:ascii="Malgun Gothic" w:hAnsi="Malgun Gothic" w:eastAsia="Malgun Gothic"/>
          <w:b w:val="0"/>
          <w:i w:val="0"/>
          <w:sz w:val="21"/>
        </w:rPr>
        <w:t>[51] Strategy 2 (conservative scenario) projected monthly incremental revenue from targeted bundle cross-sell offer: addressable_monthly * conversion_rate</w:t>
      </w:r>
    </w:p>
    <w:p>
      <w:pPr>
        <w:spacing w:after="160" w:line="276" w:lineRule="auto"/>
        <w:jc w:val="both"/>
      </w:pPr>
      <w:r>
        <w:rPr>
          <w:rFonts w:ascii="Malgun Gothic" w:hAnsi="Malgun Gothic" w:eastAsia="Malgun Gothic"/>
          <w:b w:val="0"/>
          <w:i w:val="0"/>
          <w:sz w:val="21"/>
        </w:rPr>
        <w:t>[52] Strategy 2 (base scenario) projected monthly incremental revenue from targeted bundle cross-sell offer: addressable_monthly * conversion_rate</w:t>
      </w:r>
    </w:p>
    <w:p>
      <w:pPr>
        <w:spacing w:after="160" w:line="276" w:lineRule="auto"/>
        <w:jc w:val="both"/>
      </w:pPr>
      <w:r>
        <w:rPr>
          <w:rFonts w:ascii="Malgun Gothic" w:hAnsi="Malgun Gothic" w:eastAsia="Malgun Gothic"/>
          <w:b w:val="0"/>
          <w:i w:val="0"/>
          <w:sz w:val="21"/>
        </w:rPr>
        <w:t>[53] Strategy 2 (optimistic scenario) projected monthly incremental revenue from targeted bundle cross-sell offer: addressable_monthly * conversion_rate</w:t>
      </w:r>
    </w:p>
    <w:p>
      <w:pPr>
        <w:spacing w:after="160" w:line="276" w:lineRule="auto"/>
        <w:jc w:val="both"/>
      </w:pPr>
      <w:r>
        <w:rPr>
          <w:rFonts w:ascii="Malgun Gothic" w:hAnsi="Malgun Gothic" w:eastAsia="Malgun Gothic"/>
          <w:b w:val="0"/>
          <w:i w:val="0"/>
          <w:sz w:val="21"/>
        </w:rPr>
        <w:t>[54] AOV gap between Cluster 1 current AOV and M50s ceiling AOV (Strategy 3): target_aov - cluster1_aov</w:t>
      </w:r>
    </w:p>
    <w:p>
      <w:pPr>
        <w:spacing w:after="160" w:line="276" w:lineRule="auto"/>
        <w:jc w:val="both"/>
      </w:pPr>
      <w:r>
        <w:rPr>
          <w:rFonts w:ascii="Malgun Gothic" w:hAnsi="Malgun Gothic" w:eastAsia="Malgun Gothic"/>
          <w:b w:val="0"/>
          <w:i w:val="0"/>
          <w:sz w:val="21"/>
        </w:rPr>
        <w:t>[55] Projected monthly order count for Cluster 1 cohorts: cluster1_orders / 14 * 30</w:t>
      </w:r>
    </w:p>
    <w:p>
      <w:pPr>
        <w:spacing w:after="160" w:line="276" w:lineRule="auto"/>
        <w:jc w:val="both"/>
      </w:pPr>
      <w:r>
        <w:rPr>
          <w:rFonts w:ascii="Malgun Gothic" w:hAnsi="Malgun Gothic" w:eastAsia="Malgun Gothic"/>
          <w:b w:val="0"/>
          <w:i w:val="0"/>
          <w:sz w:val="21"/>
        </w:rPr>
        <w:t>[56] Strategy 3 (conservative scenario) projected monthly incremental revenue from Cluster 1 AOV-gap closure: aov_gap  gap_closure_rate  monthly_cluster1_orders</w:t>
      </w:r>
    </w:p>
    <w:p>
      <w:pPr>
        <w:spacing w:after="160" w:line="276" w:lineRule="auto"/>
        <w:jc w:val="both"/>
      </w:pPr>
      <w:r>
        <w:rPr>
          <w:rFonts w:ascii="Malgun Gothic" w:hAnsi="Malgun Gothic" w:eastAsia="Malgun Gothic"/>
          <w:b w:val="0"/>
          <w:i w:val="0"/>
          <w:sz w:val="21"/>
        </w:rPr>
        <w:t>[57] Strategy 3 (base scenario) projected monthly incremental revenue from Cluster 1 AOV-gap closure: aov_gap  gap_closure_rate  monthly_cluster1_orders</w:t>
      </w:r>
    </w:p>
    <w:p>
      <w:pPr>
        <w:spacing w:after="160" w:line="276" w:lineRule="auto"/>
        <w:jc w:val="both"/>
      </w:pPr>
      <w:r>
        <w:rPr>
          <w:rFonts w:ascii="Malgun Gothic" w:hAnsi="Malgun Gothic" w:eastAsia="Malgun Gothic"/>
          <w:b w:val="0"/>
          <w:i w:val="0"/>
          <w:sz w:val="21"/>
        </w:rPr>
        <w:t>[58] Average daily order count on regular weekdays: MEAN(daily order count) WHERE NOT is_weekend AND NOT is_holiday</w:t>
      </w:r>
    </w:p>
    <w:p>
      <w:pPr>
        <w:spacing w:after="160" w:line="276" w:lineRule="auto"/>
        <w:jc w:val="both"/>
      </w:pPr>
      <w:r>
        <w:rPr>
          <w:rFonts w:ascii="Malgun Gothic" w:hAnsi="Malgun Gothic" w:eastAsia="Malgun Gothic"/>
          <w:b w:val="0"/>
          <w:i w:val="0"/>
          <w:sz w:val="21"/>
        </w:rPr>
        <w:t>[59] Strategy 3 (optimistic scenario) projected monthly incremental revenue from Cluster 1 AOV-gap closure: aov_gap  gap_closure_rate  monthly_cluster1_orders</w:t>
      </w:r>
    </w:p>
    <w:p>
      <w:pPr>
        <w:spacing w:after="160" w:line="276" w:lineRule="auto"/>
        <w:jc w:val="both"/>
      </w:pPr>
      <w:r>
        <w:rPr>
          <w:rFonts w:ascii="Malgun Gothic" w:hAnsi="Malgun Gothic" w:eastAsia="Malgun Gothic"/>
          <w:b w:val="0"/>
          <w:i w:val="0"/>
          <w:sz w:val="21"/>
        </w:rPr>
        <w:t>[60] Current 14-day WEEKEND20 total discount given (Strategy 2 baseline): SUM(Amount/0.8 - Amount) WHERE has_promo</w:t>
      </w:r>
    </w:p>
    <w:sectPr w:rsidR="00FC693F" w:rsidRPr="0006063C" w:rsidSect="00034616">
      <w:pgSz w:w="12240" w:h="15840"/>
      <w:pgMar w:top="1440" w:right="1797" w:bottom="1440" w:left="179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1.sv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2.svg"/><Relationship Id="rId14" Type="http://schemas.openxmlformats.org/officeDocument/2006/relationships/image" Target="media/image1.svg"/><Relationship Id="rId15" Type="http://schemas.openxmlformats.org/officeDocument/2006/relationships/image" Target="media/image3.svg"/><Relationship Id="rId16" Type="http://schemas.openxmlformats.org/officeDocument/2006/relationships/image" Target="media/image4.png"/><Relationship Id="rId17" Type="http://schemas.openxmlformats.org/officeDocument/2006/relationships/image" Target="media/image2.svg"/><Relationship Id="rId18" Type="http://schemas.openxmlformats.org/officeDocument/2006/relationships/image" Target="media/image1.svg"/><Relationship Id="rId19" Type="http://schemas.openxmlformats.org/officeDocument/2006/relationships/image" Target="media/image3.svg"/><Relationship Id="rId20" Type="http://schemas.openxmlformats.org/officeDocument/2006/relationships/image" Target="media/image4.svg"/><Relationship Id="rId21" Type="http://schemas.openxmlformats.org/officeDocument/2006/relationships/image" Target="media/image5.png"/><Relationship Id="rId22" Type="http://schemas.openxmlformats.org/officeDocument/2006/relationships/image" Target="media/image2.svg"/><Relationship Id="rId23" Type="http://schemas.openxmlformats.org/officeDocument/2006/relationships/image" Target="media/image1.svg"/><Relationship Id="rId24" Type="http://schemas.openxmlformats.org/officeDocument/2006/relationships/image" Target="media/image3.svg"/><Relationship Id="rId25" Type="http://schemas.openxmlformats.org/officeDocument/2006/relationships/image" Target="media/image5.svg"/><Relationship Id="rId26" Type="http://schemas.openxmlformats.org/officeDocument/2006/relationships/image" Target="media/image4.svg"/><Relationship Id="rId27" Type="http://schemas.openxmlformats.org/officeDocument/2006/relationships/image" Target="media/image6.png"/><Relationship Id="rId28" Type="http://schemas.openxmlformats.org/officeDocument/2006/relationships/image" Target="media/image2.svg"/><Relationship Id="rId29" Type="http://schemas.openxmlformats.org/officeDocument/2006/relationships/image" Target="media/image1.svg"/><Relationship Id="rId30" Type="http://schemas.openxmlformats.org/officeDocument/2006/relationships/image" Target="media/image3.svg"/><Relationship Id="rId31" Type="http://schemas.openxmlformats.org/officeDocument/2006/relationships/image" Target="media/image6.svg"/><Relationship Id="rId32" Type="http://schemas.openxmlformats.org/officeDocument/2006/relationships/image" Target="media/image5.svg"/><Relationship Id="rId33" Type="http://schemas.openxmlformats.org/officeDocument/2006/relationships/image" Target="media/image4.svg"/><Relationship Id="rId34" Type="http://schemas.openxmlformats.org/officeDocument/2006/relationships/image" Target="media/image2.svg"/><Relationship Id="rId35" Type="http://schemas.openxmlformats.org/officeDocument/2006/relationships/image" Target="media/image1.svg"/><Relationship Id="rId36" Type="http://schemas.openxmlformats.org/officeDocument/2006/relationships/image" Target="media/image3.svg"/><Relationship Id="rId37" Type="http://schemas.openxmlformats.org/officeDocument/2006/relationships/image" Target="media/image6.svg"/><Relationship Id="rId38" Type="http://schemas.openxmlformats.org/officeDocument/2006/relationships/image" Target="media/image5.svg"/><Relationship Id="rId39" Type="http://schemas.openxmlformats.org/officeDocument/2006/relationships/image" Target="media/image4.svg"/><Relationship Id="rId40" Type="http://schemas.openxmlformats.org/officeDocument/2006/relationships/image" Target="media/image2.svg"/><Relationship Id="rId41" Type="http://schemas.openxmlformats.org/officeDocument/2006/relationships/image" Target="media/image1.svg"/><Relationship Id="rId42" Type="http://schemas.openxmlformats.org/officeDocument/2006/relationships/image" Target="media/image3.svg"/><Relationship Id="rId43" Type="http://schemas.openxmlformats.org/officeDocument/2006/relationships/image" Target="media/image6.svg"/><Relationship Id="rId44" Type="http://schemas.openxmlformats.org/officeDocument/2006/relationships/image" Target="media/image5.svg"/><Relationship Id="rId45" Type="http://schemas.openxmlformats.org/officeDocument/2006/relationships/image" Target="media/image4.svg"/><Relationship Id="rId46" Type="http://schemas.openxmlformats.org/officeDocument/2006/relationships/image" Target="media/image2.svg"/><Relationship Id="rId47" Type="http://schemas.openxmlformats.org/officeDocument/2006/relationships/image" Target="media/image1.svg"/><Relationship Id="rId48" Type="http://schemas.openxmlformats.org/officeDocument/2006/relationships/image" Target="media/image3.svg"/><Relationship Id="rId49" Type="http://schemas.openxmlformats.org/officeDocument/2006/relationships/image" Target="media/image6.svg"/><Relationship Id="rId50" Type="http://schemas.openxmlformats.org/officeDocument/2006/relationships/image" Target="media/image5.svg"/><Relationship Id="rId51" Type="http://schemas.openxmlformats.org/officeDocument/2006/relationships/image" Target="media/image4.sv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