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80" w:after="240" w:lineRule="auto" w:line="240"/>
        <w:jc w:val="left"/>
      </w:pPr>
      <w:r>
        <w:rPr>
          <w:rFonts w:ascii="Calibri" w:hAnsi="Calibri" w:eastAsia="Calibri"/>
          <w:b/>
          <w:i w:val="0"/>
          <w:color w:val="1F3864"/>
          <w:sz w:val="52"/>
        </w:rPr>
        <w:t>IDPAutoTune — Paid Feature Proposal</w:t>
      </w:r>
      <w:r>
        <w:rPr>
          <w:rFonts w:ascii="Calibri" w:hAnsi="Calibri" w:eastAsia="Calibri"/>
          <w:b/>
          <w:i w:val="0"/>
          <w:color w:val="1F3864"/>
          <w:sz w:val="52"/>
        </w:rPr>
      </w:r>
    </w:p>
    <w:p>
      <w:pPr>
        <w:spacing w:before="0" w:after="120" w:lineRule="auto" w:line="276"/>
        <w:jc w:val="left"/>
      </w:pPr>
      <w:r>
        <w:rPr>
          <w:rFonts w:ascii="Calibri" w:hAnsi="Calibri" w:eastAsia="Calibri"/>
          <w:b/>
          <w:i w:val="0"/>
          <w:color w:val="000000"/>
          <w:sz w:val="22"/>
        </w:rPr>
        <w:t>Date:</w:t>
      </w:r>
      <w:r>
        <w:rPr>
          <w:rFonts w:ascii="Calibri" w:hAnsi="Calibri" w:eastAsia="Calibri"/>
          <w:b w:val="0"/>
          <w:i w:val="0"/>
          <w:color w:val="000000"/>
          <w:sz w:val="22"/>
        </w:rPr>
        <w:t xml:space="preserve"> 2026-04-09</w:t>
        <w:br/>
      </w:r>
      <w:r>
        <w:rPr>
          <w:rFonts w:ascii="Calibri" w:hAnsi="Calibri" w:eastAsia="Calibri"/>
          <w:b w:val="0"/>
          <w:i w:val="0"/>
          <w:color w:val="000000"/>
          <w:sz w:val="22"/>
        </w:rPr>
      </w:r>
      <w:r>
        <w:rPr>
          <w:rFonts w:ascii="Calibri" w:hAnsi="Calibri" w:eastAsia="Calibri"/>
          <w:b/>
          <w:i w:val="0"/>
          <w:color w:val="000000"/>
          <w:sz w:val="22"/>
        </w:rPr>
        <w:t>Author:</w:t>
      </w:r>
      <w:r>
        <w:rPr>
          <w:rFonts w:ascii="Calibri" w:hAnsi="Calibri" w:eastAsia="Calibri"/>
          <w:b w:val="0"/>
          <w:i w:val="0"/>
          <w:color w:val="000000"/>
          <w:sz w:val="22"/>
        </w:rPr>
        <w:t xml:space="preserve"> David Kaleko</w:t>
        <w:br/>
      </w:r>
      <w:r>
        <w:rPr>
          <w:rFonts w:ascii="Calibri" w:hAnsi="Calibri" w:eastAsia="Calibri"/>
          <w:b w:val="0"/>
          <w:i w:val="0"/>
          <w:color w:val="000000"/>
          <w:sz w:val="22"/>
        </w:rPr>
      </w:r>
      <w:r>
        <w:rPr>
          <w:rFonts w:ascii="Calibri" w:hAnsi="Calibri" w:eastAsia="Calibri"/>
          <w:b/>
          <w:i w:val="0"/>
          <w:color w:val="000000"/>
          <w:sz w:val="22"/>
        </w:rPr>
        <w:t>Target:</w:t>
      </w:r>
      <w:r>
        <w:rPr>
          <w:rFonts w:ascii="Calibri" w:hAnsi="Calibri" w:eastAsia="Calibri"/>
          <w:b w:val="0"/>
          <w:i w:val="0"/>
          <w:color w:val="000000"/>
          <w:sz w:val="22"/>
        </w:rPr>
        <w:t xml:space="preserve"> Production-launchable MLP for NY Summit (June 2026)</w:t>
      </w:r>
      <w:r>
        <w:rPr>
          <w:rFonts w:ascii="Calibri" w:hAnsi="Calibri" w:eastAsia="Calibri"/>
          <w:b w:val="0"/>
          <w:i w:val="0"/>
          <w:color w:val="000000"/>
          <w:sz w:val="22"/>
        </w:rPr>
      </w:r>
    </w:p>
    <w:p>
      <w:pPr>
        <w:pBdr>
          <w:bottom w:val="single" w:sz="6" w:space="1" w:color="auto"/>
        </w:pBdr>
        <w:spacing w:before="0" w:after="120" w:lineRule="auto" w:line="276"/>
        <w:jc w:val="left"/>
      </w:pPr>
      <w:r>
        <w:rPr>
          <w:rFonts w:ascii="Calibri" w:hAnsi="Calibri" w:eastAsia="Calibri"/>
          <w:b w:val="0"/>
          <w:i w:val="0"/>
          <w:color w:val="000000"/>
          <w:sz w:val="22"/>
        </w:rPr>
      </w:r>
    </w:p>
    <w:p>
      <w:pPr>
        <w:pStyle w:val="Heading2"/>
        <w:spacing w:before="360" w:after="160" w:lineRule="auto" w:line="240"/>
        <w:jc w:val="left"/>
      </w:pPr>
      <w:r>
        <w:rPr>
          <w:rFonts w:ascii="Calibri" w:hAnsi="Calibri" w:eastAsia="Calibri"/>
          <w:b/>
          <w:i w:val="0"/>
          <w:color w:val="2E74B5"/>
          <w:sz w:val="36"/>
        </w:rPr>
        <w:t>Overview</w:t>
      </w:r>
      <w:r>
        <w:rPr>
          <w:rFonts w:ascii="Calibri" w:hAnsi="Calibri" w:eastAsia="Calibri"/>
          <w:b/>
          <w:i w:val="0"/>
          <w:color w:val="2E74B5"/>
          <w:sz w:val="36"/>
        </w:rPr>
      </w:r>
    </w:p>
    <w:p>
      <w:pPr>
        <w:spacing w:before="0" w:after="120" w:lineRule="auto" w:line="276"/>
        <w:jc w:val="left"/>
      </w:pPr>
      <w:r>
        <w:rPr>
          <w:rFonts w:ascii="Calibri" w:hAnsi="Calibri" w:eastAsia="Calibri"/>
          <w:b w:val="0"/>
          <w:i w:val="0"/>
          <w:color w:val="000000"/>
          <w:sz w:val="22"/>
        </w:rPr>
        <w:t>IDPAutoTune is a paid subscription service that automatically optimizes IDP Accelerator extraction configurations for cost and accuracy on ground truth customer datasets. It runs as a fully autonomous background service inside the customer's AWS account without any customer or consultant involvement. Customers subscribe through a subscription mechanism (AWS Marketplace or alternative — under investigation) and get continuous, hands-off optimization that improves over time as the system learns from human review corrections.</w:t>
      </w:r>
      <w:r>
        <w:rPr>
          <w:rFonts w:ascii="Calibri" w:hAnsi="Calibri" w:eastAsia="Calibri"/>
          <w:b w:val="0"/>
          <w:i w:val="0"/>
          <w:color w:val="000000"/>
          <w:sz w:val="22"/>
        </w:rPr>
      </w:r>
    </w:p>
    <w:p>
      <w:pPr>
        <w:spacing w:before="0" w:after="120" w:lineRule="auto" w:line="276"/>
        <w:jc w:val="left"/>
      </w:pPr>
      <w:r>
        <w:rPr>
          <w:rFonts w:ascii="Calibri" w:hAnsi="Calibri" w:eastAsia="Calibri"/>
          <w:b w:val="0"/>
          <w:i w:val="0"/>
          <w:color w:val="000000"/>
          <w:sz w:val="22"/>
        </w:rPr>
        <w:t>The open-source IDP Accelerator gets customers to production. IDPAutoTune keeps them competitive once they're there — finding better prompts, selecting cheaper models, tuning thresholds, and surfacing Pareto-optimal configurations that balance cost against accuracy. It is the first in a planned suite of post-production premium services.</w:t>
      </w:r>
      <w:r>
        <w:rPr>
          <w:rFonts w:ascii="Calibri" w:hAnsi="Calibri" w:eastAsia="Calibri"/>
          <w:b w:val="0"/>
          <w:i w:val="0"/>
          <w:color w:val="000000"/>
          <w:sz w:val="22"/>
        </w:rPr>
      </w:r>
    </w:p>
    <w:p>
      <w:pPr>
        <w:pBdr>
          <w:bottom w:val="single" w:sz="6" w:space="1" w:color="auto"/>
        </w:pBdr>
        <w:spacing w:before="0" w:after="120" w:lineRule="auto" w:line="276"/>
        <w:jc w:val="left"/>
      </w:pPr>
      <w:r>
        <w:rPr>
          <w:rFonts w:ascii="Calibri" w:hAnsi="Calibri" w:eastAsia="Calibri"/>
          <w:b w:val="0"/>
          <w:i w:val="0"/>
          <w:color w:val="000000"/>
          <w:sz w:val="22"/>
        </w:rPr>
      </w:r>
    </w:p>
    <w:p>
      <w:pPr>
        <w:pStyle w:val="Heading2"/>
        <w:spacing w:before="360" w:after="160" w:lineRule="auto" w:line="240"/>
        <w:jc w:val="left"/>
      </w:pPr>
      <w:r>
        <w:rPr>
          <w:rFonts w:ascii="Calibri" w:hAnsi="Calibri" w:eastAsia="Calibri"/>
          <w:b/>
          <w:i w:val="0"/>
          <w:color w:val="2E74B5"/>
          <w:sz w:val="36"/>
        </w:rPr>
        <w:t>Key Features</w:t>
      </w:r>
      <w:r>
        <w:rPr>
          <w:rFonts w:ascii="Calibri" w:hAnsi="Calibri" w:eastAsia="Calibri"/>
          <w:b/>
          <w:i w:val="0"/>
          <w:color w:val="2E74B5"/>
          <w:sz w:val="36"/>
        </w:rPr>
      </w:r>
    </w:p>
    <w:p>
      <w:pPr>
        <w:pStyle w:val="Heading3"/>
        <w:spacing w:before="240" w:after="120" w:lineRule="auto" w:line="240"/>
        <w:jc w:val="left"/>
      </w:pPr>
      <w:r>
        <w:rPr>
          <w:rFonts w:ascii="Calibri" w:hAnsi="Calibri" w:eastAsia="Calibri"/>
          <w:b/>
          <w:i w:val="0"/>
          <w:color w:val="2E74B5"/>
          <w:sz w:val="28"/>
        </w:rPr>
        <w:t>Fully Autonomous Optimization</w:t>
      </w:r>
      <w:r>
        <w:rPr>
          <w:rFonts w:ascii="Calibri" w:hAnsi="Calibri" w:eastAsia="Calibri"/>
          <w:b/>
          <w:i w:val="0"/>
          <w:color w:val="2E74B5"/>
          <w:sz w:val="28"/>
        </w:rPr>
      </w:r>
    </w:p>
    <w:p>
      <w:pPr>
        <w:spacing w:before="0" w:after="120" w:lineRule="auto" w:line="276"/>
        <w:jc w:val="left"/>
      </w:pPr>
      <w:r>
        <w:rPr>
          <w:rFonts w:ascii="Calibri" w:hAnsi="Calibri" w:eastAsia="Calibri"/>
          <w:b w:val="0"/>
          <w:i w:val="0"/>
          <w:color w:val="000000"/>
          <w:sz w:val="22"/>
        </w:rPr>
        <w:t>AutoTune operates as a standalone background service with no human-in-the-loop during optimization but provides full transparency and observability for reproducibility and debugging purposes. It analyzes extraction results, identifies optimization levers (prompts, few-shot examples, model selection, confidence thresholds), and generates improved configurations automatically. The customer's only interaction is reviewing and approving recommended configuration changes.</w:t>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Ground Truth from Any Source</w:t>
      </w:r>
      <w:r>
        <w:rPr>
          <w:rFonts w:ascii="Calibri" w:hAnsi="Calibri" w:eastAsia="Calibri"/>
          <w:b/>
          <w:i w:val="0"/>
          <w:color w:val="2E74B5"/>
          <w:sz w:val="28"/>
        </w:rPr>
      </w:r>
    </w:p>
    <w:p>
      <w:pPr>
        <w:spacing w:before="0" w:after="120" w:lineRule="auto" w:line="276"/>
        <w:jc w:val="left"/>
      </w:pPr>
      <w:r>
        <w:rPr>
          <w:rFonts w:ascii="Calibri" w:hAnsi="Calibri" w:eastAsia="Calibri"/>
          <w:b w:val="0"/>
          <w:i w:val="0"/>
          <w:color w:val="000000"/>
          <w:sz w:val="22"/>
        </w:rPr>
        <w:t>AutoTune requires a test set with ground truth — documents with known-correct extraction results. Ground truth can come from any source: human-in-the-loop corrections via the IDP visual editor, third-party labeling services, manual curation, or any other process — as long as the data is imported into Test Studio in the expected format (zip upload or S3 import). HITL reviews are a convenient built-in path, but not the only one.</w:t>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Scheduled Execution Tied to Data Availability</w:t>
      </w:r>
      <w:r>
        <w:rPr>
          <w:rFonts w:ascii="Calibri" w:hAnsi="Calibri" w:eastAsia="Calibri"/>
          <w:b/>
          <w:i w:val="0"/>
          <w:color w:val="2E74B5"/>
          <w:sz w:val="28"/>
        </w:rPr>
      </w:r>
    </w:p>
    <w:p>
      <w:pPr>
        <w:spacing w:before="0" w:after="120" w:lineRule="auto" w:line="276"/>
        <w:jc w:val="left"/>
      </w:pPr>
      <w:r>
        <w:rPr>
          <w:rFonts w:ascii="Calibri" w:hAnsi="Calibri" w:eastAsia="Calibri"/>
          <w:b w:val="0"/>
          <w:i w:val="0"/>
          <w:color w:val="000000"/>
          <w:sz w:val="22"/>
        </w:rPr>
        <w:t>AutoTune runs on a configurable schedule and is triggered when new ground truth data or updated test sets become available. It doesn't run unnecessarily — optimization is tied to the availability of new evaluation data.</w:t>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Zero Data Egress</w:t>
      </w:r>
      <w:r>
        <w:rPr>
          <w:rFonts w:ascii="Calibri" w:hAnsi="Calibri" w:eastAsia="Calibri"/>
          <w:b/>
          <w:i w:val="0"/>
          <w:color w:val="2E74B5"/>
          <w:sz w:val="28"/>
        </w:rPr>
      </w:r>
    </w:p>
    <w:p>
      <w:pPr>
        <w:spacing w:before="0" w:after="120" w:lineRule="auto" w:line="276"/>
        <w:jc w:val="left"/>
      </w:pPr>
      <w:r>
        <w:rPr>
          <w:rFonts w:ascii="Calibri" w:hAnsi="Calibri" w:eastAsia="Calibri"/>
          <w:b w:val="0"/>
          <w:i w:val="0"/>
          <w:color w:val="000000"/>
          <w:sz w:val="22"/>
        </w:rPr>
        <w:t>The service deploys entirely within the customer's AWS account as a CloudFormation stack alongside their existing IDP deployment. No customer documents, extraction results, or metrics leave the account. The only external call is a license/subscription validation check.</w:t>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Integrated UI Experience</w:t>
      </w:r>
      <w:r>
        <w:rPr>
          <w:rFonts w:ascii="Calibri" w:hAnsi="Calibri" w:eastAsia="Calibri"/>
          <w:b/>
          <w:i w:val="0"/>
          <w:color w:val="2E74B5"/>
          <w:sz w:val="28"/>
        </w:rPr>
      </w:r>
    </w:p>
    <w:p>
      <w:pPr>
        <w:spacing w:before="0" w:after="120" w:lineRule="auto" w:line="276"/>
        <w:jc w:val="left"/>
      </w:pPr>
      <w:r>
        <w:rPr>
          <w:rFonts w:ascii="Calibri" w:hAnsi="Calibri" w:eastAsia="Calibri"/>
          <w:b w:val="0"/>
          <w:i w:val="0"/>
          <w:color w:val="000000"/>
          <w:sz w:val="22"/>
        </w:rPr>
        <w:t>A new "Auto-tune" link in the IDP Accelerator navigation provides a unified experience. The UI checks subscription status — non-subscribers are directed to subscribe. Subscribers see optimization results, recommendations, and approval workflows as a seamless part of the existing IDP interface.</w:t>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Subscription &amp; Distribution</w:t>
      </w:r>
      <w:r>
        <w:rPr>
          <w:rFonts w:ascii="Calibri" w:hAnsi="Calibri" w:eastAsia="Calibri"/>
          <w:b/>
          <w:i w:val="0"/>
          <w:color w:val="2E74B5"/>
          <w:sz w:val="28"/>
        </w:rPr>
      </w:r>
    </w:p>
    <w:p>
      <w:pPr>
        <w:spacing w:before="0" w:after="120" w:lineRule="auto" w:line="276"/>
        <w:jc w:val="left"/>
      </w:pPr>
      <w:r>
        <w:rPr>
          <w:rFonts w:ascii="Calibri" w:hAnsi="Calibri" w:eastAsia="Calibri"/>
          <w:b w:val="0"/>
          <w:i w:val="0"/>
          <w:color w:val="000000"/>
          <w:sz w:val="22"/>
        </w:rPr>
        <w:t>Customers subscribe and deploy through a subscription mechanism (AWS Marketplace or alternative — under investigation). The service is packaged as a CloudFormation stack that integrates with the customer's existing IDP deployment. Updates are delivered through the subscription platform's software update mechanisms.</w:t>
      </w:r>
      <w:r>
        <w:rPr>
          <w:rFonts w:ascii="Calibri" w:hAnsi="Calibri" w:eastAsia="Calibri"/>
          <w:b w:val="0"/>
          <w:i w:val="0"/>
          <w:color w:val="000000"/>
          <w:sz w:val="22"/>
        </w:rPr>
      </w:r>
    </w:p>
    <w:p>
      <w:pPr>
        <w:pBdr>
          <w:bottom w:val="single" w:sz="6" w:space="1" w:color="auto"/>
        </w:pBdr>
        <w:spacing w:before="0" w:after="120" w:lineRule="auto" w:line="276"/>
        <w:jc w:val="left"/>
      </w:pPr>
      <w:r>
        <w:rPr>
          <w:rFonts w:ascii="Calibri" w:hAnsi="Calibri" w:eastAsia="Calibri"/>
          <w:b w:val="0"/>
          <w:i w:val="0"/>
          <w:color w:val="000000"/>
          <w:sz w:val="22"/>
        </w:rPr>
      </w:r>
    </w:p>
    <w:p>
      <w:pPr>
        <w:pStyle w:val="Heading2"/>
        <w:spacing w:before="360" w:after="160" w:lineRule="auto" w:line="240"/>
        <w:jc w:val="left"/>
      </w:pPr>
      <w:r>
        <w:rPr>
          <w:rFonts w:ascii="Calibri" w:hAnsi="Calibri" w:eastAsia="Calibri"/>
          <w:b/>
          <w:i w:val="0"/>
          <w:color w:val="2E74B5"/>
          <w:sz w:val="36"/>
        </w:rPr>
        <w:t>MLP Scope</w:t>
      </w:r>
      <w:r>
        <w:rPr>
          <w:rFonts w:ascii="Calibri" w:hAnsi="Calibri" w:eastAsia="Calibri"/>
          <w:b/>
          <w:i w:val="0"/>
          <w:color w:val="2E74B5"/>
          <w:sz w:val="36"/>
        </w:rPr>
      </w:r>
    </w:p>
    <w:p>
      <w:pPr>
        <w:spacing w:before="0" w:after="120" w:lineRule="auto" w:line="276"/>
        <w:jc w:val="left"/>
      </w:pPr>
      <w:r>
        <w:rPr>
          <w:rFonts w:ascii="Calibri" w:hAnsi="Calibri" w:eastAsia="Calibri"/>
          <w:b w:val="0"/>
          <w:i w:val="0"/>
          <w:color w:val="000000"/>
          <w:sz w:val="22"/>
        </w:rPr>
        <w:t>The target for NY Summit (June 2026) is an integrated, production-launchable Minimum Lovable Product (MLP) — not a demo or prototype.</w:t>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In Scope</w:t>
      </w:r>
      <w:r>
        <w:rPr>
          <w:rFonts w:ascii="Calibri" w:hAnsi="Calibri" w:eastAsia="Calibri"/>
          <w:b/>
          <w:i w:val="0"/>
          <w:color w:val="2E74B5"/>
          <w:sz w:val="28"/>
        </w:rPr>
      </w:r>
      <w:r>
        <w:rPr>
          <w:rFonts w:ascii="Calibri" w:hAnsi="Calibri" w:eastAsia="Calibri"/>
          <w:b/>
          <w:i w:val="0"/>
          <w:color w:val="2E74B5"/>
          <w:sz w:val="28"/>
        </w:rPr>
      </w:r>
    </w:p>
    <w:p>
      <w:pPr>
        <w:pStyle w:val="ListBullet"/>
        <w:spacing w:before="0" w:after="120" w:lineRule="auto" w:line="276"/>
        <w:jc w:val="left"/>
      </w:pPr>
      <w:r>
        <w:rPr>
          <w:rFonts w:ascii="Calibri" w:hAnsi="Calibri" w:eastAsia="Calibri"/>
          <w:b/>
          <w:i w:val="0"/>
          <w:color w:val="000000"/>
          <w:sz w:val="22"/>
        </w:rPr>
        <w:t>Extraction optimization</w:t>
      </w:r>
      <w:r>
        <w:rPr>
          <w:rFonts w:ascii="Calibri" w:hAnsi="Calibri" w:eastAsia="Calibri"/>
          <w:b w:val="0"/>
          <w:i w:val="0"/>
          <w:color w:val="000000"/>
          <w:sz w:val="22"/>
        </w:rPr>
        <w:t xml:space="preserve"> — Prompt tuning, IDP pipeline configuration, model selection, etc. for extraction configurations. Classification, packet splitting, and assessment optimizations are all deferred. Extraction was chosen as the starting point because it has the broadest impact across all use cases — some customers have single-class documents that don't need classification or splitting, but all customers need accurate extraction. Classification and splitting optimization is a likely fast-follow.</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Fully autonomous optimization runs</w:t>
      </w:r>
      <w:r>
        <w:rPr>
          <w:rFonts w:ascii="Calibri" w:hAnsi="Calibri" w:eastAsia="Calibri"/>
          <w:b w:val="0"/>
          <w:i w:val="0"/>
          <w:color w:val="000000"/>
          <w:sz w:val="22"/>
        </w:rPr>
        <w:t xml:space="preserve"> — End-to-end optimization with no human intervention during the run. </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Standalone orchestration on AgentCore</w:t>
      </w:r>
      <w:r>
        <w:rPr>
          <w:rFonts w:ascii="Calibri" w:hAnsi="Calibri" w:eastAsia="Calibri"/>
          <w:b w:val="0"/>
          <w:i w:val="0"/>
          <w:color w:val="000000"/>
          <w:sz w:val="22"/>
        </w:rPr>
        <w:t xml:space="preserve"> — No dependency on Kiro or any customer coding agent. AutoTune runs its own orchestration layer on Agent Core.</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Ground truth from any source</w:t>
      </w:r>
      <w:r>
        <w:rPr>
          <w:rFonts w:ascii="Calibri" w:hAnsi="Calibri" w:eastAsia="Calibri"/>
          <w:b w:val="0"/>
          <w:i w:val="0"/>
          <w:color w:val="000000"/>
          <w:sz w:val="22"/>
        </w:rPr>
        <w:t xml:space="preserve"> — Test sets with ground truth can be created from HITL corrections, third-party labeling services, manual curation, or any other process. Data is imported into Test Studio via zip upload or S3 import. HITL reviews are a convenient built-in path but not required.</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Multi-config output with metrics</w:t>
      </w:r>
      <w:r>
        <w:rPr>
          <w:rFonts w:ascii="Calibri" w:hAnsi="Calibri" w:eastAsia="Calibri"/>
          <w:b w:val="0"/>
          <w:i w:val="0"/>
          <w:color w:val="000000"/>
          <w:sz w:val="22"/>
        </w:rPr>
        <w:t xml:space="preserve"> — Each run produces one or more candidate configurations with per-config metrics (accuracy, cost, latency). A human reviews and chooses which config to promote. AutoTune does not auto-apply changes. Additionally outputs a human-readable summary of the optimization process for increased transparency.</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Scheduled + manual execution</w:t>
      </w:r>
      <w:r>
        <w:rPr>
          <w:rFonts w:ascii="Calibri" w:hAnsi="Calibri" w:eastAsia="Calibri"/>
          <w:b w:val="0"/>
          <w:i w:val="0"/>
          <w:color w:val="000000"/>
          <w:sz w:val="22"/>
        </w:rPr>
        <w:t xml:space="preserve"> — Default optimization runs triggered by new ground truth availability, plus the ability for customers to manually trigger a run on demand.</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Interactive "Launch AutoTune Job" UI</w:t>
      </w:r>
      <w:r>
        <w:rPr>
          <w:rFonts w:ascii="Calibri" w:hAnsi="Calibri" w:eastAsia="Calibri"/>
          <w:b w:val="0"/>
          <w:i w:val="0"/>
          <w:color w:val="000000"/>
          <w:sz w:val="22"/>
        </w:rPr>
        <w:t xml:space="preserve"> — A user-facing action where users select a test set and launch an optimization run on demand. Uses the same backend as scheduled runs. Particularly useful for users just starting out who need to create an initial config from scratch.</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MCP server interface to IDP stack</w:t>
      </w:r>
      <w:r>
        <w:rPr>
          <w:rFonts w:ascii="Calibri" w:hAnsi="Calibri" w:eastAsia="Calibri"/>
          <w:b w:val="0"/>
          <w:i w:val="0"/>
          <w:color w:val="000000"/>
          <w:sz w:val="22"/>
        </w:rPr>
        <w:t xml:space="preserve"> — All interaction with the customer's IDP deployment goes through the IDP MCP server (not IDP CLI).</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CloudFormation deployment</w:t>
      </w:r>
      <w:r>
        <w:rPr>
          <w:rFonts w:ascii="Calibri" w:hAnsi="Calibri" w:eastAsia="Calibri"/>
          <w:b w:val="0"/>
          <w:i w:val="0"/>
          <w:color w:val="000000"/>
          <w:sz w:val="22"/>
        </w:rPr>
        <w:t xml:space="preserve"> — Packaged as a CFN stack deployed in the customer's AWS account. Zero data egress. Subscription and license validation through a subscription mechanism (AWS Marketplace or alternative — under investigation).</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Integrated UI in IDP Accelerator</w:t>
      </w:r>
      <w:r>
        <w:rPr>
          <w:rFonts w:ascii="Calibri" w:hAnsi="Calibri" w:eastAsia="Calibri"/>
          <w:b w:val="0"/>
          <w:i w:val="0"/>
          <w:color w:val="000000"/>
          <w:sz w:val="22"/>
        </w:rPr>
        <w:t xml:space="preserve"> — "Auto-tune" nav link with subscription status check, optimization results display, and config approval workflow embedded in the existing IDP Web UI.</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Optional user guidance</w:t>
      </w:r>
      <w:r>
        <w:rPr>
          <w:rFonts w:ascii="Calibri" w:hAnsi="Calibri" w:eastAsia="Calibri"/>
          <w:b w:val="0"/>
          <w:i w:val="0"/>
          <w:color w:val="000000"/>
          <w:sz w:val="22"/>
        </w:rPr>
        <w:t xml:space="preserve"> — Users can optionally provide free-form text describing known issues or focus areas (e.g., "most errors are on W-2 documents, the system confuses employer name with employee name") before launching a run. Not interactive chat — just initial steering input.</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Cost transparency</w:t>
      </w:r>
      <w:r>
        <w:rPr>
          <w:rFonts w:ascii="Calibri" w:hAnsi="Calibri" w:eastAsia="Calibri"/>
          <w:b w:val="0"/>
          <w:i w:val="0"/>
          <w:color w:val="000000"/>
          <w:sz w:val="22"/>
        </w:rPr>
        <w:t xml:space="preserve"> — Surface estimated min/max cost before a run starts. Track and report actual costs (inference + orchestration) after completion. Leverage existing pricing config and Athena metering tables.</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Explainability</w:t>
      </w:r>
      <w:r>
        <w:rPr>
          <w:rFonts w:ascii="Calibri" w:hAnsi="Calibri" w:eastAsia="Calibri"/>
          <w:b w:val="0"/>
          <w:i w:val="0"/>
          <w:color w:val="000000"/>
          <w:sz w:val="22"/>
        </w:rPr>
        <w:t xml:space="preserve"> — Each run produces a human-readable summary of what was tried, what worked, what didn't, and why the recommended config was chosen. The optimization agent logs all decisions; these are summarized and surfaced to the customer.</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Config versioning and rollback</w:t>
      </w:r>
      <w:r>
        <w:rPr>
          <w:rFonts w:ascii="Calibri" w:hAnsi="Calibri" w:eastAsia="Calibri"/>
          <w:b w:val="0"/>
          <w:i w:val="0"/>
          <w:color w:val="000000"/>
          <w:sz w:val="22"/>
        </w:rPr>
        <w:t xml:space="preserve"> — New configs are always created as new versions (never overwrite existing). Rollback to any previous version is trivial. Leverages the existing IDP config versioning feature.</w:t>
      </w:r>
      <w:r>
        <w:rPr>
          <w:rFonts w:ascii="Calibri" w:hAnsi="Calibri" w:eastAsia="Calibri"/>
          <w:b w:val="0"/>
          <w:i w:val="0"/>
          <w:color w:val="000000"/>
          <w:sz w:val="22"/>
        </w:rPr>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Out of Scope</w:t>
      </w:r>
      <w:r>
        <w:rPr>
          <w:rFonts w:ascii="Calibri" w:hAnsi="Calibri" w:eastAsia="Calibri"/>
          <w:b/>
          <w:i w:val="0"/>
          <w:color w:val="2E74B5"/>
          <w:sz w:val="28"/>
        </w:rPr>
      </w:r>
    </w:p>
    <w:p>
      <w:pPr>
        <w:spacing w:before="0" w:after="120" w:lineRule="auto" w:line="276"/>
        <w:jc w:val="left"/>
      </w:pPr>
      <w:r>
        <w:rPr>
          <w:rFonts w:ascii="Calibri" w:hAnsi="Calibri" w:eastAsia="Calibri"/>
          <w:b w:val="0"/>
          <w:i w:val="0"/>
          <w:color w:val="000000"/>
          <w:sz w:val="22"/>
        </w:rPr>
        <w:t>The following are explicitly out of scope for this initial version:</w:t>
      </w:r>
      <w:r>
        <w:rPr>
          <w:rFonts w:ascii="Calibri" w:hAnsi="Calibri" w:eastAsia="Calibri"/>
          <w:b w:val="0"/>
          <w:i w:val="0"/>
          <w:color w:val="000000"/>
          <w:sz w:val="22"/>
        </w:rPr>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Optimization of anything other than accuracy and cost of extraction (e.g. classification, packet splitting, assessment including confidence thresholds or HITL trigger logic)</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Interactive agent concierge or chat-based optimization (AutoTune is fully asynchronous and autonomous — no interactive sessions)</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Running on datasets without ground truth (optimization without ground truth may be explored post-MLP)</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Cross-customer skills creation/self-improving content pipeline (collecting and distributing optimization patterns for generalized self improvement)</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Any other post-production services (IDPModelStore, IDPMonitor, IDPCompliance, IDPReview, IDPCustomDomainAgents, IDPSupport)</w:t>
      </w:r>
      <w:r>
        <w:rPr>
          <w:rFonts w:ascii="Calibri" w:hAnsi="Calibri" w:eastAsia="Calibri"/>
          <w:b w:val="0"/>
          <w:i w:val="0"/>
          <w:color w:val="000000"/>
          <w:sz w:val="22"/>
        </w:rPr>
      </w:r>
      <w:r>
        <w:rPr>
          <w:rFonts w:ascii="Calibri" w:hAnsi="Calibri" w:eastAsia="Calibri"/>
          <w:b w:val="0"/>
          <w:i w:val="0"/>
          <w:color w:val="000000"/>
          <w:sz w:val="22"/>
        </w:rPr>
      </w:r>
    </w:p>
    <w:p>
      <w:pPr>
        <w:spacing w:before="0" w:after="120" w:lineRule="auto" w:line="276"/>
        <w:jc w:val="left"/>
      </w:pPr>
      <w:r>
        <w:rPr>
          <w:rFonts w:ascii="Calibri" w:hAnsi="Calibri" w:eastAsia="Calibri"/>
          <w:b w:val="0"/>
          <w:i w:val="0"/>
          <w:color w:val="000000"/>
          <w:sz w:val="22"/>
        </w:rPr>
        <w:t>These items remain in the future roadmap and the architecture should not preclude them. Note that optimization of classification and packet splitting is a likely fast-follow opportunity.</w:t>
      </w:r>
      <w:r>
        <w:rPr>
          <w:rFonts w:ascii="Calibri" w:hAnsi="Calibri" w:eastAsia="Calibri"/>
          <w:b w:val="0"/>
          <w:i w:val="0"/>
          <w:color w:val="000000"/>
          <w:sz w:val="22"/>
        </w:rPr>
      </w:r>
    </w:p>
    <w:p>
      <w:pPr>
        <w:pBdr>
          <w:bottom w:val="single" w:sz="6" w:space="1" w:color="auto"/>
        </w:pBdr>
        <w:spacing w:before="0" w:after="120" w:lineRule="auto" w:line="276"/>
        <w:jc w:val="left"/>
      </w:pPr>
      <w:r>
        <w:rPr>
          <w:rFonts w:ascii="Calibri" w:hAnsi="Calibri" w:eastAsia="Calibri"/>
          <w:b w:val="0"/>
          <w:i w:val="0"/>
          <w:color w:val="000000"/>
          <w:sz w:val="22"/>
        </w:rPr>
      </w:r>
    </w:p>
    <w:p>
      <w:pPr>
        <w:pStyle w:val="Heading2"/>
        <w:spacing w:before="360" w:after="160" w:lineRule="auto" w:line="240"/>
        <w:jc w:val="left"/>
      </w:pPr>
      <w:r>
        <w:rPr>
          <w:rFonts w:ascii="Calibri" w:hAnsi="Calibri" w:eastAsia="Calibri"/>
          <w:b/>
          <w:i w:val="0"/>
          <w:color w:val="2E74B5"/>
          <w:sz w:val="36"/>
        </w:rPr>
        <w:t>Technical Architecture</w:t>
      </w:r>
      <w:r>
        <w:rPr>
          <w:rFonts w:ascii="Calibri" w:hAnsi="Calibri" w:eastAsia="Calibri"/>
          <w:b/>
          <w:i w:val="0"/>
          <w:color w:val="2E74B5"/>
          <w:sz w:val="36"/>
        </w:rPr>
      </w:r>
    </w:p>
    <w:p>
      <w:pPr>
        <w:pStyle w:val="Heading3"/>
        <w:spacing w:before="240" w:after="120" w:lineRule="auto" w:line="240"/>
        <w:jc w:val="left"/>
      </w:pPr>
      <w:r>
        <w:rPr>
          <w:rFonts w:ascii="Calibri" w:hAnsi="Calibri" w:eastAsia="Calibri"/>
          <w:b/>
          <w:i w:val="0"/>
          <w:color w:val="2E74B5"/>
          <w:sz w:val="28"/>
        </w:rPr>
        <w:t>Input / Output</w:t>
      </w:r>
      <w:r>
        <w:rPr>
          <w:rFonts w:ascii="Calibri" w:hAnsi="Calibri" w:eastAsia="Calibri"/>
          <w:b/>
          <w:i w:val="0"/>
          <w:color w:val="2E74B5"/>
          <w:sz w:val="28"/>
        </w:rPr>
      </w:r>
    </w:p>
    <w:p>
      <w:pPr>
        <w:spacing w:before="0" w:after="120" w:lineRule="auto" w:line="276"/>
        <w:jc w:val="left"/>
      </w:pPr>
      <w:r>
        <w:rPr>
          <w:rFonts w:ascii="Calibri" w:hAnsi="Calibri" w:eastAsia="Calibri"/>
          <w:b/>
          <w:i w:val="0"/>
          <w:color w:val="000000"/>
          <w:sz w:val="22"/>
        </w:rPr>
        <w:t>Input:</w:t>
      </w:r>
      <w:r>
        <w:rPr>
          <w:rFonts w:ascii="Calibri" w:hAnsi="Calibri" w:eastAsia="Calibri"/>
          <w:b w:val="0"/>
          <w:i w:val="0"/>
          <w:color w:val="000000"/>
          <w:sz w:val="22"/>
        </w:rPr>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A dataset with ground truth — i.e., documents with known-correct extraction results. Ground truth can come from any source: HITL corrections, third-party labeling, manual curation, etc. — as long as it is imported into Test Studio in the expected format.</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Optionally, free form text from the customer, e.g. "I'm seeing these specific kinds of issues, focus on fixing those"</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Optionally, a starting configuration (prompts, model selection, few-shot examples, thresholds). If not provided, AutoTune begins from the current active config or creates a fresh one via Discovery.</w:t>
      </w:r>
      <w:r>
        <w:rPr>
          <w:rFonts w:ascii="Calibri" w:hAnsi="Calibri" w:eastAsia="Calibri"/>
          <w:b w:val="0"/>
          <w:i w:val="0"/>
          <w:color w:val="000000"/>
          <w:sz w:val="22"/>
        </w:rPr>
      </w:r>
      <w:r>
        <w:rPr>
          <w:rFonts w:ascii="Calibri" w:hAnsi="Calibri" w:eastAsia="Calibri"/>
          <w:b w:val="0"/>
          <w:i w:val="0"/>
          <w:color w:val="000000"/>
          <w:sz w:val="22"/>
        </w:rPr>
      </w:r>
    </w:p>
    <w:p>
      <w:pPr>
        <w:spacing w:before="0" w:after="120" w:lineRule="auto" w:line="276"/>
        <w:jc w:val="left"/>
      </w:pPr>
      <w:r>
        <w:rPr>
          <w:rFonts w:ascii="Calibri" w:hAnsi="Calibri" w:eastAsia="Calibri"/>
          <w:b/>
          <w:i w:val="0"/>
          <w:color w:val="000000"/>
          <w:sz w:val="22"/>
        </w:rPr>
        <w:t>Output:</w:t>
      </w:r>
      <w:r>
        <w:rPr>
          <w:rFonts w:ascii="Calibri" w:hAnsi="Calibri" w:eastAsia="Calibri"/>
          <w:b w:val="0"/>
          <w:i w:val="0"/>
          <w:color w:val="000000"/>
          <w:sz w:val="22"/>
        </w:rPr>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One or more candidate configurations, each with associated metrics (accuracy, cost, latency, etc.), presented for human review and approval. The customer chooses which configuration to promote — AutoTune does not auto-apply changes.</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Human readable summary of the optimization process for transparency purposes.</w:t>
      </w:r>
      <w:r>
        <w:rPr>
          <w:rFonts w:ascii="Calibri" w:hAnsi="Calibri" w:eastAsia="Calibri"/>
          <w:b w:val="0"/>
          <w:i w:val="0"/>
          <w:color w:val="000000"/>
          <w:sz w:val="22"/>
        </w:rPr>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Loosely Coupled Standalone Service on AgentCore</w:t>
      </w:r>
      <w:r>
        <w:rPr>
          <w:rFonts w:ascii="Calibri" w:hAnsi="Calibri" w:eastAsia="Calibri"/>
          <w:b/>
          <w:i w:val="0"/>
          <w:color w:val="2E74B5"/>
          <w:sz w:val="28"/>
        </w:rPr>
      </w:r>
    </w:p>
    <w:p>
      <w:pPr>
        <w:spacing w:before="0" w:after="120" w:lineRule="auto" w:line="276"/>
        <w:jc w:val="left"/>
      </w:pPr>
      <w:r>
        <w:rPr>
          <w:rFonts w:ascii="Calibri" w:hAnsi="Calibri" w:eastAsia="Calibri"/>
          <w:b w:val="0"/>
          <w:i w:val="0"/>
          <w:color w:val="000000"/>
          <w:sz w:val="22"/>
        </w:rPr>
        <w:t>The AutoTune backend is built on AgentCore with its own orchestration layer. It interfaces with the customer's IDP stack exclusively through the IDP MCP server. The AutoTune frontend is more tightly coupled with IDP (e.g. displaying statuses and results in the IDP UI) with exact integration strategy TBD.</w:t>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Deployment Model</w:t>
      </w:r>
      <w:r>
        <w:rPr>
          <w:rFonts w:ascii="Calibri" w:hAnsi="Calibri" w:eastAsia="Calibri"/>
          <w:b/>
          <w:i w:val="0"/>
          <w:color w:val="2E74B5"/>
          <w:sz w:val="28"/>
        </w:rPr>
      </w:r>
      <w:r>
        <w:rPr>
          <w:rFonts w:ascii="Calibri" w:hAnsi="Calibri" w:eastAsia="Calibri"/>
          <w:b/>
          <w:i w:val="0"/>
          <w:color w:val="2E74B5"/>
          <w:sz w:val="28"/>
        </w:rPr>
      </w:r>
    </w:p>
    <w:p>
      <w:pPr>
        <w:pStyle w:val="ListBullet"/>
        <w:spacing w:before="0" w:after="120" w:lineRule="auto" w:line="276"/>
        <w:jc w:val="left"/>
      </w:pPr>
      <w:r>
        <w:rPr>
          <w:rFonts w:ascii="Calibri" w:hAnsi="Calibri" w:eastAsia="Calibri"/>
          <w:b w:val="0"/>
          <w:i w:val="0"/>
          <w:color w:val="000000"/>
          <w:sz w:val="22"/>
        </w:rPr>
        <w:t>Initially developed using CDK for rapid prototyping</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Converted to CloudFormation for Marketplace-compatible distribution (via CDK synthesis or CodeBuild-wrapped CDK deployment — approach TBD)</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Deployed in the same AWS account as the customer's IDP stack after customer pays for license.</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Scoped IAM permissions to access the IDP MCP server</w:t>
      </w:r>
      <w:r>
        <w:rPr>
          <w:rFonts w:ascii="Calibri" w:hAnsi="Calibri" w:eastAsia="Calibri"/>
          <w:b w:val="0"/>
          <w:i w:val="0"/>
          <w:color w:val="000000"/>
          <w:sz w:val="22"/>
        </w:rPr>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Development Workflow</w:t>
      </w:r>
      <w:r>
        <w:rPr>
          <w:rFonts w:ascii="Calibri" w:hAnsi="Calibri" w:eastAsia="Calibri"/>
          <w:b/>
          <w:i w:val="0"/>
          <w:color w:val="2E74B5"/>
          <w:sz w:val="28"/>
        </w:rPr>
      </w:r>
    </w:p>
    <w:p>
      <w:pPr>
        <w:spacing w:before="0" w:after="120" w:lineRule="auto" w:line="276"/>
        <w:jc w:val="left"/>
      </w:pPr>
      <w:r>
        <w:rPr>
          <w:rFonts w:ascii="Calibri" w:hAnsi="Calibri" w:eastAsia="Calibri"/>
          <w:b w:val="0"/>
          <w:i w:val="0"/>
          <w:color w:val="000000"/>
          <w:sz w:val="22"/>
        </w:rPr>
        <w:t>Subscription features are developed on separate branches in the existing GitLab repository. No subscription code merges to the public GitHub repository.</w:t>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Relationship to IDPAC</w:t>
      </w:r>
      <w:r>
        <w:rPr>
          <w:rFonts w:ascii="Calibri" w:hAnsi="Calibri" w:eastAsia="Calibri"/>
          <w:b/>
          <w:i w:val="0"/>
          <w:color w:val="2E74B5"/>
          <w:sz w:val="28"/>
        </w:rPr>
      </w:r>
    </w:p>
    <w:p>
      <w:pPr>
        <w:spacing w:before="0" w:after="120" w:lineRule="auto" w:line="276"/>
        <w:jc w:val="left"/>
      </w:pPr>
      <w:r>
        <w:rPr>
          <w:rFonts w:ascii="Calibri" w:hAnsi="Calibri" w:eastAsia="Calibri"/>
          <w:b w:val="0"/>
          <w:i w:val="0"/>
          <w:color w:val="000000"/>
          <w:sz w:val="22"/>
        </w:rPr>
        <w:t>IDPAC (IDP Auto-Configurator) is a local, interactive chat agent designed for use by delivery consultants who want to optimize an IDP deployment with hands-on control over the optimization process. IDPAC already exists and runs in tools like Kiro or Claude Code.</w:t>
      </w:r>
      <w:r>
        <w:rPr>
          <w:rFonts w:ascii="Calibri" w:hAnsi="Calibri" w:eastAsia="Calibri"/>
          <w:b w:val="0"/>
          <w:i w:val="0"/>
          <w:color w:val="000000"/>
          <w:sz w:val="22"/>
        </w:rPr>
      </w:r>
    </w:p>
    <w:p>
      <w:pPr>
        <w:spacing w:before="0" w:after="120" w:lineRule="auto" w:line="276"/>
        <w:jc w:val="left"/>
      </w:pPr>
      <w:r>
        <w:rPr>
          <w:rFonts w:ascii="Calibri" w:hAnsi="Calibri" w:eastAsia="Calibri"/>
          <w:b w:val="0"/>
          <w:i w:val="0"/>
          <w:color w:val="000000"/>
          <w:sz w:val="22"/>
        </w:rPr>
        <w:t>IDPAutoTune is an async, cloud-deployed agent designed for non-technical IDP customers. It runs autonomously in the background with no interactive sessions. There is significant overlap in the underlying optimization logic, but the two serve different users and UX models:</w:t>
      </w:r>
      <w:r>
        <w:rPr>
          <w:rFonts w:ascii="Calibri" w:hAnsi="Calibri" w:eastAsia="Calibri"/>
          <w:b w:val="0"/>
          <w:i w:val="0"/>
          <w:color w:val="000000"/>
          <w:sz w:val="22"/>
        </w:rPr>
      </w:r>
    </w:p>
    <w:tbl>
      <w:tblPr>
        <w:tblW w:type="auto" w:w="0"/>
        <w:tblLayout w:type="fixed"/>
        <w:tblLook w:firstColumn="1" w:firstRow="1" w:lastColumn="0" w:lastRow="0" w:noHBand="0" w:noVBand="1" w:val="04A0"/>
        <w:tblW w:w="5000" w:type="pct"/>
      </w:tblPr>
      <w:tblGrid>
        <w:gridCol w:w="2880"/>
        <w:gridCol w:w="2880"/>
        <w:gridCol w:w="2880"/>
      </w:tblGrid>
      <w:tr>
        <w:tc>
          <w:tcPr>
            <w:tcW w:type="dxa" w:w="2880"/>
            <w:shd w:val="clear" w:color="auto" w:fill="D9E2F3"/>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p>
        </w:tc>
        <w:tc>
          <w:tcPr>
            <w:tcW w:type="dxa" w:w="2880"/>
            <w:shd w:val="clear" w:color="auto" w:fill="D9E2F3"/>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i w:val="0"/>
                <w:color w:val="000000"/>
                <w:sz w:val="22"/>
              </w:rPr>
              <w:t>IDPAC</w:t>
            </w:r>
          </w:p>
        </w:tc>
        <w:tc>
          <w:tcPr>
            <w:tcW w:type="dxa" w:w="2880"/>
            <w:shd w:val="clear" w:color="auto" w:fill="D9E2F3"/>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i w:val="0"/>
                <w:color w:val="000000"/>
                <w:sz w:val="22"/>
              </w:rPr>
              <w:t>IDPAutoTune</w:t>
            </w:r>
          </w:p>
        </w:tc>
      </w:tr>
      <w:tr>
        <w:tc>
          <w:tcPr>
            <w:tcW w:type="dxa" w:w="2880"/>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User</w:t>
            </w:r>
          </w:p>
        </w:tc>
        <w:tc>
          <w:tcPr>
            <w:tcW w:type="dxa" w:w="2880"/>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Delivery consultants</w:t>
            </w:r>
          </w:p>
        </w:tc>
        <w:tc>
          <w:tcPr>
            <w:tcW w:type="dxa" w:w="2880"/>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Non-technical end customers</w:t>
            </w:r>
          </w:p>
        </w:tc>
      </w:tr>
      <w:tr>
        <w:tc>
          <w:tcPr>
            <w:tcW w:type="dxa" w:w="2880"/>
            <w:shd w:val="clear" w:color="auto" w:fill="F2F2F2"/>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Interface</w:t>
            </w:r>
          </w:p>
        </w:tc>
        <w:tc>
          <w:tcPr>
            <w:tcW w:type="dxa" w:w="2880"/>
            <w:shd w:val="clear" w:color="auto" w:fill="F2F2F2"/>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Interactive chat (Kiro, Claude Code, etc.)</w:t>
            </w:r>
          </w:p>
        </w:tc>
        <w:tc>
          <w:tcPr>
            <w:tcW w:type="dxa" w:w="2880"/>
            <w:shd w:val="clear" w:color="auto" w:fill="F2F2F2"/>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Async background service + approval UI</w:t>
            </w:r>
          </w:p>
        </w:tc>
      </w:tr>
      <w:tr>
        <w:tc>
          <w:tcPr>
            <w:tcW w:type="dxa" w:w="2880"/>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Deployment</w:t>
            </w:r>
          </w:p>
        </w:tc>
        <w:tc>
          <w:tcPr>
            <w:tcW w:type="dxa" w:w="2880"/>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Local</w:t>
            </w:r>
          </w:p>
        </w:tc>
        <w:tc>
          <w:tcPr>
            <w:tcW w:type="dxa" w:w="2880"/>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Cloud (customer's AWS account)</w:t>
            </w:r>
          </w:p>
        </w:tc>
      </w:tr>
      <w:tr>
        <w:tc>
          <w:tcPr>
            <w:tcW w:type="dxa" w:w="2880"/>
            <w:shd w:val="clear" w:color="auto" w:fill="F2F2F2"/>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Control</w:t>
            </w:r>
          </w:p>
        </w:tc>
        <w:tc>
          <w:tcPr>
            <w:tcW w:type="dxa" w:w="2880"/>
            <w:shd w:val="clear" w:color="auto" w:fill="F2F2F2"/>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High — consultant steers optimization</w:t>
            </w:r>
          </w:p>
        </w:tc>
        <w:tc>
          <w:tcPr>
            <w:tcW w:type="dxa" w:w="2880"/>
            <w:shd w:val="clear" w:color="auto" w:fill="F2F2F2"/>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Low — optional initial guidance, then autonomous</w:t>
            </w:r>
          </w:p>
        </w:tc>
      </w:tr>
    </w:tbl>
    <w:p>
      <w:pPr>
        <w:spacing w:before="0" w:after="120" w:lineRule="auto" w:line="276"/>
        <w:jc w:val="left"/>
      </w:pPr>
      <w:r>
        <w:rPr>
          <w:rFonts w:ascii="Calibri" w:hAnsi="Calibri" w:eastAsia="Calibri"/>
          <w:b w:val="0"/>
          <w:i w:val="0"/>
          <w:color w:val="000000"/>
          <w:sz w:val="22"/>
        </w:rPr>
      </w:r>
    </w:p>
    <w:p>
      <w:pPr>
        <w:pBdr>
          <w:bottom w:val="single" w:sz="6" w:space="1" w:color="auto"/>
        </w:pBdr>
        <w:spacing w:before="0" w:after="120" w:lineRule="auto" w:line="276"/>
        <w:jc w:val="left"/>
      </w:pPr>
      <w:r>
        <w:rPr>
          <w:rFonts w:ascii="Calibri" w:hAnsi="Calibri" w:eastAsia="Calibri"/>
          <w:b w:val="0"/>
          <w:i w:val="0"/>
          <w:color w:val="000000"/>
          <w:sz w:val="22"/>
        </w:rPr>
      </w:r>
    </w:p>
    <w:p>
      <w:pPr>
        <w:pStyle w:val="Heading2"/>
        <w:spacing w:before="360" w:after="160" w:lineRule="auto" w:line="240"/>
        <w:jc w:val="left"/>
      </w:pPr>
      <w:r>
        <w:rPr>
          <w:rFonts w:ascii="Calibri" w:hAnsi="Calibri" w:eastAsia="Calibri"/>
          <w:b/>
          <w:i w:val="0"/>
          <w:color w:val="2E74B5"/>
          <w:sz w:val="36"/>
        </w:rPr>
        <w:t>Resources &amp; Timeline</w:t>
      </w:r>
      <w:r>
        <w:rPr>
          <w:rFonts w:ascii="Calibri" w:hAnsi="Calibri" w:eastAsia="Calibri"/>
          <w:b/>
          <w:i w:val="0"/>
          <w:color w:val="2E74B5"/>
          <w:sz w:val="36"/>
        </w:rPr>
      </w:r>
    </w:p>
    <w:tbl>
      <w:tblPr>
        <w:tblW w:type="auto" w:w="0"/>
        <w:tblLayout w:type="fixed"/>
        <w:tblLook w:firstColumn="1" w:firstRow="1" w:lastColumn="0" w:lastRow="0" w:noHBand="0" w:noVBand="1" w:val="04A0"/>
        <w:tblW w:w="5000" w:type="pct"/>
      </w:tblPr>
      <w:tblGrid>
        <w:gridCol w:w="2880"/>
        <w:gridCol w:w="2880"/>
        <w:gridCol w:w="2880"/>
      </w:tblGrid>
      <w:tr>
        <w:tc>
          <w:tcPr>
            <w:tcW w:type="dxa" w:w="2880"/>
            <w:shd w:val="clear" w:color="auto" w:fill="D9E2F3"/>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i w:val="0"/>
                <w:color w:val="000000"/>
                <w:sz w:val="22"/>
              </w:rPr>
              <w:t>Person</w:t>
            </w:r>
          </w:p>
        </w:tc>
        <w:tc>
          <w:tcPr>
            <w:tcW w:type="dxa" w:w="2880"/>
            <w:shd w:val="clear" w:color="auto" w:fill="D9E2F3"/>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i w:val="0"/>
                <w:color w:val="000000"/>
                <w:sz w:val="22"/>
              </w:rPr>
              <w:t>Role</w:t>
            </w:r>
          </w:p>
        </w:tc>
        <w:tc>
          <w:tcPr>
            <w:tcW w:type="dxa" w:w="2880"/>
            <w:shd w:val="clear" w:color="auto" w:fill="D9E2F3"/>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i w:val="0"/>
                <w:color w:val="000000"/>
                <w:sz w:val="22"/>
              </w:rPr>
              <w:t>Allocation</w:t>
            </w:r>
          </w:p>
        </w:tc>
      </w:tr>
      <w:tr>
        <w:tc>
          <w:tcPr>
            <w:tcW w:type="dxa" w:w="2880"/>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David</w:t>
            </w:r>
          </w:p>
        </w:tc>
        <w:tc>
          <w:tcPr>
            <w:tcW w:type="dxa" w:w="2880"/>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Core engineering — autonomy, Agent Core, MCP, packaging</w:t>
            </w:r>
          </w:p>
        </w:tc>
        <w:tc>
          <w:tcPr>
            <w:tcW w:type="dxa" w:w="2880"/>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75% time</w:t>
            </w:r>
          </w:p>
        </w:tc>
      </w:tr>
      <w:tr>
        <w:tc>
          <w:tcPr>
            <w:tcW w:type="dxa" w:w="2880"/>
            <w:shd w:val="clear" w:color="auto" w:fill="F2F2F2"/>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Bob</w:t>
            </w:r>
          </w:p>
        </w:tc>
        <w:tc>
          <w:tcPr>
            <w:tcW w:type="dxa" w:w="2880"/>
            <w:shd w:val="clear" w:color="auto" w:fill="F2F2F2"/>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HITL/ground truth integration, Marketplace research, product direction</w:t>
            </w:r>
          </w:p>
        </w:tc>
        <w:tc>
          <w:tcPr>
            <w:tcW w:type="dxa" w:w="2880"/>
            <w:shd w:val="clear" w:color="auto" w:fill="F2F2F2"/>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Part-time</w:t>
            </w:r>
          </w:p>
        </w:tc>
      </w:tr>
      <w:tr>
        <w:tc>
          <w:tcPr>
            <w:tcW w:type="dxa" w:w="2880"/>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TBD (contractors)</w:t>
            </w:r>
          </w:p>
        </w:tc>
        <w:tc>
          <w:tcPr>
            <w:tcW w:type="dxa" w:w="2880"/>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MCP server enhancements as needed</w:t>
            </w:r>
          </w:p>
        </w:tc>
        <w:tc>
          <w:tcPr>
            <w:tcW w:type="dxa" w:w="2880"/>
            <w:tcMar>
              <w:top w:w="60" w:type="dxa"/>
              <w:bottom w:w="60" w:type="dxa"/>
              <w:left w:w="120" w:type="dxa"/>
              <w:right w:w="120" w:type="dxa"/>
            </w:tcMar>
            <w:tcBorders>
              <w:top w:val="single" w:sz="4" w:color="999999"/>
              <w:left w:val="single" w:sz="4" w:color="999999"/>
              <w:bottom w:val="single" w:sz="4" w:color="999999"/>
              <w:right w:val="single" w:sz="4" w:color="999999"/>
            </w:tcBorders>
          </w:tcPr>
          <w:p>
            <w:pPr>
              <w:spacing w:before="0" w:after="120" w:lineRule="auto" w:line="240"/>
              <w:jc w:val="left"/>
            </w:pPr>
            <w:r>
              <w:rPr>
                <w:rFonts w:ascii="Calibri" w:hAnsi="Calibri" w:eastAsia="Calibri"/>
                <w:b w:val="0"/>
                <w:i w:val="0"/>
                <w:color w:val="000000"/>
                <w:sz w:val="22"/>
              </w:rPr>
              <w:t>As identified</w:t>
            </w:r>
          </w:p>
        </w:tc>
      </w:tr>
    </w:tbl>
    <w:p>
      <w:pPr>
        <w:spacing w:before="0" w:after="120" w:lineRule="auto" w:line="276"/>
        <w:jc w:val="left"/>
      </w:pPr>
      <w:r>
        <w:rPr>
          <w:rFonts w:ascii="Calibri" w:hAnsi="Calibri" w:eastAsia="Calibri"/>
          <w:b w:val="0"/>
          <w:i w:val="0"/>
          <w:color w:val="000000"/>
          <w:sz w:val="22"/>
        </w:rPr>
      </w:r>
    </w:p>
    <w:p>
      <w:pPr>
        <w:spacing w:before="0" w:after="120" w:lineRule="auto" w:line="276"/>
        <w:jc w:val="left"/>
      </w:pPr>
      <w:r>
        <w:rPr>
          <w:rFonts w:ascii="Calibri" w:hAnsi="Calibri" w:eastAsia="Calibri"/>
          <w:b w:val="0"/>
          <w:i w:val="0"/>
          <w:color w:val="000000"/>
          <w:sz w:val="22"/>
        </w:rPr>
        <w:t>Additional resources may be requested in early May 2026 once scope is clearer.</w:t>
      </w:r>
      <w:r>
        <w:rPr>
          <w:rFonts w:ascii="Calibri" w:hAnsi="Calibri" w:eastAsia="Calibri"/>
          <w:b w:val="0"/>
          <w:i w:val="0"/>
          <w:color w:val="000000"/>
          <w:sz w:val="22"/>
        </w:rPr>
      </w:r>
    </w:p>
    <w:p>
      <w:pPr>
        <w:pBdr>
          <w:bottom w:val="single" w:sz="6" w:space="1" w:color="auto"/>
        </w:pBdr>
        <w:spacing w:before="0" w:after="120" w:lineRule="auto" w:line="276"/>
        <w:jc w:val="left"/>
      </w:pPr>
      <w:r>
        <w:rPr>
          <w:rFonts w:ascii="Calibri" w:hAnsi="Calibri" w:eastAsia="Calibri"/>
          <w:b w:val="0"/>
          <w:i w:val="0"/>
          <w:color w:val="000000"/>
          <w:sz w:val="22"/>
        </w:rPr>
      </w:r>
    </w:p>
    <w:p>
      <w:pPr>
        <w:pStyle w:val="Heading2"/>
        <w:spacing w:before="360" w:after="160" w:lineRule="auto" w:line="240"/>
        <w:jc w:val="left"/>
      </w:pPr>
      <w:r>
        <w:rPr>
          <w:rFonts w:ascii="Calibri" w:hAnsi="Calibri" w:eastAsia="Calibri"/>
          <w:b/>
          <w:i w:val="0"/>
          <w:color w:val="2E74B5"/>
          <w:sz w:val="36"/>
        </w:rPr>
        <w:t>Future Scope (Post-MLP)</w:t>
      </w:r>
      <w:r>
        <w:rPr>
          <w:rFonts w:ascii="Calibri" w:hAnsi="Calibri" w:eastAsia="Calibri"/>
          <w:b/>
          <w:i w:val="0"/>
          <w:color w:val="2E74B5"/>
          <w:sz w:val="36"/>
        </w:rPr>
      </w:r>
    </w:p>
    <w:p>
      <w:pPr>
        <w:spacing w:before="0" w:after="120" w:lineRule="auto" w:line="276"/>
        <w:jc w:val="left"/>
      </w:pPr>
      <w:r>
        <w:rPr>
          <w:rFonts w:ascii="Calibri" w:hAnsi="Calibri" w:eastAsia="Calibri"/>
          <w:b w:val="0"/>
          <w:i w:val="0"/>
          <w:color w:val="000000"/>
          <w:sz w:val="22"/>
        </w:rPr>
        <w:t>Out of scope for MLP, but the architecture should not preclude these capabilities. Rough prioritization:</w:t>
      </w:r>
      <w:r>
        <w:rPr>
          <w:rFonts w:ascii="Calibri" w:hAnsi="Calibri" w:eastAsia="Calibri"/>
          <w:b w:val="0"/>
          <w:i w:val="0"/>
          <w:color w:val="000000"/>
          <w:sz w:val="22"/>
        </w:rPr>
      </w:r>
      <w:r>
        <w:rPr>
          <w:rFonts w:ascii="Calibri" w:hAnsi="Calibri" w:eastAsia="Calibri"/>
          <w:b w:val="0"/>
          <w:i w:val="0"/>
          <w:color w:val="000000"/>
          <w:sz w:val="22"/>
        </w:rPr>
      </w:r>
    </w:p>
    <w:p>
      <w:pPr>
        <w:pStyle w:val="ListNumber"/>
        <w:numPr>
          <w:ilvl w:val="0"/>
          <w:numId w:val="10"/>
        </w:numPr>
        <w:spacing w:before="0" w:after="120" w:lineRule="auto" w:line="276"/>
        <w:jc w:val="left"/>
      </w:pPr>
      <w:r>
        <w:rPr>
          <w:rFonts w:ascii="Calibri" w:hAnsi="Calibri" w:eastAsia="Calibri"/>
          <w:b/>
          <w:i w:val="0"/>
          <w:color w:val="000000"/>
          <w:sz w:val="22"/>
        </w:rPr>
        <w:t>Classification and packet splitting optimization</w:t>
      </w:r>
      <w:r>
        <w:rPr>
          <w:rFonts w:ascii="Calibri" w:hAnsi="Calibri" w:eastAsia="Calibri"/>
          <w:b w:val="0"/>
          <w:i w:val="0"/>
          <w:color w:val="000000"/>
          <w:sz w:val="22"/>
        </w:rPr>
        <w:t xml:space="preserve"> — Extend AutoTune to optimize classification and splitting configs, not just extraction. Likely fast-follow given shared optimization infrastructure.</w:t>
      </w:r>
      <w:r>
        <w:rPr>
          <w:rFonts w:ascii="Calibri" w:hAnsi="Calibri" w:eastAsia="Calibri"/>
          <w:b w:val="0"/>
          <w:i w:val="0"/>
          <w:color w:val="000000"/>
          <w:sz w:val="22"/>
        </w:rPr>
      </w:r>
    </w:p>
    <w:p>
      <w:pPr>
        <w:pStyle w:val="ListNumber"/>
        <w:numPr>
          <w:ilvl w:val="0"/>
          <w:numId w:val="10"/>
        </w:numPr>
        <w:spacing w:before="0" w:after="120" w:lineRule="auto" w:line="276"/>
        <w:jc w:val="left"/>
      </w:pPr>
      <w:r>
        <w:rPr>
          <w:rFonts w:ascii="Calibri" w:hAnsi="Calibri" w:eastAsia="Calibri"/>
          <w:b/>
          <w:i w:val="0"/>
          <w:color w:val="000000"/>
          <w:sz w:val="22"/>
        </w:rPr>
        <w:t>Customer-scoped agent memory</w:t>
      </w:r>
      <w:r>
        <w:rPr>
          <w:rFonts w:ascii="Calibri" w:hAnsi="Calibri" w:eastAsia="Calibri"/>
          <w:b w:val="0"/>
          <w:i w:val="0"/>
          <w:color w:val="000000"/>
          <w:sz w:val="22"/>
        </w:rPr>
        <w:t xml:space="preserve"> — Make the AutoTune agent stateful within a single customer's environment — learning from its own past optimization runs to get faster and cheaper over time. No data leaves the customer account.</w:t>
      </w:r>
      <w:r>
        <w:rPr>
          <w:rFonts w:ascii="Calibri" w:hAnsi="Calibri" w:eastAsia="Calibri"/>
          <w:b w:val="0"/>
          <w:i w:val="0"/>
          <w:color w:val="000000"/>
          <w:sz w:val="22"/>
        </w:rPr>
      </w:r>
    </w:p>
    <w:p>
      <w:pPr>
        <w:pStyle w:val="ListNumber"/>
        <w:numPr>
          <w:ilvl w:val="0"/>
          <w:numId w:val="10"/>
        </w:numPr>
        <w:spacing w:before="0" w:after="120" w:lineRule="auto" w:line="276"/>
        <w:jc w:val="left"/>
      </w:pPr>
      <w:r>
        <w:rPr>
          <w:rFonts w:ascii="Calibri" w:hAnsi="Calibri" w:eastAsia="Calibri"/>
          <w:b/>
          <w:i w:val="0"/>
          <w:color w:val="000000"/>
          <w:sz w:val="22"/>
        </w:rPr>
        <w:t>Fine-tuning as an optimization lever</w:t>
      </w:r>
      <w:r>
        <w:rPr>
          <w:rFonts w:ascii="Calibri" w:hAnsi="Calibri" w:eastAsia="Calibri"/>
          <w:b w:val="0"/>
          <w:i w:val="0"/>
          <w:color w:val="000000"/>
          <w:sz w:val="22"/>
        </w:rPr>
        <w:t xml:space="preserve"> — Leverage the existing IDP model fine-tuning feature as an additional optimization lever AutoTune can pull. Requires careful cost transparency given fine-tuning costs.</w:t>
      </w:r>
      <w:r>
        <w:rPr>
          <w:rFonts w:ascii="Calibri" w:hAnsi="Calibri" w:eastAsia="Calibri"/>
          <w:b w:val="0"/>
          <w:i w:val="0"/>
          <w:color w:val="000000"/>
          <w:sz w:val="22"/>
        </w:rPr>
      </w:r>
    </w:p>
    <w:p>
      <w:pPr>
        <w:pStyle w:val="ListNumber"/>
        <w:numPr>
          <w:ilvl w:val="0"/>
          <w:numId w:val="10"/>
        </w:numPr>
        <w:spacing w:before="0" w:after="120" w:lineRule="auto" w:line="276"/>
        <w:jc w:val="left"/>
      </w:pPr>
      <w:r>
        <w:rPr>
          <w:rFonts w:ascii="Calibri" w:hAnsi="Calibri" w:eastAsia="Calibri"/>
          <w:b/>
          <w:i w:val="0"/>
          <w:color w:val="000000"/>
          <w:sz w:val="22"/>
        </w:rPr>
        <w:t>Assessment optimization</w:t>
      </w:r>
      <w:r>
        <w:rPr>
          <w:rFonts w:ascii="Calibri" w:hAnsi="Calibri" w:eastAsia="Calibri"/>
          <w:b w:val="0"/>
          <w:i w:val="0"/>
          <w:color w:val="000000"/>
          <w:sz w:val="22"/>
        </w:rPr>
        <w:t xml:space="preserve"> — Optimize assessment cost/accuracy, correlate confidence scores with actual accuracy, factor in cost of HITL review vs. cost of downstream errors from missed reviews.</w:t>
      </w:r>
      <w:r>
        <w:rPr>
          <w:rFonts w:ascii="Calibri" w:hAnsi="Calibri" w:eastAsia="Calibri"/>
          <w:b w:val="0"/>
          <w:i w:val="0"/>
          <w:color w:val="000000"/>
          <w:sz w:val="22"/>
        </w:rPr>
      </w:r>
    </w:p>
    <w:p>
      <w:pPr>
        <w:pStyle w:val="ListNumber"/>
        <w:numPr>
          <w:ilvl w:val="0"/>
          <w:numId w:val="10"/>
        </w:numPr>
        <w:spacing w:before="0" w:after="120" w:lineRule="auto" w:line="276"/>
        <w:jc w:val="left"/>
      </w:pPr>
      <w:r>
        <w:rPr>
          <w:rFonts w:ascii="Calibri" w:hAnsi="Calibri" w:eastAsia="Calibri"/>
          <w:b/>
          <w:i w:val="0"/>
          <w:color w:val="000000"/>
          <w:sz w:val="22"/>
        </w:rPr>
        <w:t>Opt-in anonymized skills sharing</w:t>
      </w:r>
      <w:r>
        <w:rPr>
          <w:rFonts w:ascii="Calibri" w:hAnsi="Calibri" w:eastAsia="Calibri"/>
          <w:b w:val="0"/>
          <w:i w:val="0"/>
          <w:color w:val="000000"/>
          <w:sz w:val="22"/>
        </w:rPr>
        <w:t xml:space="preserve"> — Allow customers to opt in to sharing anonymized optimization patterns across customers, enabling the agent to shortcut iterations for common document types.</w:t>
      </w:r>
      <w:r>
        <w:rPr>
          <w:rFonts w:ascii="Calibri" w:hAnsi="Calibri" w:eastAsia="Calibri"/>
          <w:b w:val="0"/>
          <w:i w:val="0"/>
          <w:color w:val="000000"/>
          <w:sz w:val="22"/>
        </w:rPr>
      </w:r>
      <w:r>
        <w:rPr>
          <w:rFonts w:ascii="Calibri" w:hAnsi="Calibri" w:eastAsia="Calibri"/>
          <w:b w:val="0"/>
          <w:i w:val="0"/>
          <w:color w:val="000000"/>
          <w:sz w:val="22"/>
        </w:rPr>
      </w:r>
    </w:p>
    <w:p>
      <w:pPr>
        <w:spacing w:before="0" w:after="120" w:lineRule="auto" w:line="276"/>
        <w:jc w:val="left"/>
      </w:pPr>
      <w:r>
        <w:rPr>
          <w:rFonts w:ascii="Calibri" w:hAnsi="Calibri" w:eastAsia="Calibri"/>
          <w:b w:val="0"/>
          <w:i w:val="0"/>
          <w:color w:val="000000"/>
          <w:sz w:val="22"/>
        </w:rPr>
        <w:t>The following are related capabilities that belong on the broader IDP roadmap (not specific to AutoTune):</w:t>
      </w:r>
      <w:r>
        <w:rPr>
          <w:rFonts w:ascii="Calibri" w:hAnsi="Calibri" w:eastAsia="Calibri"/>
          <w:b w:val="0"/>
          <w:i w:val="0"/>
          <w:color w:val="000000"/>
          <w:sz w:val="22"/>
        </w:rPr>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A/B and canary testing with live production data</w:t>
      </w:r>
      <w:r>
        <w:rPr>
          <w:rFonts w:ascii="Calibri" w:hAnsi="Calibri" w:eastAsia="Calibri"/>
          <w:b w:val="0"/>
          <w:i w:val="0"/>
          <w:color w:val="000000"/>
          <w:sz w:val="22"/>
        </w:rPr>
        <w:t xml:space="preserve"> — Conditional document routing to enable live comparison of configs. Could also be a separate paid feature.</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Third-party labeling service integration</w:t>
      </w:r>
      <w:r>
        <w:rPr>
          <w:rFonts w:ascii="Calibri" w:hAnsi="Calibri" w:eastAsia="Calibri"/>
          <w:b w:val="0"/>
          <w:i w:val="0"/>
          <w:color w:val="000000"/>
          <w:sz w:val="22"/>
        </w:rPr>
        <w:t xml:space="preserve"> — Event-driven ground truth ingestion (e.g., new labeled data appearing in an S3 bucket automatically populates a test set).</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i w:val="0"/>
          <w:color w:val="000000"/>
          <w:sz w:val="22"/>
        </w:rPr>
        <w:t>Additional post-production services</w:t>
      </w:r>
      <w:r>
        <w:rPr>
          <w:rFonts w:ascii="Calibri" w:hAnsi="Calibri" w:eastAsia="Calibri"/>
          <w:b w:val="0"/>
          <w:i w:val="0"/>
          <w:color w:val="000000"/>
          <w:sz w:val="22"/>
        </w:rPr>
        <w:t xml:space="preserve"> — IDPModelStore (managed document models), IDPMonitor (production monitoring), IDPCompliance (compliance &amp; audit), IDPReview (managed human review workforce), IDPCustomDomainAgents (custom agent marketplace), IDPSupport (premium support &amp; consulting). AutoTune is the beachhead. These services follow.</w:t>
      </w:r>
      <w:r>
        <w:rPr>
          <w:rFonts w:ascii="Calibri" w:hAnsi="Calibri" w:eastAsia="Calibri"/>
          <w:b w:val="0"/>
          <w:i w:val="0"/>
          <w:color w:val="000000"/>
          <w:sz w:val="22"/>
        </w:rPr>
      </w:r>
      <w:r>
        <w:rPr>
          <w:rFonts w:ascii="Calibri" w:hAnsi="Calibri" w:eastAsia="Calibri"/>
          <w:b w:val="0"/>
          <w:i w:val="0"/>
          <w:color w:val="000000"/>
          <w:sz w:val="22"/>
        </w:rPr>
      </w:r>
    </w:p>
    <w:p>
      <w:pPr>
        <w:pBdr>
          <w:bottom w:val="single" w:sz="6" w:space="1" w:color="auto"/>
        </w:pBdr>
        <w:spacing w:before="0" w:after="120" w:lineRule="auto" w:line="276"/>
        <w:jc w:val="left"/>
      </w:pPr>
      <w:r>
        <w:rPr>
          <w:rFonts w:ascii="Calibri" w:hAnsi="Calibri" w:eastAsia="Calibri"/>
          <w:b w:val="0"/>
          <w:i w:val="0"/>
          <w:color w:val="000000"/>
          <w:sz w:val="22"/>
        </w:rPr>
      </w:r>
    </w:p>
    <w:p>
      <w:pPr>
        <w:pStyle w:val="Heading2"/>
        <w:spacing w:before="360" w:after="160" w:lineRule="auto" w:line="240"/>
        <w:jc w:val="left"/>
      </w:pPr>
      <w:r>
        <w:rPr>
          <w:rFonts w:ascii="Calibri" w:hAnsi="Calibri" w:eastAsia="Calibri"/>
          <w:b/>
          <w:i w:val="0"/>
          <w:color w:val="2E74B5"/>
          <w:sz w:val="36"/>
        </w:rPr>
        <w:t>Open Questions</w:t>
      </w:r>
      <w:r>
        <w:rPr>
          <w:rFonts w:ascii="Calibri" w:hAnsi="Calibri" w:eastAsia="Calibri"/>
          <w:b/>
          <w:i w:val="0"/>
          <w:color w:val="2E74B5"/>
          <w:sz w:val="36"/>
        </w:rPr>
      </w:r>
    </w:p>
    <w:p>
      <w:pPr>
        <w:pStyle w:val="Heading3"/>
        <w:spacing w:before="240" w:after="120" w:lineRule="auto" w:line="240"/>
        <w:jc w:val="left"/>
      </w:pPr>
      <w:r>
        <w:rPr>
          <w:rFonts w:ascii="Calibri" w:hAnsi="Calibri" w:eastAsia="Calibri"/>
          <w:b/>
          <w:i w:val="0"/>
          <w:color w:val="2E74B5"/>
          <w:sz w:val="28"/>
        </w:rPr>
        <w:t>Subscription &amp; Distribution (Under Research)</w:t>
      </w:r>
      <w:r>
        <w:rPr>
          <w:rFonts w:ascii="Calibri" w:hAnsi="Calibri" w:eastAsia="Calibri"/>
          <w:b/>
          <w:i w:val="0"/>
          <w:color w:val="2E74B5"/>
          <w:sz w:val="28"/>
        </w:rPr>
      </w:r>
      <w:r>
        <w:rPr>
          <w:rFonts w:ascii="Calibri" w:hAnsi="Calibri" w:eastAsia="Calibri"/>
          <w:b/>
          <w:i w:val="0"/>
          <w:color w:val="2E74B5"/>
          <w:sz w:val="28"/>
        </w:rPr>
      </w:r>
    </w:p>
    <w:p>
      <w:pPr>
        <w:pStyle w:val="ListBullet"/>
        <w:spacing w:before="0" w:after="120" w:lineRule="auto" w:line="276"/>
        <w:jc w:val="left"/>
      </w:pPr>
      <w:r>
        <w:rPr>
          <w:rFonts w:ascii="Calibri" w:hAnsi="Calibri" w:eastAsia="Calibri"/>
          <w:b w:val="0"/>
          <w:i w:val="0"/>
          <w:color w:val="000000"/>
          <w:sz w:val="22"/>
        </w:rPr>
        <w:t>Which mechanism fits? AWS Marketplace (SaaS subscription, metered usage, CFN template) vs. alternative contracting mechanism (e.g., AIRI model). Potential antitrust constraints on 1P licensed software in Marketplace — need to consult with Jessica and Janelle.</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How does in-account license validation work technically?</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What's the listing/contracting approval timeline — realistic for June Summit?</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Does the platform support telemetry collection? (doc counts, optimization runs, improvement metrics)</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Pricing model and price points (TBD)</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End-to-end customer purchase and deployment flow</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Software update delivery mechanism</w:t>
      </w:r>
      <w:r>
        <w:rPr>
          <w:rFonts w:ascii="Calibri" w:hAnsi="Calibri" w:eastAsia="Calibri"/>
          <w:b w:val="0"/>
          <w:i w:val="0"/>
          <w:color w:val="000000"/>
          <w:sz w:val="22"/>
        </w:rPr>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Customer Approval Flow</w:t>
      </w:r>
      <w:r>
        <w:rPr>
          <w:rFonts w:ascii="Calibri" w:hAnsi="Calibri" w:eastAsia="Calibri"/>
          <w:b/>
          <w:i w:val="0"/>
          <w:color w:val="2E74B5"/>
          <w:sz w:val="28"/>
        </w:rPr>
      </w:r>
      <w:r>
        <w:rPr>
          <w:rFonts w:ascii="Calibri" w:hAnsi="Calibri" w:eastAsia="Calibri"/>
          <w:b/>
          <w:i w:val="0"/>
          <w:color w:val="2E74B5"/>
          <w:sz w:val="28"/>
        </w:rPr>
      </w:r>
    </w:p>
    <w:p>
      <w:pPr>
        <w:pStyle w:val="ListBullet"/>
        <w:spacing w:before="0" w:after="120" w:lineRule="auto" w:line="276"/>
        <w:jc w:val="left"/>
      </w:pPr>
      <w:r>
        <w:rPr>
          <w:rFonts w:ascii="Calibri" w:hAnsi="Calibri" w:eastAsia="Calibri"/>
          <w:b w:val="0"/>
          <w:i w:val="0"/>
          <w:color w:val="000000"/>
          <w:sz w:val="22"/>
        </w:rPr>
        <w:t>What does the approval UX look like when AutoTune recommends a new config? Simple accept/reject with before/after metrics? A/B test results?</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How do we present cost/accuracy tradeoffs to non-technical users? Presets ("Budget" / "Balanced" / "Max Accuracy")? A visual Pareto frontier?</w:t>
      </w:r>
      <w:r>
        <w:rPr>
          <w:rFonts w:ascii="Calibri" w:hAnsi="Calibri" w:eastAsia="Calibri"/>
          <w:b w:val="0"/>
          <w:i w:val="0"/>
          <w:color w:val="000000"/>
          <w:sz w:val="22"/>
        </w:rPr>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Trigger &amp; Scheduling Details</w:t>
      </w:r>
      <w:r>
        <w:rPr>
          <w:rFonts w:ascii="Calibri" w:hAnsi="Calibri" w:eastAsia="Calibri"/>
          <w:b/>
          <w:i w:val="0"/>
          <w:color w:val="2E74B5"/>
          <w:sz w:val="28"/>
        </w:rPr>
      </w:r>
      <w:r>
        <w:rPr>
          <w:rFonts w:ascii="Calibri" w:hAnsi="Calibri" w:eastAsia="Calibri"/>
          <w:b/>
          <w:i w:val="0"/>
          <w:color w:val="2E74B5"/>
          <w:sz w:val="28"/>
        </w:rPr>
      </w:r>
    </w:p>
    <w:p>
      <w:pPr>
        <w:pStyle w:val="ListBullet"/>
        <w:spacing w:before="0" w:after="120" w:lineRule="auto" w:line="276"/>
        <w:jc w:val="left"/>
      </w:pPr>
      <w:r>
        <w:rPr>
          <w:rFonts w:ascii="Calibri" w:hAnsi="Calibri" w:eastAsia="Calibri"/>
          <w:b w:val="0"/>
          <w:i w:val="0"/>
          <w:color w:val="000000"/>
          <w:sz w:val="22"/>
        </w:rPr>
        <w:t>How does AutoTune detect that new ground truth is available? (S3 event, signal from HITL workflow, polling)</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Should new Bedrock model releases also trigger optimization runs? How do we detect them?</w:t>
      </w:r>
      <w:r>
        <w:rPr>
          <w:rFonts w:ascii="Calibri" w:hAnsi="Calibri" w:eastAsia="Calibri"/>
          <w:b w:val="0"/>
          <w:i w:val="0"/>
          <w:color w:val="000000"/>
          <w:sz w:val="22"/>
        </w:rPr>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Autonomy Gaps</w:t>
      </w:r>
      <w:r>
        <w:rPr>
          <w:rFonts w:ascii="Calibri" w:hAnsi="Calibri" w:eastAsia="Calibri"/>
          <w:b/>
          <w:i w:val="0"/>
          <w:color w:val="2E74B5"/>
          <w:sz w:val="28"/>
        </w:rPr>
      </w:r>
      <w:r>
        <w:rPr>
          <w:rFonts w:ascii="Calibri" w:hAnsi="Calibri" w:eastAsia="Calibri"/>
          <w:b/>
          <w:i w:val="0"/>
          <w:color w:val="2E74B5"/>
          <w:sz w:val="28"/>
        </w:rPr>
      </w:r>
    </w:p>
    <w:p>
      <w:pPr>
        <w:pStyle w:val="ListBullet"/>
        <w:spacing w:before="0" w:after="120" w:lineRule="auto" w:line="276"/>
        <w:jc w:val="left"/>
      </w:pPr>
      <w:r>
        <w:rPr>
          <w:rFonts w:ascii="Calibri" w:hAnsi="Calibri" w:eastAsia="Calibri"/>
          <w:b w:val="0"/>
          <w:i w:val="0"/>
          <w:color w:val="000000"/>
          <w:sz w:val="22"/>
        </w:rPr>
        <w:t>IDPAC today operates as an interface between delivery consultants and the codebase. Making it fully autonomous is the core engineering challenge. Specific gaps between current state and full autonomy need to be enumerated and addressed.</w:t>
      </w:r>
      <w:r>
        <w:rPr>
          <w:rFonts w:ascii="Calibri" w:hAnsi="Calibri" w:eastAsia="Calibri"/>
          <w:b w:val="0"/>
          <w:i w:val="0"/>
          <w:color w:val="000000"/>
          <w:sz w:val="22"/>
        </w:rPr>
      </w:r>
      <w:r>
        <w:rPr>
          <w:rFonts w:ascii="Calibri" w:hAnsi="Calibri" w:eastAsia="Calibri"/>
          <w:b w:val="0"/>
          <w:i w:val="0"/>
          <w:color w:val="000000"/>
          <w:sz w:val="22"/>
        </w:rPr>
      </w:r>
    </w:p>
    <w:p>
      <w:pPr>
        <w:pStyle w:val="Heading3"/>
        <w:spacing w:before="240" w:after="120" w:lineRule="auto" w:line="240"/>
        <w:jc w:val="left"/>
      </w:pPr>
      <w:r>
        <w:rPr>
          <w:rFonts w:ascii="Calibri" w:hAnsi="Calibri" w:eastAsia="Calibri"/>
          <w:b/>
          <w:i w:val="0"/>
          <w:color w:val="2E74B5"/>
          <w:sz w:val="28"/>
        </w:rPr>
        <w:t>Support Model</w:t>
      </w:r>
      <w:r>
        <w:rPr>
          <w:rFonts w:ascii="Calibri" w:hAnsi="Calibri" w:eastAsia="Calibri"/>
          <w:b/>
          <w:i w:val="0"/>
          <w:color w:val="2E74B5"/>
          <w:sz w:val="28"/>
        </w:rPr>
      </w:r>
      <w:r>
        <w:rPr>
          <w:rFonts w:ascii="Calibri" w:hAnsi="Calibri" w:eastAsia="Calibri"/>
          <w:b/>
          <w:i w:val="0"/>
          <w:color w:val="2E74B5"/>
          <w:sz w:val="28"/>
        </w:rPr>
      </w:r>
    </w:p>
    <w:p>
      <w:pPr>
        <w:pStyle w:val="ListBullet"/>
        <w:spacing w:before="0" w:after="120" w:lineRule="auto" w:line="276"/>
        <w:jc w:val="left"/>
      </w:pPr>
      <w:r>
        <w:rPr>
          <w:rFonts w:ascii="Calibri" w:hAnsi="Calibri" w:eastAsia="Calibri"/>
          <w:b w:val="0"/>
          <w:i w:val="0"/>
          <w:color w:val="000000"/>
          <w:sz w:val="22"/>
        </w:rPr>
        <w:t>How do paying customers report problems and request features?</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What SLAs do we commit to? Response times?</w:t>
      </w:r>
      <w:r>
        <w:rPr>
          <w:rFonts w:ascii="Calibri" w:hAnsi="Calibri" w:eastAsia="Calibri"/>
          <w:b w:val="0"/>
          <w:i w:val="0"/>
          <w:color w:val="000000"/>
          <w:sz w:val="22"/>
        </w:rPr>
      </w:r>
    </w:p>
    <w:p>
      <w:pPr>
        <w:pStyle w:val="ListBullet"/>
        <w:spacing w:before="0" w:after="120" w:lineRule="auto" w:line="276"/>
        <w:jc w:val="left"/>
      </w:pPr>
      <w:r>
        <w:rPr>
          <w:rFonts w:ascii="Calibri" w:hAnsi="Calibri" w:eastAsia="Calibri"/>
          <w:b w:val="0"/>
          <w:i w:val="0"/>
          <w:color w:val="000000"/>
          <w:sz w:val="22"/>
        </w:rPr>
        <w:t>Release cadence for updates?</w:t>
      </w:r>
      <w:r>
        <w:rPr>
          <w:rFonts w:ascii="Calibri" w:hAnsi="Calibri" w:eastAsia="Calibri"/>
          <w:b w:val="0"/>
          <w:i w:val="0"/>
          <w:color w:val="000000"/>
          <w:sz w:val="22"/>
        </w:rPr>
      </w:r>
      <w:r>
        <w:rPr>
          <w:rFonts w:ascii="Calibri" w:hAnsi="Calibri" w:eastAsia="Calibri"/>
          <w:b w:val="0"/>
          <w:i w:val="0"/>
          <w:color w:val="000000"/>
          <w:sz w:val="22"/>
        </w:rPr>
      </w:r>
    </w:p>
    <w:p>
      <w:pPr>
        <w:pBdr>
          <w:bottom w:val="single" w:sz="6" w:space="1" w:color="auto"/>
        </w:pBdr>
        <w:spacing w:before="0" w:after="120" w:lineRule="auto" w:line="276"/>
        <w:jc w:val="left"/>
      </w:pPr>
      <w:r>
        <w:rPr>
          <w:rFonts w:ascii="Calibri" w:hAnsi="Calibri" w:eastAsia="Calibri"/>
          <w:b w:val="0"/>
          <w:i w:val="0"/>
          <w:color w:val="000000"/>
          <w:sz w:val="22"/>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