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15.png" ContentType="image/png"/>
  <Override PartName="/word/media/rId53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4ce943201223c527e481456deb3630f1d5efee9"/>
    <w:p>
      <w:pPr>
        <w:pStyle w:val="Heading1"/>
      </w:pPr>
      <w:r>
        <w:t xml:space="preserve">OpenClaw Pool: Multi-tenant OpenClaw AI agents with Firecracker microVM isolation on AWS</w:t>
      </w:r>
    </w:p>
    <w:p>
      <w:pPr>
        <w:pStyle w:val="FirstParagraph"/>
      </w:pPr>
      <w:r>
        <w:t xml:space="preserve">by Neo Sun and Aleck Lin | AWS | Architecture, Compute, Serverless, SaaS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9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is an open-source AI agent framework that provides a complete runtime for autonomous coding agents — including a gateway server, interactive dashboard, tool execution, and session management. When organizations want to offer OpenClaw-powered agents to multiple teams or customers, they need a way to run many independent instances with strong isolation, without managing infrastructure for each one.</w:t>
      </w:r>
    </w:p>
    <w:p>
      <w:pPr>
        <w:pStyle w:val="BodyText"/>
      </w:pPr>
      <w:r>
        <w:t xml:space="preserve">In this post, we introduce</w:t>
      </w:r>
      <w:r>
        <w:t xml:space="preserve"> </w:t>
      </w:r>
      <w:r>
        <w:rPr>
          <w:b/>
          <w:bCs/>
        </w:rPr>
        <w:t xml:space="preserve">OpenClaw Pool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GitHub</w:t>
        </w:r>
      </w:hyperlink>
      <w:r>
        <w:t xml:space="preserve">), an open-source reference architecture that deploys multi-tenant OpenClaw agents on AWS using</w:t>
      </w:r>
      <w:r>
        <w:t xml:space="preserve"> </w:t>
      </w:r>
      <w:hyperlink r:id="rId11">
        <w:r>
          <w:rPr>
            <w:rStyle w:val="Hyperlink"/>
          </w:rPr>
          <w:t xml:space="preserve">Firecracker</w:t>
        </w:r>
      </w:hyperlink>
      <w:r>
        <w:t xml:space="preserve"> </w:t>
      </w:r>
      <w:r>
        <w:t xml:space="preserve">microVMs. Each tenant gets a fully isolated OpenClaw instance — its own kernel, filesystem, network, and pre-configured development environment — while a serverless control plane handles scheduling, scaling, health monitoring, and backup through a single REST API.</w:t>
      </w:r>
    </w:p>
    <w:bookmarkStart w:id="14" w:name="the-multi-tenant-openclaw-challenge"/>
    <w:p>
      <w:pPr>
        <w:pStyle w:val="Heading2"/>
      </w:pPr>
      <w:r>
        <w:t xml:space="preserve">The multi-tenant OpenClaw challenge</w:t>
      </w:r>
    </w:p>
    <w:p>
      <w:pPr>
        <w:pStyle w:val="FirstParagraph"/>
      </w:pPr>
      <w:r>
        <w:t xml:space="preserve">A single OpenClaw instance includes a Node.js gateway server, a persistent workspace, configuration files, and optional MCP tool integrations. When you need to provide isolated OpenClaw environments to multiple teams, departments, or customers, you typically consider three approaches: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10"/>
        <w:gridCol w:w="1470"/>
        <w:gridCol w:w="1018"/>
        <w:gridCol w:w="2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Isolation level</w:t>
            </w:r>
          </w:p>
        </w:tc>
        <w:tc>
          <w:tcPr/>
          <w:p>
            <w:pPr>
              <w:pStyle w:val="Compact"/>
            </w:pPr>
            <w:r>
              <w:t xml:space="preserve">Startup time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  <w:tc>
          <w:tcPr/>
          <w:p>
            <w:pPr>
              <w:pStyle w:val="Compact"/>
            </w:pPr>
            <w:r>
              <w:t xml:space="preserve">Operational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EC2 instance per tenant</w:t>
            </w:r>
          </w:p>
        </w:tc>
        <w:tc>
          <w:tcPr/>
          <w:p>
            <w:pPr>
              <w:pStyle w:val="Compact"/>
            </w:pPr>
            <w:r>
              <w:t xml:space="preserve">Hardware-level (strongest)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Low — idle instances waste resources</w:t>
            </w:r>
          </w:p>
        </w:tc>
        <w:tc>
          <w:tcPr/>
          <w:p>
            <w:pPr>
              <w:pStyle w:val="Compact"/>
            </w:pPr>
            <w:r>
              <w:t xml:space="preserve">Low per tenant, high total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 (ECS/EKS)</w:t>
            </w:r>
          </w:p>
        </w:tc>
        <w:tc>
          <w:tcPr/>
          <w:p>
            <w:pPr>
              <w:pStyle w:val="Compact"/>
            </w:pPr>
            <w:r>
              <w:t xml:space="preserve">Namespace-level (shared kernel)</w:t>
            </w:r>
          </w:p>
        </w:tc>
        <w:tc>
          <w:tcPr/>
          <w:p>
            <w:pPr>
              <w:pStyle w:val="Compact"/>
            </w:pPr>
            <w:r>
              <w:t xml:space="preserve">Seconds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 — requires orchestration expertise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Firecracker microVMs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Kernel-level (independent kernel)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&lt;125ms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minimal overhead per VM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— automated by control plane</w:t>
            </w:r>
          </w:p>
        </w:tc>
      </w:tr>
    </w:tbl>
    <w:p>
      <w:pPr>
        <w:pStyle w:val="BodyText"/>
      </w:pPr>
      <w:r>
        <w:t xml:space="preserve">Containers share the host kernel, which means a kernel vulnerability could potentially affect all tenants. Dedicated EC2 instances provide strong isolation but at significant cost and with slow provisioning. Firecracker microVMs combine the security properties of virtual machines — each tenant gets its own Linux kernel — with the speed and resource efficiency typically associated with containers. This is the same virtualization technology that powers</w:t>
      </w:r>
      <w:r>
        <w:t xml:space="preserve"> </w:t>
      </w:r>
      <w:hyperlink r:id="rId12">
        <w:r>
          <w:rPr>
            <w:rStyle w:val="Hyperlink"/>
          </w:rPr>
          <w:t xml:space="preserve">AWS Lambda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AWS Fargate</w:t>
        </w:r>
      </w:hyperlink>
      <w:r>
        <w:t xml:space="preserve">.</w:t>
      </w:r>
    </w:p>
    <w:bookmarkEnd w:id="14"/>
    <w:bookmarkStart w:id="28" w:name="solution-overview"/>
    <w:p>
      <w:pPr>
        <w:pStyle w:val="Heading2"/>
      </w:pPr>
      <w:r>
        <w:t xml:space="preserve">Solution overview</w:t>
      </w:r>
    </w:p>
    <w:p>
      <w:pPr>
        <w:pStyle w:val="FirstParagraph"/>
      </w:pPr>
      <w:r>
        <w:t xml:space="preserve">OpenClaw Pool consists of three layers: a serverless control plane, EC2-based host instances running Firecracker microVMs, and an access layer for HTTPS dashboard connectivity.</w:t>
      </w:r>
    </w:p>
    <w:p>
      <w:pPr>
        <w:pStyle w:val="BodyText"/>
      </w:pPr>
      <w:r>
        <w:rPr>
          <w:i/>
          <w:iCs/>
        </w:rPr>
        <w:t xml:space="preserve">Figure 1. System architecture showing the control plane, data plane, and access layer.</w:t>
      </w:r>
    </w:p>
    <w:p>
      <w:pPr>
        <w:pStyle w:val="CaptionedFigure"/>
      </w:pPr>
      <w:r>
        <w:drawing>
          <wp:inline>
            <wp:extent cx="5334000" cy="2981181"/>
            <wp:effectExtent b="0" l="0" r="0" t="0"/>
            <wp:docPr descr="System architecture" title="" id="16" name="Picture"/>
            <a:graphic>
              <a:graphicData uri="http://schemas.openxmlformats.org/drawingml/2006/picture">
                <pic:pic>
                  <pic:nvPicPr>
                    <pic:cNvPr descr="docs/oc-system-arc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bookmarkStart w:id="21" w:name="control-plane-serverless"/>
    <w:p>
      <w:pPr>
        <w:pStyle w:val="Heading3"/>
      </w:pPr>
      <w:r>
        <w:t xml:space="preserve">Control plane (serverless)</w:t>
      </w:r>
    </w:p>
    <w:p>
      <w:pPr>
        <w:pStyle w:val="FirstParagraph"/>
      </w:pPr>
      <w:hyperlink r:id="rId18">
        <w:r>
          <w:rPr>
            <w:rStyle w:val="Hyperlink"/>
          </w:rPr>
          <w:t xml:space="preserve">Amazon API Gateway</w:t>
        </w:r>
      </w:hyperlink>
      <w:r>
        <w:t xml:space="preserve"> </w:t>
      </w:r>
      <w:r>
        <w:t xml:space="preserve">exposes a REST API secured with API keys. Seven</w:t>
      </w:r>
      <w:r>
        <w:t xml:space="preserve"> </w:t>
      </w:r>
      <w:hyperlink r:id="rId12">
        <w:r>
          <w:rPr>
            <w:rStyle w:val="Hyperlink"/>
          </w:rPr>
          <w:t xml:space="preserve">AWS Lambda</w:t>
        </w:r>
      </w:hyperlink>
      <w:r>
        <w:t xml:space="preserve"> </w:t>
      </w:r>
      <w:r>
        <w:t xml:space="preserve">functions handle tenant lifecycle operations, host management, backup orchestration, configuration template management, shared skills listing, health monitoring, and idle host reclamation.</w:t>
      </w:r>
      <w:r>
        <w:t xml:space="preserve"> </w:t>
      </w:r>
      <w:hyperlink r:id="rId19">
        <w:r>
          <w:rPr>
            <w:rStyle w:val="Hyperlink"/>
          </w:rPr>
          <w:t xml:space="preserve">Amazon DynamoDB</w:t>
        </w:r>
      </w:hyperlink>
      <w:r>
        <w:t xml:space="preserve"> </w:t>
      </w:r>
      <w:r>
        <w:t xml:space="preserve">stores tenant state (status, health, gateway token, rootfs version) and host resource tracking (vCPU, memory, VM count, idle timestamp).</w:t>
      </w:r>
      <w:r>
        <w:t xml:space="preserve"> </w:t>
      </w:r>
      <w:hyperlink r:id="rId20">
        <w:r>
          <w:rPr>
            <w:rStyle w:val="Hyperlink"/>
          </w:rPr>
          <w:t xml:space="preserve">Amazon EventBridge</w:t>
        </w:r>
      </w:hyperlink>
      <w:r>
        <w:t xml:space="preserve"> </w:t>
      </w:r>
      <w:r>
        <w:t xml:space="preserve">schedules three recurring tasks: health checks (every 5 minutes), idle host reclamation (every 3 minutes), and daily data backups.</w:t>
      </w:r>
    </w:p>
    <w:bookmarkEnd w:id="21"/>
    <w:bookmarkStart w:id="24" w:name="data-plane-ec2-hosts"/>
    <w:p>
      <w:pPr>
        <w:pStyle w:val="Heading3"/>
      </w:pPr>
      <w:r>
        <w:t xml:space="preserve">Data plane (EC2 hosts)</w:t>
      </w:r>
    </w:p>
    <w:p>
      <w:pPr>
        <w:pStyle w:val="FirstParagraph"/>
      </w:pPr>
      <w:r>
        <w:t xml:space="preserve">An</w:t>
      </w:r>
      <w:r>
        <w:t xml:space="preserve"> </w:t>
      </w:r>
      <w:hyperlink r:id="rId22">
        <w:r>
          <w:rPr>
            <w:rStyle w:val="Hyperlink"/>
          </w:rPr>
          <w:t xml:space="preserve">Auto Scaling group</w:t>
        </w:r>
      </w:hyperlink>
      <w:r>
        <w:t xml:space="preserve"> </w:t>
      </w:r>
      <w:r>
        <w:t xml:space="preserve">manages EC2 instances that support</w:t>
      </w:r>
      <w:r>
        <w:t xml:space="preserve"> </w:t>
      </w:r>
      <w:hyperlink r:id="rId23">
        <w:r>
          <w:rPr>
            <w:rStyle w:val="Hyperlink"/>
          </w:rPr>
          <w:t xml:space="preserve">nested virtualization</w:t>
        </w:r>
      </w:hyperlink>
      <w:r>
        <w:t xml:space="preserve"> </w:t>
      </w:r>
      <w:r>
        <w:t xml:space="preserve">(Intel c8i/m8i/r8i families). Each host runs multiple Firecracker microVMs. A host agent service polls all local VMs every 5 seconds, performing three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monitoring</w:t>
      </w:r>
      <w:r>
        <w:t xml:space="preserve"> </w:t>
      </w:r>
      <w:r>
        <w:t xml:space="preserve">— Pings each VM and probes the OpenClaw gateway port (18789). Writes health status directly to DynamoDB, promoting tenants from</w:t>
      </w:r>
      <w:r>
        <w:t xml:space="preserve"> </w:t>
      </w:r>
      <w:r>
        <w:rPr>
          <w:rStyle w:val="VerbatimChar"/>
        </w:rPr>
        <w:t xml:space="preserve">creating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when the gateway becomes responsive.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Auto-recovery</w:t>
      </w:r>
      <w:r>
        <w:t xml:space="preserve"> </w:t>
      </w:r>
      <w:r>
        <w:t xml:space="preserve">— Detects VMs where</w:t>
      </w:r>
      <w:r>
        <w:t xml:space="preserve"> </w:t>
      </w:r>
      <w:r>
        <w:rPr>
          <w:rStyle w:val="VerbatimChar"/>
        </w:rPr>
        <w:t xml:space="preserve">vm.json</w:t>
      </w:r>
      <w:r>
        <w:t xml:space="preserve"> </w:t>
      </w:r>
      <w:r>
        <w:t xml:space="preserve">exists but the Firecracker process is not running (for example, after an unexpected crash), and automatically re-launches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Balloon memory management</w:t>
      </w:r>
      <w:r>
        <w:t xml:space="preserve"> </w:t>
      </w:r>
      <w:r>
        <w:t xml:space="preserve">— Reads host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and adjusts Firecracker balloon devices to reclaim or return memory based on host pressure.</w:t>
      </w:r>
    </w:p>
    <w:bookmarkEnd w:id="24"/>
    <w:bookmarkStart w:id="27" w:name="access-layer"/>
    <w:p>
      <w:pPr>
        <w:pStyle w:val="Heading3"/>
      </w:pPr>
      <w:r>
        <w:t xml:space="preserve">Access layer</w:t>
      </w:r>
    </w:p>
    <w:p>
      <w:pPr>
        <w:pStyle w:val="FirstParagraph"/>
      </w:pPr>
      <w:hyperlink r:id="rId25">
        <w:r>
          <w:rPr>
            <w:rStyle w:val="Hyperlink"/>
          </w:rPr>
          <w:t xml:space="preserve">Amazon CloudFront</w:t>
        </w:r>
      </w:hyperlink>
      <w:r>
        <w:t xml:space="preserve"> </w:t>
      </w:r>
      <w:r>
        <w:t xml:space="preserve">provides HTTPS termination without requiring a custom domain or ACM certificate. An</w:t>
      </w:r>
      <w:r>
        <w:t xml:space="preserve"> </w:t>
      </w:r>
      <w:hyperlink r:id="rId26">
        <w:r>
          <w:rPr>
            <w:rStyle w:val="Hyperlink"/>
          </w:rPr>
          <w:t xml:space="preserve">Application Load Balancer</w:t>
        </w:r>
      </w:hyperlink>
      <w:r>
        <w:t xml:space="preserve"> </w:t>
      </w:r>
      <w:r>
        <w:t xml:space="preserve">routes requests to the correct host using path-based rules (</w:t>
      </w:r>
      <w:r>
        <w:rPr>
          <w:rStyle w:val="VerbatimChar"/>
        </w:rPr>
        <w:t xml:space="preserve">/vm/{tenant-id}/</w:t>
      </w:r>
      <w:r>
        <w:t xml:space="preserve">). Nginx on each host reverse-proxies to the tenant’s microVM gateway with WebSocket support for the interactive dashboard. Nginx configuration is automatically managed by the VM launch and stop scripts.</w:t>
      </w:r>
    </w:p>
    <w:bookmarkEnd w:id="27"/>
    <w:bookmarkEnd w:id="28"/>
    <w:bookmarkStart w:id="35" w:name="deployment-architecture"/>
    <w:p>
      <w:pPr>
        <w:pStyle w:val="Heading2"/>
      </w:pPr>
      <w:r>
        <w:t xml:space="preserve">Deployment architecture</w:t>
      </w:r>
    </w:p>
    <w:p>
      <w:pPr>
        <w:pStyle w:val="FirstParagraph"/>
      </w:pPr>
      <w:r>
        <w:t xml:space="preserve">The entire infrastructure is defined as a single</w:t>
      </w:r>
      <w:r>
        <w:t xml:space="preserve"> </w:t>
      </w:r>
      <w:hyperlink r:id="rId29">
        <w:r>
          <w:rPr>
            <w:rStyle w:val="Hyperlink"/>
          </w:rPr>
          <w:t xml:space="preserve">AWS CDK</w:t>
        </w:r>
      </w:hyperlink>
      <w:r>
        <w:t xml:space="preserve"> </w:t>
      </w:r>
      <w:r>
        <w:t xml:space="preserve">stack and deployed with one command.</w:t>
      </w:r>
    </w:p>
    <w:p>
      <w:pPr>
        <w:pStyle w:val="BodyText"/>
      </w:pPr>
      <w:r>
        <w:rPr>
          <w:i/>
          <w:iCs/>
        </w:rPr>
        <w:t xml:space="preserve">Figure 2. Deployment architecture showing AWS services and their relationships.</w:t>
      </w:r>
    </w:p>
    <w:p>
      <w:pPr>
        <w:pStyle w:val="CaptionedFigure"/>
      </w:pPr>
      <w:r>
        <w:drawing>
          <wp:inline>
            <wp:extent cx="5334000" cy="4826503"/>
            <wp:effectExtent b="0" l="0" r="0" t="0"/>
            <wp:docPr descr="Deployment architecture" title="" id="31" name="Picture"/>
            <a:graphic>
              <a:graphicData uri="http://schemas.openxmlformats.org/drawingml/2006/picture">
                <pic:pic>
                  <pic:nvPicPr>
                    <pic:cNvPr descr="docs/oc-deploy-arc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6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Deployment architecture</w:t>
      </w:r>
    </w:p>
    <w:p>
      <w:pPr>
        <w:pStyle w:val="BodyText"/>
      </w:pPr>
      <w:r>
        <w:t xml:space="preserve">The deployment creates the following resources:</w:t>
      </w:r>
    </w:p>
    <w:p>
      <w:pPr>
        <w:pStyle w:val="Compact"/>
        <w:numPr>
          <w:ilvl w:val="0"/>
          <w:numId w:val="1002"/>
        </w:numPr>
      </w:pPr>
      <w:r>
        <w:t xml:space="preserve">Two DynamoDB tables (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) with pay-per-request billing</w:t>
      </w:r>
    </w:p>
    <w:p>
      <w:pPr>
        <w:pStyle w:val="Compact"/>
        <w:numPr>
          <w:ilvl w:val="0"/>
          <w:numId w:val="1002"/>
        </w:numPr>
      </w:pPr>
      <w:r>
        <w:t xml:space="preserve">An S3 bucket for rootfs images, data templates, backups, shared skills, configuration templates, and the web console</w:t>
      </w:r>
    </w:p>
    <w:p>
      <w:pPr>
        <w:pStyle w:val="Compact"/>
        <w:numPr>
          <w:ilvl w:val="0"/>
          <w:numId w:val="1002"/>
        </w:numPr>
      </w:pPr>
      <w:r>
        <w:t xml:space="preserve">Seven Lambda functions (API, health check, scaler, backup, skills, templates, AgentCore tools)</w:t>
      </w:r>
    </w:p>
    <w:p>
      <w:pPr>
        <w:pStyle w:val="Compact"/>
        <w:numPr>
          <w:ilvl w:val="0"/>
          <w:numId w:val="1002"/>
        </w:numPr>
      </w:pPr>
      <w:r>
        <w:t xml:space="preserve">API Gateway with usage plan and API key authentication</w:t>
      </w:r>
    </w:p>
    <w:p>
      <w:pPr>
        <w:pStyle w:val="Compact"/>
        <w:numPr>
          <w:ilvl w:val="0"/>
          <w:numId w:val="1002"/>
        </w:numPr>
      </w:pPr>
      <w:r>
        <w:t xml:space="preserve">Auto Scaling group with lifecycle hooks for host initialization and graceful termination cleanup</w:t>
      </w:r>
    </w:p>
    <w:p>
      <w:pPr>
        <w:pStyle w:val="Compact"/>
        <w:numPr>
          <w:ilvl w:val="0"/>
          <w:numId w:val="1002"/>
        </w:numPr>
      </w:pPr>
      <w:r>
        <w:t xml:space="preserve">ALB with path-based routing for tenant dashboard access</w:t>
      </w:r>
    </w:p>
    <w:p>
      <w:pPr>
        <w:pStyle w:val="Compact"/>
        <w:numPr>
          <w:ilvl w:val="0"/>
          <w:numId w:val="1002"/>
        </w:numPr>
      </w:pPr>
      <w:r>
        <w:t xml:space="preserve">CloudFront distribution with S3 origin for the web console and a CloudFront Function for URL rewriting</w:t>
      </w:r>
    </w:p>
    <w:p>
      <w:pPr>
        <w:pStyle w:val="Compact"/>
        <w:numPr>
          <w:ilvl w:val="0"/>
          <w:numId w:val="1002"/>
        </w:numPr>
      </w:pPr>
      <w:r>
        <w:t xml:space="preserve">Optional</w:t>
      </w:r>
      <w:r>
        <w:t xml:space="preserve"> </w:t>
      </w:r>
      <w:hyperlink r:id="rId33">
        <w:r>
          <w:rPr>
            <w:rStyle w:val="Hyperlink"/>
          </w:rPr>
          <w:t xml:space="preserve">Amazon Cognito</w:t>
        </w:r>
      </w:hyperlink>
      <w:r>
        <w:t xml:space="preserve"> </w:t>
      </w:r>
      <w:r>
        <w:t xml:space="preserve">user pool for console authentication</w:t>
      </w:r>
    </w:p>
    <w:p>
      <w:pPr>
        <w:pStyle w:val="Compact"/>
        <w:numPr>
          <w:ilvl w:val="0"/>
          <w:numId w:val="1002"/>
        </w:numPr>
      </w:pPr>
      <w:r>
        <w:t xml:space="preserve">Optional</w:t>
      </w:r>
      <w:r>
        <w:t xml:space="preserve"> </w:t>
      </w:r>
      <w:hyperlink r:id="rId34">
        <w:r>
          <w:rPr>
            <w:rStyle w:val="Hyperlink"/>
          </w:rPr>
          <w:t xml:space="preserve">Amazon Bedrock AgentCore</w:t>
        </w:r>
      </w:hyperlink>
      <w:r>
        <w:t xml:space="preserve"> </w:t>
      </w:r>
      <w:r>
        <w:t xml:space="preserve">integration (Gateway, Memory, Code Interpreter, Browser)</w:t>
      </w:r>
    </w:p>
    <w:bookmarkEnd w:id="35"/>
    <w:bookmarkStart w:id="36" w:name="how-tenant-isolation-works"/>
    <w:p>
      <w:pPr>
        <w:pStyle w:val="Heading2"/>
      </w:pPr>
      <w:r>
        <w:t xml:space="preserve">How tenant isolation works</w:t>
      </w:r>
    </w:p>
    <w:p>
      <w:pPr>
        <w:pStyle w:val="FirstParagraph"/>
      </w:pPr>
      <w:r>
        <w:t xml:space="preserve">Each microVM is isolated at multiple levels:</w:t>
      </w:r>
    </w:p>
    <w:p>
      <w:pPr>
        <w:pStyle w:val="BodyText"/>
      </w:pPr>
      <w:r>
        <w:rPr>
          <w:b/>
          <w:bCs/>
        </w:rPr>
        <w:t xml:space="preserve">Kernel isolation.</w:t>
      </w:r>
      <w:r>
        <w:t xml:space="preserve"> </w:t>
      </w:r>
      <w:r>
        <w:t xml:space="preserve">Every tenant runs its own Linux kernel inside a Firecracker microVM. Unlike container-based isolation where all tenants share the host kernel, a vulnerability in one tenant’s kernel cannot affect other tenants.</w:t>
      </w:r>
    </w:p>
    <w:p>
      <w:pPr>
        <w:pStyle w:val="BodyText"/>
      </w:pPr>
      <w:r>
        <w:rPr>
          <w:b/>
          <w:bCs/>
        </w:rPr>
        <w:t xml:space="preserve">Filesystem isolation.</w:t>
      </w:r>
      <w:r>
        <w:t xml:space="preserve"> </w:t>
      </w:r>
      <w:r>
        <w:t xml:space="preserve">The rootfs uses OverlayFS with a shared read-only base layer and a per-VM writable overlay (2 GB sparse file). A custom</w:t>
      </w:r>
      <w:r>
        <w:t xml:space="preserve"> </w:t>
      </w:r>
      <w:r>
        <w:rPr>
          <w:rStyle w:val="VerbatimChar"/>
        </w:rPr>
        <w:t xml:space="preserve">/sbin/overlay-init</w:t>
      </w:r>
      <w:r>
        <w:t xml:space="preserve"> </w:t>
      </w:r>
      <w:r>
        <w:t xml:space="preserve">script runs as the VM’s init process, mounting the overlay before handing off to systemd. Each tenant also has an independent data volume (</w:t>
      </w:r>
      <w:r>
        <w:rPr>
          <w:rStyle w:val="VerbatimChar"/>
        </w:rPr>
        <w:t xml:space="preserve">data.ext4</w:t>
      </w:r>
      <w:r>
        <w:t xml:space="preserve">) mounted at</w:t>
      </w:r>
      <w:r>
        <w:t xml:space="preserve"> </w:t>
      </w:r>
      <w:r>
        <w:rPr>
          <w:rStyle w:val="VerbatimChar"/>
        </w:rPr>
        <w:t xml:space="preserve">/home/agent</w:t>
      </w:r>
      <w:r>
        <w:t xml:space="preserve">, which persists across restarts and rootfs resets.</w:t>
      </w:r>
    </w:p>
    <w:p>
      <w:pPr>
        <w:pStyle w:val="BodyText"/>
      </w:pPr>
      <w:r>
        <w:rPr>
          <w:b/>
          <w:bCs/>
        </w:rPr>
        <w:t xml:space="preserve">Network isolation.</w:t>
      </w:r>
      <w:r>
        <w:t xml:space="preserve"> </w:t>
      </w:r>
      <w:r>
        <w:t xml:space="preserve">Each VM gets a dedicated TAP device and a</w:t>
      </w:r>
      <w:r>
        <w:t xml:space="preserve"> </w:t>
      </w:r>
      <w:r>
        <w:rPr>
          <w:rStyle w:val="VerbatimChar"/>
        </w:rPr>
        <w:t xml:space="preserve">/24</w:t>
      </w:r>
      <w:r>
        <w:t xml:space="preserve"> </w:t>
      </w:r>
      <w:r>
        <w:t xml:space="preserve">subnet (for example,</w:t>
      </w:r>
      <w:r>
        <w:t xml:space="preserve"> </w:t>
      </w:r>
      <w:r>
        <w:rPr>
          <w:rStyle w:val="VerbatimChar"/>
        </w:rPr>
        <w:t xml:space="preserve">172.16.1.0/24</w:t>
      </w:r>
      <w:r>
        <w:t xml:space="preserve"> </w:t>
      </w:r>
      <w:r>
        <w:t xml:space="preserve">for VM 1,</w:t>
      </w:r>
      <w:r>
        <w:t xml:space="preserve"> </w:t>
      </w:r>
      <w:r>
        <w:rPr>
          <w:rStyle w:val="VerbatimChar"/>
        </w:rPr>
        <w:t xml:space="preserve">172.16.2.0/24</w:t>
      </w:r>
      <w:r>
        <w:t xml:space="preserve"> </w:t>
      </w:r>
      <w:r>
        <w:t xml:space="preserve">for VM 2). Outbound traffic uses iptables MASQUERADE through the host’s default interface. There is no routing between VM subnets — tenants cannot communicate with each other at the network level.</w:t>
      </w:r>
    </w:p>
    <w:p>
      <w:pPr>
        <w:pStyle w:val="BodyText"/>
      </w:pPr>
      <w:r>
        <w:rPr>
          <w:b/>
          <w:bCs/>
        </w:rPr>
        <w:t xml:space="preserve">Access isolation.</w:t>
      </w:r>
      <w:r>
        <w:t xml:space="preserve"> </w:t>
      </w:r>
      <w:r>
        <w:t xml:space="preserve">Each tenant’s OpenClaw gateway generates a unique authentication token (48-character hex) at creation time. The token is stored in DynamoDB and included in the console’s</w:t>
      </w:r>
      <w:r>
        <w:t xml:space="preserve"> </w:t>
      </w:r>
      <w:r>
        <w:t xml:space="preserve">“Open Dashboard”</w:t>
      </w:r>
      <w:r>
        <w:t xml:space="preserve"> </w:t>
      </w:r>
      <w:r>
        <w:t xml:space="preserve">link for one-click access.</w:t>
      </w:r>
    </w:p>
    <w:bookmarkEnd w:id="36"/>
    <w:bookmarkStart w:id="37" w:name="what-each-openclaw-tenant-includes"/>
    <w:p>
      <w:pPr>
        <w:pStyle w:val="Heading2"/>
      </w:pPr>
      <w:r>
        <w:t xml:space="preserve">What each OpenClaw tenant includes</w:t>
      </w:r>
    </w:p>
    <w:p>
      <w:pPr>
        <w:pStyle w:val="FirstParagraph"/>
      </w:pPr>
      <w:r>
        <w:t xml:space="preserve">Every tenant is a complete, self-contained OpenClaw environment running inside a Firecracker microVM: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OpenClaw Gateway</w:t>
      </w:r>
      <w:r>
        <w:t xml:space="preserve"> </w:t>
      </w:r>
      <w:r>
        <w:t xml:space="preserve">— The agent’s HTTP/WebSocket server (port 18789), auto-started as a systemd user service. Provides the interactive Dashboard for chatting with the agent, managing sessions, and approving tool 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OpenClaw CLI</w:t>
      </w:r>
      <w:r>
        <w:t xml:space="preserve"> </w:t>
      </w:r>
      <w:r>
        <w:t xml:space="preserve">— Pre-installed globally. Tenants can run</w:t>
      </w:r>
      <w:r>
        <w:t xml:space="preserve"> </w:t>
      </w:r>
      <w:r>
        <w:rPr>
          <w:rStyle w:val="VerbatimChar"/>
        </w:rPr>
        <w:t xml:space="preserve">openclaw</w:t>
      </w:r>
      <w:r>
        <w:t xml:space="preserve"> </w:t>
      </w:r>
      <w:r>
        <w:t xml:space="preserve">commands 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Configurable LLM backend</w:t>
      </w:r>
      <w:r>
        <w:t xml:space="preserve"> </w:t>
      </w:r>
      <w:r>
        <w:t xml:space="preserve">— Each tenant’s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t xml:space="preserve">specifies the model provider, API key, and model ID. You can use configuration templates to standardize settings or customize per tenant.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development toolchain</w:t>
      </w:r>
      <w:r>
        <w:t xml:space="preserve"> </w:t>
      </w:r>
      <w:r>
        <w:t xml:space="preserve">— Python 3.12, Node.js 22, uv, git, GitHub CLI, build-essential, and common utilities (curl, jq, htop, tmux, tree).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skills, independent memory</w:t>
      </w:r>
      <w:r>
        <w:t xml:space="preserve"> </w:t>
      </w:r>
      <w:r>
        <w:t xml:space="preserve">— All tenants share a centrally managed skill set (synced from S3), while each tenant’s conversation history and workspace are fully isolated on its own data volume.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AgentCore integration</w:t>
      </w:r>
      <w:r>
        <w:t xml:space="preserve"> </w:t>
      </w:r>
      <w:r>
        <w:t xml:space="preserve">— When enabled, each tenant automatically connects to Amazon Bedrock AgentCore for MCP tools, persistent memory, code interpreter, and browser capabilities.</w:t>
      </w:r>
    </w:p>
    <w:bookmarkEnd w:id="37"/>
    <w:bookmarkStart w:id="38" w:name="X6e8592e6c19b71908a4a0abeea6b238e092c8b5"/>
    <w:p>
      <w:pPr>
        <w:pStyle w:val="Heading2"/>
      </w:pPr>
      <w:r>
        <w:t xml:space="preserve">Rootfs management and pre-installed toolchain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build-rootfs.sh</w:t>
      </w:r>
      <w:r>
        <w:t xml:space="preserve"> </w:t>
      </w:r>
      <w:r>
        <w:t xml:space="preserve">script produces two images using debootstrap on Ubuntu Noble (24.04):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rootfs</w:t>
      </w:r>
      <w:r>
        <w:t xml:space="preserve"> </w:t>
      </w:r>
      <w:r>
        <w:t xml:space="preserve">(read-only, shared) — The base OS with pre-installed tools: Python 3.12, Node.js 22, uv (Python package manager), git, GitHub CLI (gh), OpenClaw CLI, curl, jq, htop, tmux, tree, vim, and build-essential.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template</w:t>
      </w:r>
      <w:r>
        <w:t xml:space="preserve"> </w:t>
      </w:r>
      <w:r>
        <w:t xml:space="preserve">(copied per tenant) — The</w:t>
      </w:r>
      <w:r>
        <w:t xml:space="preserve"> </w:t>
      </w:r>
      <w:r>
        <w:rPr>
          <w:rStyle w:val="VerbatimChar"/>
        </w:rPr>
        <w:t xml:space="preserve">/home/agent</w:t>
      </w:r>
      <w:r>
        <w:t xml:space="preserve"> </w:t>
      </w:r>
      <w:r>
        <w:t xml:space="preserve">directory containing OpenClaw configuration, gateway service definition, and workspace structure.</w:t>
      </w:r>
    </w:p>
    <w:p>
      <w:pPr>
        <w:pStyle w:val="FirstParagraph"/>
      </w:pPr>
      <w:r>
        <w:t xml:space="preserve">Both images are compressed with pigz and uploaded to S3 with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version pointer. Hosts track their rootfs version, and the</w:t>
      </w:r>
      <w:r>
        <w:t xml:space="preserve"> </w:t>
      </w:r>
      <w:r>
        <w:rPr>
          <w:rStyle w:val="VerbatimChar"/>
        </w:rPr>
        <w:t xml:space="preserve">POST /hosts/refresh-rootfs</w:t>
      </w:r>
      <w:r>
        <w:t xml:space="preserve"> </w:t>
      </w:r>
      <w:r>
        <w:t xml:space="preserve">API pushes new images to all active hosts. New tenants automatically use the latest version; existing tenants can be updated using the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action, which replaces the overlay while preserving the data volume.</w:t>
      </w:r>
    </w:p>
    <w:bookmarkEnd w:id="38"/>
    <w:bookmarkStart w:id="40" w:name="tenant-lifecycle-operations"/>
    <w:p>
      <w:pPr>
        <w:pStyle w:val="Heading2"/>
      </w:pPr>
      <w:r>
        <w:t xml:space="preserve">Tenant lifecycle operations</w:t>
      </w:r>
    </w:p>
    <w:p>
      <w:pPr>
        <w:pStyle w:val="FirstParagraph"/>
      </w:pPr>
      <w:r>
        <w:t xml:space="preserve">The API supports a full set of lifecycle operations, each implemented via</w:t>
      </w:r>
      <w:r>
        <w:t xml:space="preserve"> </w:t>
      </w:r>
      <w:hyperlink r:id="rId39">
        <w:r>
          <w:rPr>
            <w:rStyle w:val="Hyperlink"/>
          </w:rPr>
          <w:t xml:space="preserve">AWS Systems Manager</w:t>
        </w:r>
      </w:hyperlink>
      <w:r>
        <w:t xml:space="preserve"> </w:t>
      </w:r>
      <w:r>
        <w:t xml:space="preserve">Run Command to the host: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554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Allocate resources, launch microVM, configure networking and ALB routing</w:t>
            </w:r>
          </w:p>
        </w:tc>
        <w:tc>
          <w:tcPr/>
          <w:p>
            <w:pPr>
              <w:pStyle w:val="Compact"/>
            </w:pPr>
            <w:r>
              <w:t xml:space="preserve">New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Stop VM, remove ALB rule, update host counters. Optional</w:t>
            </w:r>
            <w:r>
              <w:t xml:space="preserve"> </w:t>
            </w:r>
            <w:r>
              <w:rPr>
                <w:rStyle w:val="VerbatimChar"/>
              </w:rPr>
              <w:t xml:space="preserve">?keep_data=true</w:t>
            </w:r>
            <w:r>
              <w:t xml:space="preserve"> </w:t>
            </w:r>
            <w:r>
              <w:t xml:space="preserve">preserves the data volume</w:t>
            </w:r>
          </w:p>
        </w:tc>
        <w:tc>
          <w:tcPr/>
          <w:p>
            <w:pPr>
              <w:pStyle w:val="Compact"/>
            </w:pPr>
            <w:r>
              <w:t xml:space="preserve">Tenant removal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Graceful shutdown / cold boot (reuses existing disks)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Freeze / unfreeze vCPUs via Firecracker API (instant, sub-millisecond)</w:t>
            </w:r>
          </w:p>
        </w:tc>
        <w:tc>
          <w:tcPr/>
          <w:p>
            <w:pPr>
              <w:pStyle w:val="Compact"/>
            </w:pPr>
            <w:r>
              <w:t xml:space="preserve">Temporary suspension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Stop then start (reuses disks, fast)</w:t>
            </w:r>
          </w:p>
        </w:tc>
        <w:tc>
          <w:tcPr/>
          <w:p>
            <w:pPr>
              <w:pStyle w:val="Compact"/>
            </w:pPr>
            <w:r>
              <w:t xml:space="preserve">Recover from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Delete overlay, re-launch (data volume preserved, rootfs refreshed to latest version)</w:t>
            </w:r>
          </w:p>
        </w:tc>
        <w:tc>
          <w:tcPr/>
          <w:p>
            <w:pPr>
              <w:pStyle w:val="Compact"/>
            </w:pPr>
            <w:r>
              <w:t xml:space="preserve">System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Async: pause VM, compress data volume, resume VM, upload to S3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</w:tr>
    </w:tbl>
    <w:p>
      <w:pPr>
        <w:pStyle w:val="BodyText"/>
      </w:pPr>
      <w:r>
        <w:t xml:space="preserve">When creating a tenant, you can specify a</w:t>
      </w:r>
      <w:r>
        <w:t xml:space="preserve"> </w:t>
      </w:r>
      <w:r>
        <w:rPr>
          <w:rStyle w:val="VerbatimChar"/>
        </w:rPr>
        <w:t xml:space="preserve">config_template</w:t>
      </w:r>
      <w:r>
        <w:t xml:space="preserve"> </w:t>
      </w:r>
      <w:r>
        <w:t xml:space="preserve">parameter to apply a pre-configured OpenClaw configuration (LLM provider, model, API key) from S3-managed templates. You can also use</w:t>
      </w:r>
      <w:r>
        <w:t xml:space="preserve"> </w:t>
      </w:r>
      <w:r>
        <w:rPr>
          <w:rStyle w:val="VerbatimChar"/>
        </w:rPr>
        <w:t xml:space="preserve">restore_from</w:t>
      </w:r>
      <w:r>
        <w:t xml:space="preserve"> </w:t>
      </w:r>
      <w:r>
        <w:t xml:space="preserve">to create a new tenant from an existing backup.</w:t>
      </w:r>
    </w:p>
    <w:bookmarkEnd w:id="40"/>
    <w:bookmarkStart w:id="41" w:name="shared-skills"/>
    <w:p>
      <w:pPr>
        <w:pStyle w:val="Heading2"/>
      </w:pPr>
      <w:r>
        <w:t xml:space="preserve">Shared skills</w:t>
      </w:r>
    </w:p>
    <w:p>
      <w:pPr>
        <w:pStyle w:val="FirstParagraph"/>
      </w:pPr>
      <w:r>
        <w:t xml:space="preserve">All tenants share a unified set of skills (SKILL.md files) managed centrally in S3, while maintaining independent memory per tenant. The synchronization chain works as follows:</w:t>
      </w:r>
    </w:p>
    <w:p>
      <w:pPr>
        <w:pStyle w:val="Compact"/>
        <w:numPr>
          <w:ilvl w:val="0"/>
          <w:numId w:val="1005"/>
        </w:numPr>
      </w:pPr>
      <w:r>
        <w:t xml:space="preserve">You upload skills to</w:t>
      </w:r>
      <w:r>
        <w:t xml:space="preserve"> </w:t>
      </w:r>
      <w:r>
        <w:rPr>
          <w:rStyle w:val="VerbatimChar"/>
        </w:rPr>
        <w:t xml:space="preserve">s3://{bucket}/skills/</w:t>
      </w:r>
      <w:r>
        <w:t xml:space="preserve"> </w:t>
      </w:r>
      <w:r>
        <w:t xml:space="preserve">(for example, via</w:t>
      </w:r>
      <w:r>
        <w:t xml:space="preserve"> </w:t>
      </w:r>
      <w:r>
        <w:rPr>
          <w:rStyle w:val="VerbatimChar"/>
        </w:rPr>
        <w:t xml:space="preserve">aws s3 sync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cron job on each host syncs from S3 to</w:t>
      </w:r>
      <w:r>
        <w:t xml:space="preserve"> </w:t>
      </w:r>
      <w:r>
        <w:rPr>
          <w:rStyle w:val="VerbatimChar"/>
        </w:rPr>
        <w:t xml:space="preserve">/data/shared-skills/</w:t>
      </w:r>
      <w:r>
        <w:t xml:space="preserve"> </w:t>
      </w:r>
      <w:r>
        <w:t xml:space="preserve">every 5 minutes</w:t>
      </w:r>
    </w:p>
    <w:p>
      <w:pPr>
        <w:pStyle w:val="Compact"/>
        <w:numPr>
          <w:ilvl w:val="0"/>
          <w:numId w:val="1005"/>
        </w:numPr>
      </w:pPr>
      <w:r>
        <w:t xml:space="preserve">When a new VM launches,</w:t>
      </w:r>
      <w:r>
        <w:t xml:space="preserve"> </w:t>
      </w:r>
      <w:r>
        <w:rPr>
          <w:rStyle w:val="VerbatimChar"/>
        </w:rPr>
        <w:t xml:space="preserve">launch-vm.sh</w:t>
      </w:r>
      <w:r>
        <w:t xml:space="preserve"> </w:t>
      </w:r>
      <w:r>
        <w:t xml:space="preserve">mounts the data volume and copies skills into</w:t>
      </w:r>
      <w:r>
        <w:t xml:space="preserve"> </w:t>
      </w:r>
      <w:r>
        <w:rPr>
          <w:rStyle w:val="VerbatimChar"/>
        </w:rPr>
        <w:t xml:space="preserve">.openclaw/skills/</w:t>
      </w:r>
    </w:p>
    <w:p>
      <w:pPr>
        <w:pStyle w:val="Compact"/>
        <w:numPr>
          <w:ilvl w:val="0"/>
          <w:numId w:val="1005"/>
        </w:numPr>
      </w:pPr>
      <w:r>
        <w:t xml:space="preserve">Running VMs receive updated skills on their next host sync cycle</w:t>
      </w:r>
    </w:p>
    <w:bookmarkEnd w:id="41"/>
    <w:bookmarkStart w:id="42" w:name="auto-scaling-and-idle-reclamation"/>
    <w:p>
      <w:pPr>
        <w:pStyle w:val="Heading2"/>
      </w:pPr>
      <w:r>
        <w:t xml:space="preserve">Auto scaling and idle reclamation</w:t>
      </w:r>
    </w:p>
    <w:p>
      <w:pPr>
        <w:pStyle w:val="FirstParagraph"/>
      </w:pPr>
      <w:r>
        <w:rPr>
          <w:b/>
          <w:bCs/>
        </w:rPr>
        <w:t xml:space="preserve">Scale-out.</w:t>
      </w:r>
      <w:r>
        <w:t xml:space="preserve"> </w:t>
      </w:r>
      <w:r>
        <w:t xml:space="preserve">When you create a tenant and no host has sufficient resources (accounting for overcommit ratios), the tenant enters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state and the control plane increments the Auto Scaling group’s desired capacity. The host initialization process takes approximately 3–5 minutes (KVM setup, Firecracker installation, rootfs download from S3, DynamoDB self-registration, lifecycle hook completion). An EventBridge rule on the</w:t>
      </w:r>
      <w:r>
        <w:t xml:space="preserve"> </w:t>
      </w:r>
      <w:r>
        <w:rPr>
          <w:rStyle w:val="VerbatimChar"/>
        </w:rPr>
        <w:t xml:space="preserve">EC2 Instance Launch Successful</w:t>
      </w:r>
      <w:r>
        <w:t xml:space="preserve"> </w:t>
      </w:r>
      <w:r>
        <w:t xml:space="preserve">event triggers the API Lambda to assign all pending tenants to newly available hosts.</w:t>
      </w:r>
    </w:p>
    <w:p>
      <w:pPr>
        <w:pStyle w:val="BodyText"/>
      </w:pPr>
      <w:r>
        <w:rPr>
          <w:b/>
          <w:bCs/>
        </w:rPr>
        <w:t xml:space="preserve">Scale-in.</w:t>
      </w:r>
      <w:r>
        <w:t xml:space="preserve"> </w:t>
      </w:r>
      <w:r>
        <w:t xml:space="preserve">A scaler Lambda runs every 3 minutes and implements a two-round confirmation process to prevent premature termination:</w:t>
      </w:r>
    </w:p>
    <w:p>
      <w:pPr>
        <w:pStyle w:val="Compact"/>
        <w:numPr>
          <w:ilvl w:val="0"/>
          <w:numId w:val="1006"/>
        </w:numPr>
      </w:pPr>
      <w:r>
        <w:t xml:space="preserve">A host with</w:t>
      </w:r>
      <w:r>
        <w:t xml:space="preserve"> </w:t>
      </w:r>
      <w:r>
        <w:rPr>
          <w:rStyle w:val="VerbatimChar"/>
        </w:rPr>
        <w:t xml:space="preserve">vm_count=0</w:t>
      </w:r>
      <w:r>
        <w:t xml:space="preserve"> </w:t>
      </w:r>
      <w:r>
        <w:t xml:space="preserve">exceeding the configured</w:t>
      </w:r>
      <w:r>
        <w:t xml:space="preserve"> </w:t>
      </w:r>
      <w:r>
        <w:rPr>
          <w:rStyle w:val="VerbatimChar"/>
        </w:rPr>
        <w:t xml:space="preserve">idle_timeout_minutes</w:t>
      </w:r>
      <w:r>
        <w:t xml:space="preserve"> </w:t>
      </w:r>
      <w:r>
        <w:t xml:space="preserve">(default: 10) is marked</w:t>
      </w:r>
      <w:r>
        <w:t xml:space="preserve"> </w:t>
      </w:r>
      <w:r>
        <w:rPr>
          <w:rStyle w:val="VerbatimChar"/>
        </w:rPr>
        <w:t xml:space="preserve">idle</w:t>
      </w:r>
    </w:p>
    <w:p>
      <w:pPr>
        <w:pStyle w:val="Compact"/>
        <w:numPr>
          <w:ilvl w:val="0"/>
          <w:numId w:val="1006"/>
        </w:numPr>
      </w:pPr>
      <w:r>
        <w:t xml:space="preserve">On the next check, if the host is still idle and the Auto Scaling group’s desired capacity exceeds its minimum, the host is terminated via the ASG API with</w:t>
      </w:r>
      <w:r>
        <w:t xml:space="preserve"> </w:t>
      </w:r>
      <w:r>
        <w:rPr>
          <w:rStyle w:val="VerbatimChar"/>
        </w:rPr>
        <w:t xml:space="preserve">ShouldDecrementDesiredCapacity=True</w:t>
      </w:r>
    </w:p>
    <w:p>
      <w:pPr>
        <w:pStyle w:val="Compact"/>
        <w:numPr>
          <w:ilvl w:val="0"/>
          <w:numId w:val="1006"/>
        </w:numPr>
      </w:pPr>
      <w:r>
        <w:t xml:space="preserve">If a tenant is assigned to the host between rounds, the scaler automatically recovers the host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</w:t>
      </w:r>
    </w:p>
    <w:p>
      <w:pPr>
        <w:pStyle w:val="FirstParagraph"/>
      </w:pPr>
      <w:r>
        <w:t xml:space="preserve">A termination lifecycle hook triggers the API Lambda to clean up DynamoDB records and ALB rules for any tenants on the terminating host.</w:t>
      </w:r>
    </w:p>
    <w:bookmarkEnd w:id="42"/>
    <w:bookmarkStart w:id="43" w:name="two-tier-health-monitoring"/>
    <w:p>
      <w:pPr>
        <w:pStyle w:val="Heading2"/>
      </w:pPr>
      <w:r>
        <w:t xml:space="preserve">Two-tier health monitoring</w:t>
      </w:r>
    </w:p>
    <w:p>
      <w:pPr>
        <w:pStyle w:val="FirstParagraph"/>
      </w:pPr>
      <w:r>
        <w:t xml:space="preserve">Health monitoring uses a two-tier architecture for reliability:</w:t>
      </w:r>
    </w:p>
    <w:p>
      <w:pPr>
        <w:pStyle w:val="BodyText"/>
      </w:pPr>
      <w:r>
        <w:rPr>
          <w:b/>
          <w:bCs/>
        </w:rPr>
        <w:t xml:space="preserve">Primary: Host agent (every 5 seconds).</w:t>
      </w:r>
      <w:r>
        <w:t xml:space="preserve"> </w:t>
      </w:r>
      <w:r>
        <w:t xml:space="preserve">The agent runs as a systemd service on each host, probing all local VMs via ping and HTTP. It writes health status directly to DynamoDB, avoiding the latency and cost of per-tenant SSM commands. When a VM transitions from</w:t>
      </w:r>
      <w:r>
        <w:t xml:space="preserve"> </w:t>
      </w:r>
      <w:r>
        <w:rPr>
          <w:rStyle w:val="VerbatimChar"/>
        </w:rPr>
        <w:t xml:space="preserve">creating</w:t>
      </w:r>
      <w:r>
        <w:t xml:space="preserve"> </w:t>
      </w:r>
      <w:r>
        <w:t xml:space="preserve">to healthy, the agent reads the gateway token via SSH and promotes the tenant to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Secondary: Lambda watchdog (every 5 minutes).</w:t>
      </w:r>
      <w:r>
        <w:t xml:space="preserve"> </w:t>
      </w:r>
      <w:r>
        <w:t xml:space="preserve">The health check Lambda scans for running tenants with stale health data (no update for 2 minutes). If all tenants on a host are stale, the Lambda concludes the host agent itself is down and restarts it via SSM (</w:t>
      </w:r>
      <w:r>
        <w:rPr>
          <w:rStyle w:val="VerbatimChar"/>
        </w:rPr>
        <w:t xml:space="preserve">systemctl restart host-agent</w:t>
      </w:r>
      <w:r>
        <w:t xml:space="preserve">). A 10-minute cooldown prevents restart storms.</w:t>
      </w:r>
    </w:p>
    <w:bookmarkEnd w:id="43"/>
    <w:bookmarkStart w:id="48" w:name="backup-and-restore"/>
    <w:p>
      <w:pPr>
        <w:pStyle w:val="Heading2"/>
      </w:pPr>
      <w:r>
        <w:t xml:space="preserve">Backup and restore</w:t>
      </w:r>
    </w:p>
    <w:p>
      <w:pPr>
        <w:pStyle w:val="FirstParagraph"/>
      </w:pPr>
      <w:r>
        <w:t xml:space="preserve">EventBridge triggers daily backups of all running tenants’ data volumes to</w:t>
      </w:r>
      <w:r>
        <w:t xml:space="preserve"> </w:t>
      </w:r>
      <w:hyperlink r:id="rId44">
        <w:r>
          <w:rPr>
            <w:rStyle w:val="Hyperlink"/>
          </w:rPr>
          <w:t xml:space="preserve">Amazon S3</w:t>
        </w:r>
      </w:hyperlink>
      <w:r>
        <w:t xml:space="preserve">. The backup script on the host executes the following sequence:</w:t>
      </w:r>
    </w:p>
    <w:p>
      <w:pPr>
        <w:pStyle w:val="Compact"/>
        <w:numPr>
          <w:ilvl w:val="0"/>
          <w:numId w:val="1007"/>
        </w:numPr>
      </w:pPr>
      <w:r>
        <w:t xml:space="preserve">Pause the VM (Firecracker API, instant)</w:t>
      </w:r>
    </w:p>
    <w:p>
      <w:pPr>
        <w:pStyle w:val="Compact"/>
        <w:numPr>
          <w:ilvl w:val="0"/>
          <w:numId w:val="1007"/>
        </w:numPr>
      </w:pPr>
      <w:r>
        <w:t xml:space="preserve">Compress</w:t>
      </w:r>
      <w:r>
        <w:t xml:space="preserve"> </w:t>
      </w:r>
      <w:r>
        <w:rPr>
          <w:rStyle w:val="VerbatimChar"/>
        </w:rPr>
        <w:t xml:space="preserve">data.ext4</w:t>
      </w:r>
      <w:r>
        <w:t xml:space="preserve"> </w:t>
      </w:r>
      <w:r>
        <w:t xml:space="preserve">with pigz (parallel gzip)</w:t>
      </w:r>
    </w:p>
    <w:p>
      <w:pPr>
        <w:pStyle w:val="Compact"/>
        <w:numPr>
          <w:ilvl w:val="0"/>
          <w:numId w:val="1007"/>
        </w:numPr>
      </w:pPr>
      <w:r>
        <w:t xml:space="preserve">Resume the VM</w:t>
      </w:r>
    </w:p>
    <w:p>
      <w:pPr>
        <w:pStyle w:val="Compact"/>
        <w:numPr>
          <w:ilvl w:val="0"/>
          <w:numId w:val="1007"/>
        </w:numPr>
      </w:pPr>
      <w:r>
        <w:t xml:space="preserve">Upload the compressed file to</w:t>
      </w:r>
      <w:r>
        <w:t xml:space="preserve"> </w:t>
      </w:r>
      <w:r>
        <w:rPr>
          <w:rStyle w:val="VerbatimChar"/>
        </w:rPr>
        <w:t xml:space="preserve">s3://{bucket}/backups/{tenant-id}/{timestamp}.gz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trap</w:t>
      </w:r>
      <w:r>
        <w:t xml:space="preserve"> </w:t>
      </w:r>
      <w:r>
        <w:t xml:space="preserve">handler ensures the VM resumes even if compression or upload fails. S3 lifecycle rules (configured via a CDK CustomResource) automatically delete backups older than the retention period (default: 7 days).</w:t>
      </w:r>
    </w:p>
    <w:p>
      <w:pPr>
        <w:pStyle w:val="BodyText"/>
      </w:pPr>
      <w:r>
        <w:rPr>
          <w:i/>
          <w:iCs/>
        </w:rPr>
        <w:t xml:space="preserve">Figure 3. The Backups tab showing cross-tenant backup management with orphan detection.</w:t>
      </w:r>
    </w:p>
    <w:p>
      <w:pPr>
        <w:pStyle w:val="CaptionedFigure"/>
      </w:pPr>
      <w:r>
        <w:drawing>
          <wp:inline>
            <wp:extent cx="5334000" cy="3241458"/>
            <wp:effectExtent b="0" l="0" r="0" t="0"/>
            <wp:docPr descr="Web console — Backups tab" title="" id="46" name="Picture"/>
            <a:graphic>
              <a:graphicData uri="http://schemas.openxmlformats.org/drawingml/2006/picture">
                <pic:pic>
                  <pic:nvPicPr>
                    <pic:cNvPr descr="docs/web_console_backu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1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console — Backups tab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GET /backups</w:t>
      </w:r>
      <w:r>
        <w:t xml:space="preserve"> </w:t>
      </w:r>
      <w:r>
        <w:t xml:space="preserve">API returns all backups across all tenants, left-joined with the tenants table to mark each backup as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(source tenant exists) or</w:t>
      </w:r>
      <w:r>
        <w:t xml:space="preserve"> </w:t>
      </w:r>
      <w:r>
        <w:rPr>
          <w:rStyle w:val="VerbatimChar"/>
        </w:rPr>
        <w:t xml:space="preserve">orphan</w:t>
      </w:r>
      <w:r>
        <w:t xml:space="preserve"> </w:t>
      </w:r>
      <w:r>
        <w:t xml:space="preserve">(source tenant deleted). Restore creates a new tenant using a backup’s data volume — the source tenant does not need to exist:</w:t>
      </w:r>
    </w:p>
    <w:p>
      <w:pPr>
        <w:pStyle w:val="SourceCode"/>
      </w:pPr>
      <w:r>
        <w:rPr>
          <w:rStyle w:val="VerbatimChar"/>
        </w:rPr>
        <w:t xml:space="preserve"># Restore from the latest backup of a (possibly deleted) tenant</w:t>
      </w:r>
      <w:r>
        <w:br/>
      </w:r>
      <w:r>
        <w:rPr>
          <w:rStyle w:val="VerbatimChar"/>
        </w:rPr>
        <w:t xml:space="preserve">curl -s -X POST "${API_URL}tenants" \</w:t>
      </w:r>
      <w:r>
        <w:br/>
      </w:r>
      <w:r>
        <w:rPr>
          <w:rStyle w:val="VerbatimChar"/>
        </w:rPr>
        <w:t xml:space="preserve">  -H "x-api-key: ${API_KEY}"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"name": "restored-agent",</w:t>
      </w:r>
      <w:r>
        <w:br/>
      </w:r>
      <w:r>
        <w:rPr>
          <w:rStyle w:val="VerbatimChar"/>
        </w:rPr>
        <w:t xml:space="preserve">    "vcpu": 2, "mem_mb": 4096,</w:t>
      </w:r>
      <w:r>
        <w:br/>
      </w:r>
      <w:r>
        <w:rPr>
          <w:rStyle w:val="VerbatimChar"/>
        </w:rPr>
        <w:t xml:space="preserve">    "restore_from": {"tenant_id": "original-agent-ab12"}</w:t>
      </w:r>
      <w:r>
        <w:br/>
      </w:r>
      <w:r>
        <w:rPr>
          <w:rStyle w:val="VerbatimChar"/>
        </w:rPr>
        <w:t xml:space="preserve">  }' | jq .</w:t>
      </w:r>
      <w:r>
        <w:br/>
      </w:r>
      <w:r>
        <w:br/>
      </w:r>
      <w:r>
        <w:rPr>
          <w:rStyle w:val="VerbatimChar"/>
        </w:rPr>
        <w:t xml:space="preserve"># Restore from a specific timestamp</w:t>
      </w:r>
      <w:r>
        <w:br/>
      </w:r>
      <w:r>
        <w:rPr>
          <w:rStyle w:val="VerbatimChar"/>
        </w:rPr>
        <w:t xml:space="preserve">curl -s -X POST "${API_URL}tenants" \</w:t>
      </w:r>
      <w:r>
        <w:br/>
      </w:r>
      <w:r>
        <w:rPr>
          <w:rStyle w:val="VerbatimChar"/>
        </w:rPr>
        <w:t xml:space="preserve">  -H "x-api-key: ${API_KEY}"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"name": "restored-agent",</w:t>
      </w:r>
      <w:r>
        <w:br/>
      </w:r>
      <w:r>
        <w:rPr>
          <w:rStyle w:val="VerbatimChar"/>
        </w:rPr>
        <w:t xml:space="preserve">    "restore_from": {"tenant_id": "original-agent-ab12", "timestamp": "20260428-125402"}</w:t>
      </w:r>
      <w:r>
        <w:br/>
      </w:r>
      <w:r>
        <w:rPr>
          <w:rStyle w:val="VerbatimChar"/>
        </w:rPr>
        <w:t xml:space="preserve">  }' | jq .</w:t>
      </w:r>
    </w:p>
    <w:bookmarkEnd w:id="48"/>
    <w:bookmarkStart w:id="52" w:name="X7061ba05ea7e1939f02150291cd9571e0c85f91"/>
    <w:p>
      <w:pPr>
        <w:pStyle w:val="Heading2"/>
      </w:pPr>
      <w:r>
        <w:t xml:space="preserve">Cost optimization: multi-layer overcommit and resource efficiency</w:t>
      </w:r>
    </w:p>
    <w:p>
      <w:pPr>
        <w:pStyle w:val="FirstParagraph"/>
      </w:pPr>
      <w:r>
        <w:t xml:space="preserve">OpenClaw Pool implements multiple layers of cost optimization, from compute scheduling to storage efficiency. The following table summarizes each layer and its impact: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777"/>
        <w:gridCol w:w="2586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Typical savings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overcommit</w:t>
            </w:r>
          </w:p>
        </w:tc>
        <w:tc>
          <w:tcPr/>
          <w:p>
            <w:pPr>
              <w:pStyle w:val="Compact"/>
            </w:pPr>
            <w:r>
              <w:t xml:space="preserve">Schedule more vCPUs than physical cores. AI agents are typically bursty — idle most of the time, active during inference.</w:t>
            </w:r>
          </w:p>
        </w:tc>
        <w:tc>
          <w:tcPr/>
          <w:p>
            <w:pPr>
              <w:pStyle w:val="Compact"/>
            </w:pPr>
            <w:r>
              <w:t xml:space="preserve">2x density 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cpu_overcommit_ratio: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overcommit + Balloon</w:t>
            </w:r>
          </w:p>
        </w:tc>
        <w:tc>
          <w:tcPr/>
          <w:p>
            <w:pPr>
              <w:pStyle w:val="Compact"/>
            </w:pPr>
            <w:r>
              <w:t xml:space="preserve">Schedule more memory than physical RAM. Firecracker’s balloon device dynamically reclaims idle memory from VMs and returns it when needed.</w:t>
            </w:r>
          </w:p>
        </w:tc>
        <w:tc>
          <w:tcPr/>
          <w:p>
            <w:pPr>
              <w:pStyle w:val="Compact"/>
            </w:pPr>
            <w:r>
              <w:t xml:space="preserve">1.5x density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mem_overcommit_ratio: 1.5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balloon.enabled: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rootfs (OverlayFS)</w:t>
            </w:r>
          </w:p>
        </w:tc>
        <w:tc>
          <w:tcPr/>
          <w:p>
            <w:pPr>
              <w:pStyle w:val="Compact"/>
            </w:pPr>
            <w:r>
              <w:t xml:space="preserve">All VMs on a host share a single read-only rootfs image (~1.5 GB). Each VM only stores its delta writes in a 2 GB sparse overlay file. Actual disk usage per VM is typically 50–200 MB.</w:t>
            </w:r>
          </w:p>
        </w:tc>
        <w:tc>
          <w:tcPr/>
          <w:p>
            <w:pPr>
              <w:pStyle w:val="Compact"/>
            </w:pPr>
            <w:r>
              <w:t xml:space="preserve">~90% rootfs storage savings</w:t>
            </w:r>
          </w:p>
        </w:tc>
        <w:tc>
          <w:tcPr/>
          <w:p>
            <w:pPr>
              <w:pStyle w:val="Compact"/>
            </w:pPr>
            <w:r>
              <w:t xml:space="preserve">Built-in, no configuration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data volumes</w:t>
            </w:r>
          </w:p>
        </w:tc>
        <w:tc>
          <w:tcPr/>
          <w:p>
            <w:pPr>
              <w:pStyle w:val="Compact"/>
            </w:pPr>
            <w:r>
              <w:t xml:space="preserve">Data volumes use</w:t>
            </w:r>
            <w:r>
              <w:t xml:space="preserve"> </w:t>
            </w:r>
            <w:r>
              <w:rPr>
                <w:rStyle w:val="VerbatimChar"/>
              </w:rPr>
              <w:t xml:space="preserve">cp --sparse=always</w:t>
            </w:r>
            <w:r>
              <w:t xml:space="preserve"> </w:t>
            </w:r>
            <w:r>
              <w:t xml:space="preserve">for template copying and</w:t>
            </w:r>
            <w:r>
              <w:t xml:space="preserve"> </w:t>
            </w:r>
            <w:r>
              <w:rPr>
                <w:rStyle w:val="VerbatimChar"/>
              </w:rPr>
              <w:t xml:space="preserve">fallocate --dig-holes</w:t>
            </w:r>
            <w:r>
              <w:t xml:space="preserve"> </w:t>
            </w:r>
            <w:r>
              <w:t xml:space="preserve">after decompression. A nominally 8 GB data volume may consume only 1–2 GB of actual disk blocks.</w:t>
            </w:r>
          </w:p>
        </w:tc>
        <w:tc>
          <w:tcPr/>
          <w:p>
            <w:pPr>
              <w:pStyle w:val="Compact"/>
            </w:pPr>
            <w:r>
              <w:t xml:space="preserve">~75% data storage savings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 instances</w:t>
            </w:r>
          </w:p>
        </w:tc>
        <w:tc>
          <w:tcPr/>
          <w:p>
            <w:pPr>
              <w:pStyle w:val="Compact"/>
            </w:pPr>
            <w:r>
              <w:t xml:space="preserve">EC2 Spot pricing for host instances.</w:t>
            </w:r>
          </w:p>
        </w:tc>
        <w:tc>
          <w:tcPr/>
          <w:p>
            <w:pPr>
              <w:pStyle w:val="Compact"/>
            </w:pPr>
            <w:r>
              <w:t xml:space="preserve">60–70% compute cost reduction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asg.use_spot: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host auto-reclamation</w:t>
            </w:r>
          </w:p>
        </w:tc>
        <w:tc>
          <w:tcPr/>
          <w:p>
            <w:pPr>
              <w:pStyle w:val="Compact"/>
            </w:pPr>
            <w:r>
              <w:t xml:space="preserve">Two-round confirmation: empty hosts are marked idle, then terminated on the next check if still empty. No paying for hosts with zero tenants.</w:t>
            </w:r>
          </w:p>
        </w:tc>
        <w:tc>
          <w:tcPr/>
          <w:p>
            <w:pPr>
              <w:pStyle w:val="Compact"/>
            </w:pPr>
            <w:r>
              <w:t xml:space="preserve">Eliminates idle waste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scaler.idle_timeout_minutes: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Serverless control plane</w:t>
            </w:r>
          </w:p>
        </w:tc>
        <w:tc>
          <w:tcPr/>
          <w:p>
            <w:pPr>
              <w:pStyle w:val="Compact"/>
            </w:pPr>
            <w:r>
              <w:t xml:space="preserve">Lambda + DynamoDB on-demand + EventBridge. Zero cost when no API calls or scheduled events are firing.</w:t>
            </w:r>
          </w:p>
        </w:tc>
        <w:tc>
          <w:tcPr/>
          <w:p>
            <w:pPr>
              <w:pStyle w:val="Compact"/>
            </w:pPr>
            <w:r>
              <w:t xml:space="preserve">Near-zero baseline cost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Firecracker minimal overhead</w:t>
            </w:r>
          </w:p>
        </w:tc>
        <w:tc>
          <w:tcPr/>
          <w:p>
            <w:pPr>
              <w:pStyle w:val="Compact"/>
            </w:pPr>
            <w:r>
              <w:t xml:space="preserve">Each microVM consumes &lt;5 MB of host memory for the VMM process itself, compared to ~500 MB+ for a full QEMU/KVM virtual machine.</w:t>
            </w:r>
          </w:p>
        </w:tc>
        <w:tc>
          <w:tcPr/>
          <w:p>
            <w:pPr>
              <w:pStyle w:val="Compact"/>
            </w:pPr>
            <w:r>
              <w:t xml:space="preserve">~100x lower per-VM overhead</w:t>
            </w:r>
          </w:p>
        </w:tc>
        <w:tc>
          <w:tcPr/>
          <w:p>
            <w:pPr>
              <w:pStyle w:val="Compact"/>
            </w:pPr>
            <w:r>
              <w:t xml:space="preserve">Built-in</w:t>
            </w:r>
          </w:p>
        </w:tc>
      </w:tr>
    </w:tbl>
    <w:bookmarkStart w:id="49" w:name="cpu-overcommit-in-detail"/>
    <w:p>
      <w:pPr>
        <w:pStyle w:val="Heading3"/>
      </w:pPr>
      <w:r>
        <w:t xml:space="preserve">CPU overcommit in detail</w:t>
      </w:r>
    </w:p>
    <w:p>
      <w:pPr>
        <w:pStyle w:val="FirstParagraph"/>
      </w:pPr>
      <w:r>
        <w:t xml:space="preserve">AI agent workloads are inherently bursty: an agent spends most of its time waiting for user input or LLM API responses, with brief CPU spikes during tool execution. A</w:t>
      </w:r>
      <w:r>
        <w:t xml:space="preserve"> </w:t>
      </w:r>
      <w:r>
        <w:rPr>
          <w:rStyle w:val="VerbatimChar"/>
        </w:rPr>
        <w:t xml:space="preserve">cpu_overcommit_ratio</w:t>
      </w:r>
      <w:r>
        <w:t xml:space="preserve"> </w:t>
      </w:r>
      <w:r>
        <w:t xml:space="preserve">of 2.0 means an 8-vCPU host can schedule 16 vCPUs across its tenants. The Linux CFS scheduler on the host transparently time-shares the physical cores. This is safe as long as not all tenants burst simultaneously — which is statistically unlikely for AI agent workloads.</w:t>
      </w:r>
    </w:p>
    <w:bookmarkEnd w:id="49"/>
    <w:bookmarkStart w:id="50" w:name="memory-overcommit-with-balloon-in-detail"/>
    <w:p>
      <w:pPr>
        <w:pStyle w:val="Heading3"/>
      </w:pPr>
      <w:r>
        <w:t xml:space="preserve">Memory overcommit with balloon in detail</w:t>
      </w:r>
    </w:p>
    <w:p>
      <w:pPr>
        <w:pStyle w:val="FirstParagraph"/>
      </w:pPr>
      <w:r>
        <w:t xml:space="preserve">Memory overcommit requires the Firecracker balloon device to be effective. Without it, overcommit is purely a scheduling optimization — the host kernel may OOM-kill Firecracker processes if physical memory is exhausted.</w:t>
      </w:r>
    </w:p>
    <w:p>
      <w:pPr>
        <w:pStyle w:val="SourceCode"/>
      </w:pPr>
      <w:r>
        <w:rPr>
          <w:rStyle w:val="VerbatimChar"/>
        </w:rPr>
        <w:t xml:space="preserve">balloon:</w:t>
      </w:r>
      <w:r>
        <w:br/>
      </w:r>
      <w:r>
        <w:rPr>
          <w:rStyle w:val="VerbatimChar"/>
        </w:rPr>
        <w:t xml:space="preserve">  enabled: true</w:t>
      </w:r>
      <w:r>
        <w:br/>
      </w:r>
      <w:r>
        <w:rPr>
          <w:rStyle w:val="VerbatimChar"/>
        </w:rPr>
        <w:t xml:space="preserve">  max_inflate_ratio: 0.4       # Reclaim up to 40% of a VM's declared memory</w:t>
      </w:r>
      <w:r>
        <w:br/>
      </w:r>
      <w:r>
        <w:rPr>
          <w:rStyle w:val="VerbatimChar"/>
        </w:rPr>
        <w:t xml:space="preserve">  min_guest_available_mb: 512  # Never reduce guest available memory below 512 MB</w:t>
      </w:r>
      <w:r>
        <w:br/>
      </w:r>
      <w:r>
        <w:rPr>
          <w:rStyle w:val="VerbatimChar"/>
        </w:rPr>
        <w:t xml:space="preserve">  deflate_on_oom: true         # Automatically return memory when guest hits OOM</w:t>
      </w:r>
      <w:r>
        <w:br/>
      </w:r>
      <w:r>
        <w:rPr>
          <w:rStyle w:val="VerbatimChar"/>
        </w:rPr>
        <w:t xml:space="preserve">  free_page_reporting: true    # Guest proactively reports free pages to host</w:t>
      </w:r>
    </w:p>
    <w:p>
      <w:pPr>
        <w:pStyle w:val="FirstParagraph"/>
      </w:pPr>
      <w:r>
        <w:t xml:space="preserve">The host agent reads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every 5 seconds and adjusts balloon targets:</w:t>
      </w:r>
    </w:p>
    <w:p>
      <w:pPr>
        <w:pStyle w:val="Compact"/>
        <w:numPr>
          <w:ilvl w:val="0"/>
          <w:numId w:val="1008"/>
        </w:numPr>
      </w:pPr>
      <w:r>
        <w:t xml:space="preserve">Host available memory &lt; 20% → inflate balloons on VMs with spare memory (reclaim to host)</w:t>
      </w:r>
    </w:p>
    <w:p>
      <w:pPr>
        <w:pStyle w:val="Compact"/>
        <w:numPr>
          <w:ilvl w:val="0"/>
          <w:numId w:val="1008"/>
        </w:numPr>
      </w:pPr>
      <w:r>
        <w:t xml:space="preserve">Host available memory &gt; 40% → deflate balloons (return memory to VMs)</w:t>
      </w:r>
    </w:p>
    <w:p>
      <w:pPr>
        <w:pStyle w:val="Compact"/>
        <w:numPr>
          <w:ilvl w:val="0"/>
          <w:numId w:val="1008"/>
        </w:numPr>
      </w:pPr>
      <w:r>
        <w:t xml:space="preserve">20%–40% hysteresis band prevents oscillation</w:t>
      </w:r>
    </w:p>
    <w:p>
      <w:pPr>
        <w:pStyle w:val="Compact"/>
        <w:numPr>
          <w:ilvl w:val="0"/>
          <w:numId w:val="1008"/>
        </w:numPr>
      </w:pPr>
      <w:r>
        <w:t xml:space="preserve">Each VM retains at least</w:t>
      </w:r>
      <w:r>
        <w:t xml:space="preserve"> </w:t>
      </w:r>
      <w:r>
        <w:rPr>
          <w:rStyle w:val="VerbatimChar"/>
        </w:rPr>
        <w:t xml:space="preserve">min_guest_available_mb</w:t>
      </w:r>
      <w:r>
        <w:t xml:space="preserve">, preventing over-reclamation</w:t>
      </w:r>
    </w:p>
    <w:bookmarkEnd w:id="50"/>
    <w:bookmarkStart w:id="51" w:name="cost-example"/>
    <w:p>
      <w:pPr>
        <w:pStyle w:val="Heading3"/>
      </w:pPr>
      <w:r>
        <w:t xml:space="preserve">Cost example</w:t>
      </w:r>
    </w:p>
    <w:p>
      <w:pPr>
        <w:pStyle w:val="FirstParagraph"/>
      </w:pPr>
      <w:r>
        <w:t xml:space="preserve">Consider a single</w:t>
      </w:r>
      <w:r>
        <w:t xml:space="preserve"> </w:t>
      </w:r>
      <w:r>
        <w:rPr>
          <w:rStyle w:val="VerbatimChar"/>
        </w:rPr>
        <w:t xml:space="preserve">m8i.2xlarge</w:t>
      </w:r>
      <w:r>
        <w:t xml:space="preserve"> </w:t>
      </w:r>
      <w:r>
        <w:t xml:space="preserve">host (8 vCPU, 32 GB RAM, ~$0.46/hr on-demand in us-east-1):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Overcommit</w:t>
            </w:r>
          </w:p>
        </w:tc>
        <w:tc>
          <w:tcPr/>
          <w:p>
            <w:pPr>
              <w:pStyle w:val="Compact"/>
            </w:pPr>
            <w:r>
              <w:t xml:space="preserve">Tenants per host</w:t>
            </w:r>
          </w:p>
        </w:tc>
        <w:tc>
          <w:tcPr/>
          <w:p>
            <w:pPr>
              <w:pStyle w:val="Compact"/>
            </w:pPr>
            <w:r>
              <w:t xml:space="preserve">Cost per tenant/hr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overcommit</w:t>
            </w:r>
          </w:p>
        </w:tc>
        <w:tc>
          <w:tcPr/>
          <w:p>
            <w:pPr>
              <w:pStyle w:val="Compact"/>
            </w:pPr>
            <w:r>
              <w:t xml:space="preserve">1.0x CPU, 1.0x Mem</w:t>
            </w:r>
          </w:p>
        </w:tc>
        <w:tc>
          <w:tcPr/>
          <w:p>
            <w:pPr>
              <w:pStyle w:val="Compact"/>
            </w:pPr>
            <w:r>
              <w:t xml:space="preserve">3 (2C/8G each)</w:t>
            </w:r>
          </w:p>
        </w:tc>
        <w:tc>
          <w:tcPr/>
          <w:p>
            <w:pPr>
              <w:pStyle w:val="Compact"/>
            </w:pPr>
            <w:r>
              <w:t xml:space="preserve">~$0.15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overcommit only</w:t>
            </w:r>
          </w:p>
        </w:tc>
        <w:tc>
          <w:tcPr/>
          <w:p>
            <w:pPr>
              <w:pStyle w:val="Compact"/>
            </w:pPr>
            <w:r>
              <w:t xml:space="preserve">2.0x CPU, 1.0x Mem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~$0.08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overcommit</w:t>
            </w:r>
          </w:p>
        </w:tc>
        <w:tc>
          <w:tcPr/>
          <w:p>
            <w:pPr>
              <w:pStyle w:val="Compact"/>
            </w:pPr>
            <w:r>
              <w:t xml:space="preserve">2.0x CPU, 1.5x Mem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~$0.05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overcommit + Spot</w:t>
            </w:r>
          </w:p>
        </w:tc>
        <w:tc>
          <w:tcPr/>
          <w:p>
            <w:pPr>
              <w:pStyle w:val="Compact"/>
            </w:pPr>
            <w:r>
              <w:t xml:space="preserve">2.0x CPU, 1.5x Mem, Spot</w:t>
            </w:r>
          </w:p>
        </w:tc>
        <w:tc>
          <w:tcPr/>
          <w:p>
            <w:pPr>
              <w:pStyle w:val="Compact"/>
            </w:pPr>
            <w:r>
              <w:t xml:space="preserve">8–10</w:t>
            </w:r>
          </w:p>
        </w:tc>
        <w:tc>
          <w:tcPr/>
          <w:p>
            <w:pPr>
              <w:pStyle w:val="Compact"/>
            </w:pPr>
            <w:r>
              <w:t xml:space="preserve">~$0.015</w:t>
            </w:r>
          </w:p>
        </w:tc>
      </w:tr>
    </w:tbl>
    <w:p>
      <w:pPr>
        <w:pStyle w:val="BodyText"/>
      </w:pPr>
      <w:r>
        <w:t xml:space="preserve">The web console visualizes overcommit on the host resource bars: a marker indicates the physical capacity boundary, and the fill extends beyond it when overcommitted resources are allocated.</w:t>
      </w:r>
    </w:p>
    <w:bookmarkEnd w:id="51"/>
    <w:bookmarkEnd w:id="52"/>
    <w:bookmarkStart w:id="56" w:name="web-management-console"/>
    <w:p>
      <w:pPr>
        <w:pStyle w:val="Heading2"/>
      </w:pPr>
      <w:r>
        <w:t xml:space="preserve">Web management console</w:t>
      </w:r>
    </w:p>
    <w:p>
      <w:pPr>
        <w:pStyle w:val="FirstParagraph"/>
      </w:pPr>
      <w:r>
        <w:t xml:space="preserve">The project includes a web-based management console, hosted on CloudFront and built with Alpine.js as a zero-dependency single-page application.</w:t>
      </w:r>
    </w:p>
    <w:p>
      <w:pPr>
        <w:pStyle w:val="BodyText"/>
      </w:pPr>
      <w:r>
        <w:rPr>
          <w:i/>
          <w:iCs/>
        </w:rPr>
        <w:t xml:space="preserve">Figure 4. The Tenants tab showing host resource utilization and tenant status.</w:t>
      </w:r>
    </w:p>
    <w:p>
      <w:pPr>
        <w:pStyle w:val="CaptionedFigure"/>
      </w:pPr>
      <w:r>
        <w:drawing>
          <wp:inline>
            <wp:extent cx="5334000" cy="3100816"/>
            <wp:effectExtent b="0" l="0" r="0" t="0"/>
            <wp:docPr descr="Web console — Tenants tab" title="" id="54" name="Picture"/>
            <a:graphic>
              <a:graphicData uri="http://schemas.openxmlformats.org/drawingml/2006/picture">
                <pic:pic>
                  <pic:nvPicPr>
                    <pic:cNvPr descr="docs/web_consol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console — Tenants tab</w:t>
      </w:r>
    </w:p>
    <w:p>
      <w:pPr>
        <w:pStyle w:val="BodyText"/>
      </w:pPr>
      <w:r>
        <w:t xml:space="preserve">The console provides four tabs: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Tenants</w:t>
      </w:r>
      <w:r>
        <w:t xml:space="preserve"> </w:t>
      </w:r>
      <w:r>
        <w:t xml:space="preserve">— Host resource dashboard with CPU/memory utilization bars (including overcommit visualization with physical capacity markers), tenant list with VM and gateway health indicators, and one-click actions (start, stop, pause, resume, restart, reset, delete, open dashboard). Supports filtering by host and by status.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— Configuration template CRUD (create, edit, delete OpenClaw JSON configs for different LLM providers), and shared skills listing with descriptions parsed from SKILL.md frontmatter.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Backups</w:t>
      </w:r>
      <w:r>
        <w:t xml:space="preserve"> </w:t>
      </w:r>
      <w:r>
        <w:t xml:space="preserve">— Cross-tenant backup browser with per-tenant grouping (collapsible history), orphan backup filtering, size and timestamp display, and one-click restore into a new tenant.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Settings</w:t>
      </w:r>
      <w:r>
        <w:t xml:space="preserve"> </w:t>
      </w:r>
      <w:r>
        <w:t xml:space="preserve">— API connection configuration (URL and key with visibility toggle), AgentCore status, system version, and GitHub project link.</w:t>
      </w:r>
    </w:p>
    <w:p>
      <w:pPr>
        <w:pStyle w:val="FirstParagraph"/>
      </w:pPr>
      <w:r>
        <w:t xml:space="preserve">Optional Cognito authentication protects the console with an OAuth2 implicit flow — when enabled, users must sign in before accessing any tab.</w:t>
      </w:r>
    </w:p>
    <w:bookmarkEnd w:id="56"/>
    <w:bookmarkStart w:id="57" w:name="optional-agentcore-integration"/>
    <w:p>
      <w:pPr>
        <w:pStyle w:val="Heading2"/>
      </w:pPr>
      <w:r>
        <w:t xml:space="preserve">Optional: AgentCore integration</w:t>
      </w:r>
    </w:p>
    <w:p>
      <w:pPr>
        <w:pStyle w:val="FirstParagraph"/>
      </w:pPr>
      <w:r>
        <w:t xml:space="preserve">When you enable AgentCore in</w:t>
      </w:r>
      <w:r>
        <w:t xml:space="preserve"> </w:t>
      </w:r>
      <w:r>
        <w:rPr>
          <w:rStyle w:val="VerbatimChar"/>
        </w:rPr>
        <w:t xml:space="preserve">config.yml</w:t>
      </w:r>
      <w:r>
        <w:t xml:space="preserve">, the CDK stack provisions the following</w:t>
      </w:r>
      <w:r>
        <w:t xml:space="preserve"> </w:t>
      </w:r>
      <w:hyperlink r:id="rId34">
        <w:r>
          <w:rPr>
            <w:rStyle w:val="Hyperlink"/>
          </w:rPr>
          <w:t xml:space="preserve">Amazon Bedrock AgentCore</w:t>
        </w:r>
      </w:hyperlink>
      <w:r>
        <w:t xml:space="preserve"> </w:t>
      </w:r>
      <w:r>
        <w:t xml:space="preserve">resources: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Gateway</w:t>
      </w:r>
      <w:r>
        <w:t xml:space="preserve"> </w:t>
      </w:r>
      <w:r>
        <w:t xml:space="preserve">— An MCP-compatible tool hub with Lambda-backed tools (registered via the</w:t>
      </w:r>
      <w:r>
        <w:t xml:space="preserve"> </w:t>
      </w:r>
      <w:r>
        <w:rPr>
          <w:rStyle w:val="VerbatimChar"/>
        </w:rPr>
        <w:t xml:space="preserve">agentcore_tools</w:t>
      </w:r>
      <w:r>
        <w:t xml:space="preserve"> </w:t>
      </w:r>
      <w:r>
        <w:t xml:space="preserve">Lambda). The gateway URL is automatically injected into each VM’s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t xml:space="preserve">as an MCP server.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— Per-tenant persistent memory with semantic and user-preference strategies, namespaced by tenant ID.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 Interpreter</w:t>
      </w:r>
      <w:r>
        <w:t xml:space="preserve"> </w:t>
      </w:r>
      <w:r>
        <w:t xml:space="preserve">— Secure sandboxed Python execution environment.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Browser</w:t>
      </w:r>
      <w:r>
        <w:t xml:space="preserve"> </w:t>
      </w:r>
      <w:r>
        <w:t xml:space="preserve">— Cloud-based web automation capability.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Workload Identity</w:t>
      </w:r>
      <w:r>
        <w:t xml:space="preserve"> </w:t>
      </w:r>
      <w:r>
        <w:t xml:space="preserve">— IAM identity for agent AWS access.</w:t>
      </w:r>
    </w:p>
    <w:p>
      <w:pPr>
        <w:pStyle w:val="FirstParagraph"/>
      </w:pPr>
      <w:r>
        <w:t xml:space="preserve">Each VM automatically connects to these services at launch — no per-tenant configuration required.</w:t>
      </w:r>
    </w:p>
    <w:bookmarkEnd w:id="57"/>
    <w:bookmarkStart w:id="59" w:name="considerations-and-limitations"/>
    <w:p>
      <w:pPr>
        <w:pStyle w:val="Heading2"/>
      </w:pPr>
      <w:r>
        <w:t xml:space="preserve">Considerations and limitations</w:t>
      </w:r>
    </w:p>
    <w:p>
      <w:pPr>
        <w:pStyle w:val="FirstParagraph"/>
      </w:pPr>
      <w:r>
        <w:t xml:space="preserve">When evaluating this solution for your use case, consider the following: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Tenant scale limit.</w:t>
      </w:r>
      <w:r>
        <w:t xml:space="preserve"> </w:t>
      </w:r>
      <w:r>
        <w:t xml:space="preserve">The ALB listener supports up to 100 rules by default (200 with a quota increase request). Each tenant requires one path-based rule, so the maximum number of tenants per cluster is approximately 200. For larger deployments, you would need to modify the routing architecture (for example, host-header-based routing or a custom proxy layer).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Instance family requirement.</w:t>
      </w:r>
      <w:r>
        <w:t xml:space="preserve"> </w:t>
      </w:r>
      <w:r>
        <w:t xml:space="preserve">Nested virtualization on AWS currently requires Intel-based instances (c8i, m8i, r8i families). AMD and Graviton instances are not supported.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GPU passthrough.</w:t>
      </w:r>
      <w:r>
        <w:t xml:space="preserve"> </w:t>
      </w:r>
      <w:r>
        <w:t xml:space="preserve">Firecracker does not support GPU device passthrough. This solution is designed for CPU-based AI agent workloads.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Single-AZ deployment.</w:t>
      </w:r>
      <w:r>
        <w:t xml:space="preserve"> </w:t>
      </w:r>
      <w:r>
        <w:t xml:space="preserve">The default deployment uses a single Availability Zone within the default VPC. For production workloads requiring high availability, you would need to extend the architecture with cross-AZ considerations.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Sample project status.</w:t>
      </w:r>
      <w:r>
        <w:t xml:space="preserve"> </w:t>
      </w:r>
      <w:r>
        <w:t xml:space="preserve">This is a reference architecture published under</w:t>
      </w:r>
      <w:r>
        <w:t xml:space="preserve"> </w:t>
      </w:r>
      <w:hyperlink r:id="rId58">
        <w:r>
          <w:rPr>
            <w:rStyle w:val="Hyperlink"/>
          </w:rPr>
          <w:t xml:space="preserve">aws-samples</w:t>
        </w:r>
      </w:hyperlink>
      <w:r>
        <w:t xml:space="preserve">. It is intended for learning and experimentation, not for production use without additional hardening (for example, encryption at rest, VPC endpoints, WAF integration).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DynamoDB scan operations.</w:t>
      </w:r>
      <w:r>
        <w:t xml:space="preserve"> </w:t>
      </w:r>
      <w:r>
        <w:t xml:space="preserve">The tenant and host listing operations use DynamoDB full-table scans, which may become less efficient as the number of tenants grows. For deployments approaching the 200-tenant limit, consider adding Global Secondary Indexes.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SSM command concurrency.</w:t>
      </w:r>
      <w:r>
        <w:t xml:space="preserve"> </w:t>
      </w:r>
      <w:r>
        <w:t xml:space="preserve">All VM operations are executed via SSM Run Command. Concurrent operations on many tenants may be subject to SSM API throttling limits.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Spot instance risk.</w:t>
      </w:r>
      <w:r>
        <w:t xml:space="preserve"> </w:t>
      </w:r>
      <w:r>
        <w:t xml:space="preserve">The optional Spot instance mode (</w:t>
      </w:r>
      <w:r>
        <w:rPr>
          <w:rStyle w:val="VerbatimChar"/>
        </w:rPr>
        <w:t xml:space="preserve">use_spot: true</w:t>
      </w:r>
      <w:r>
        <w:t xml:space="preserve">) reduces costs by 60–70% but introduces the risk of instance reclamation. All tenants on a reclaimed host are terminated (the termination lifecycle hook cleans up DynamoDB records).</w:t>
      </w:r>
    </w:p>
    <w:bookmarkEnd w:id="59"/>
    <w:bookmarkStart w:id="60" w:name="best-practices"/>
    <w:p>
      <w:pPr>
        <w:pStyle w:val="Heading2"/>
      </w:pPr>
      <w:r>
        <w:t xml:space="preserve">Best practices</w:t>
      </w:r>
    </w:p>
    <w:p>
      <w:pPr>
        <w:pStyle w:val="FirstParagraph"/>
      </w:pPr>
      <w:r>
        <w:t xml:space="preserve">When deploying and operating OpenClaw Pool, we recommend the following:</w:t>
      </w:r>
    </w:p>
    <w:p>
      <w:pPr>
        <w:pStyle w:val="Compact"/>
        <w:numPr>
          <w:ilvl w:val="0"/>
          <w:numId w:val="1012"/>
        </w:numPr>
      </w:pPr>
      <w:r>
        <w:t xml:space="preserve">Start with conservative overcommit ratios (CPU 1.5x, memory 1.0x) and increase based on observed workload patterns. Monitor the host agent’s balloon statistics to understand actual memory utilization.</w:t>
      </w:r>
    </w:p>
    <w:p>
      <w:pPr>
        <w:pStyle w:val="Compact"/>
        <w:numPr>
          <w:ilvl w:val="0"/>
          <w:numId w:val="1012"/>
        </w:numPr>
      </w:pPr>
      <w:r>
        <w:t xml:space="preserve">Enable the balloon device when using memory overcommit. Without it, memory overcommit is purely a scheduling optimization — the host kernel may OOM-kill Firecracker processes if physical memory is exhausted.</w:t>
      </w:r>
    </w:p>
    <w:p>
      <w:pPr>
        <w:pStyle w:val="Compact"/>
        <w:numPr>
          <w:ilvl w:val="0"/>
          <w:numId w:val="1012"/>
        </w:numPr>
      </w:pPr>
      <w:r>
        <w:t xml:space="preserve">Use configuration templates to standardize LLM provider settings across tenants, reducing configuration drift.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template is protected from deletion.</w:t>
      </w:r>
    </w:p>
    <w:p>
      <w:pPr>
        <w:pStyle w:val="Compact"/>
        <w:numPr>
          <w:ilvl w:val="0"/>
          <w:numId w:val="1012"/>
        </w:numPr>
      </w:pPr>
      <w:r>
        <w:t xml:space="preserve">Use the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action (which preserves the data volume but refreshes the rootfs overlay to the latest version) rather than delete-and-recreate when you need to update a tenant’s base system.</w:t>
      </w:r>
    </w:p>
    <w:p>
      <w:pPr>
        <w:pStyle w:val="Compact"/>
        <w:numPr>
          <w:ilvl w:val="0"/>
          <w:numId w:val="1012"/>
        </w:numPr>
      </w:pPr>
      <w:r>
        <w:t xml:space="preserve">For cost optimization, consider Spot instances for non-critical workloads (development, testing, hackathons). The</w:t>
      </w:r>
      <w:r>
        <w:t xml:space="preserve"> </w:t>
      </w:r>
      <w:r>
        <w:rPr>
          <w:rStyle w:val="VerbatimChar"/>
        </w:rPr>
        <w:t xml:space="preserve">keep_data_volume: true</w:t>
      </w:r>
      <w:r>
        <w:t xml:space="preserve"> </w:t>
      </w:r>
      <w:r>
        <w:t xml:space="preserve">setting preserves EBS data volumes even when hosts are terminated, allowing data recovery.</w:t>
      </w:r>
    </w:p>
    <w:p>
      <w:pPr>
        <w:pStyle w:val="Compact"/>
        <w:numPr>
          <w:ilvl w:val="0"/>
          <w:numId w:val="1012"/>
        </w:numPr>
      </w:pPr>
      <w:r>
        <w:t xml:space="preserve">Set up S3 lifecycle rules appropriate for your backup retention requirements. The default 7-day retention balances storage cost with recovery flexibility.</w:t>
      </w:r>
    </w:p>
    <w:bookmarkEnd w:id="60"/>
    <w:bookmarkStart w:id="61" w:name="cleanup"/>
    <w:p>
      <w:pPr>
        <w:pStyle w:val="Heading2"/>
      </w:pPr>
      <w:r>
        <w:t xml:space="preserve">Cleanup</w:t>
      </w:r>
    </w:p>
    <w:p>
      <w:pPr>
        <w:pStyle w:val="FirstParagraph"/>
      </w:pPr>
      <w:r>
        <w:t xml:space="preserve">To remove all deployed resources:</w:t>
      </w:r>
    </w:p>
    <w:p>
      <w:pPr>
        <w:pStyle w:val="SourceCode"/>
      </w:pPr>
      <w:r>
        <w:rPr>
          <w:rStyle w:val="VerbatimChar"/>
        </w:rPr>
        <w:t xml:space="preserve">./scripts/destroy.sh           # Destroys the CDK stack, retains S3 bucket and DynamoDB tables</w:t>
      </w:r>
      <w:r>
        <w:br/>
      </w:r>
      <w:r>
        <w:rPr>
          <w:rStyle w:val="VerbatimChar"/>
        </w:rPr>
        <w:t xml:space="preserve">./scripts/destroy.sh --purge   # Full cleanup including S3 data, DynamoDB tables, orphaned IAM roles, and EBS volumes</w:t>
      </w:r>
    </w:p>
    <w:bookmarkEnd w:id="61"/>
    <w:bookmarkStart w:id="6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OpenClaw Pool demonstrates how Firecracker microVMs can provide kernel-level tenant isolation for AI agent workloads while maintaining the operational simplicity of a serverless control plane. By combining Firecracker’s security properties with AWS managed services for scheduling, scaling, and observability, you can deploy up to 200 isolated AI agent instances with a single CDK deployment and a REST API.</w:t>
      </w:r>
    </w:p>
    <w:p>
      <w:pPr>
        <w:pStyle w:val="BodyText"/>
      </w:pPr>
      <w:r>
        <w:t xml:space="preserve">The solution is well-suited for internal AI platforms, training environments, hackathons, and proof-of-concept deployments where strong tenant isolation is required without the operational overhead of Kubernetes or the cost of dedicated EC2 instances per tenant.</w:t>
      </w:r>
    </w:p>
    <w:p>
      <w:pPr>
        <w:pStyle w:val="BodyText"/>
      </w:pPr>
      <w:r>
        <w:t xml:space="preserve">The complete source code, deployment instructions, and API reference are available on GitHub:</w:t>
      </w:r>
    </w:p>
    <w:p>
      <w:pPr>
        <w:pStyle w:val="BodyText"/>
      </w:pPr>
      <w:hyperlink r:id="rId10">
        <w:r>
          <w:rPr>
            <w:rStyle w:val="Hyperlink"/>
            <w:b/>
            <w:bCs/>
          </w:rPr>
          <w:t xml:space="preserve">https://github.com/aws-samples/sample-multi-tenant-openclaw-on-firecracker</w:t>
        </w:r>
      </w:hyperlink>
    </w:p>
    <w:bookmarkEnd w:id="62"/>
    <w:bookmarkStart w:id="66" w:name="resources"/>
    <w:p>
      <w:pPr>
        <w:pStyle w:val="Heading2"/>
      </w:pPr>
      <w:r>
        <w:t xml:space="preserve">Resources</w:t>
      </w:r>
    </w:p>
    <w:p>
      <w:pPr>
        <w:pStyle w:val="Compact"/>
        <w:numPr>
          <w:ilvl w:val="0"/>
          <w:numId w:val="1013"/>
        </w:numPr>
      </w:pPr>
      <w:hyperlink r:id="rId11">
        <w:r>
          <w:rPr>
            <w:rStyle w:val="Hyperlink"/>
          </w:rPr>
          <w:t xml:space="preserve">Firecracker microVM</w:t>
        </w:r>
      </w:hyperlink>
      <w:r>
        <w:t xml:space="preserve"> </w:t>
      </w:r>
      <w:r>
        <w:t xml:space="preserve">— The open-source VMM powering this solution</w:t>
      </w:r>
    </w:p>
    <w:p>
      <w:pPr>
        <w:pStyle w:val="Compact"/>
        <w:numPr>
          <w:ilvl w:val="0"/>
          <w:numId w:val="1013"/>
        </w:numPr>
      </w:pPr>
      <w:hyperlink r:id="rId29">
        <w:r>
          <w:rPr>
            <w:rStyle w:val="Hyperlink"/>
          </w:rPr>
          <w:t xml:space="preserve">AWS CDK</w:t>
        </w:r>
      </w:hyperlink>
      <w:r>
        <w:t xml:space="preserve"> </w:t>
      </w:r>
      <w:r>
        <w:t xml:space="preserve">— Infrastructure as code framework used for deployment</w:t>
      </w:r>
    </w:p>
    <w:p>
      <w:pPr>
        <w:pStyle w:val="Compact"/>
        <w:numPr>
          <w:ilvl w:val="0"/>
          <w:numId w:val="1013"/>
        </w:numPr>
      </w:pPr>
      <w:hyperlink r:id="rId23">
        <w:r>
          <w:rPr>
            <w:rStyle w:val="Hyperlink"/>
          </w:rPr>
          <w:t xml:space="preserve">Amazon EC2 nested virtualization</w:t>
        </w:r>
      </w:hyperlink>
      <w:r>
        <w:t xml:space="preserve"> </w:t>
      </w:r>
      <w:r>
        <w:t xml:space="preserve">— Required capability for running Firecracker on EC2</w:t>
      </w:r>
    </w:p>
    <w:p>
      <w:pPr>
        <w:pStyle w:val="Compact"/>
        <w:numPr>
          <w:ilvl w:val="0"/>
          <w:numId w:val="1013"/>
        </w:numPr>
      </w:pPr>
      <w:hyperlink r:id="rId63">
        <w:r>
          <w:rPr>
            <w:rStyle w:val="Hyperlink"/>
          </w:rPr>
          <w:t xml:space="preserve">Building multi-tenant SaaS applications with AWS Lambda’s tenant isolation mode</w:t>
        </w:r>
      </w:hyperlink>
      <w:r>
        <w:t xml:space="preserve"> </w:t>
      </w:r>
      <w:r>
        <w:t xml:space="preserve">— Related AWS approach to multi-tenant isolation</w:t>
      </w:r>
    </w:p>
    <w:p>
      <w:pPr>
        <w:pStyle w:val="Compact"/>
        <w:numPr>
          <w:ilvl w:val="0"/>
          <w:numId w:val="1013"/>
        </w:numPr>
      </w:pPr>
      <w:hyperlink r:id="rId64">
        <w:r>
          <w:rPr>
            <w:rStyle w:val="Hyperlink"/>
          </w:rPr>
          <w:t xml:space="preserve">SaaS Lens for the AWS Well-Architected Framework</w:t>
        </w:r>
      </w:hyperlink>
      <w:r>
        <w:t xml:space="preserve"> </w:t>
      </w:r>
      <w:r>
        <w:t xml:space="preserve">— Best practices for SaaS architectures on AWS</w:t>
      </w:r>
    </w:p>
    <w:p>
      <w:pPr>
        <w:pStyle w:val="Compact"/>
        <w:numPr>
          <w:ilvl w:val="0"/>
          <w:numId w:val="1013"/>
        </w:numPr>
      </w:pPr>
      <w:hyperlink r:id="rId34">
        <w:r>
          <w:rPr>
            <w:rStyle w:val="Hyperlink"/>
          </w:rPr>
          <w:t xml:space="preserve">Amazon Bedrock AgentCore</w:t>
        </w:r>
      </w:hyperlink>
      <w:r>
        <w:t xml:space="preserve"> </w:t>
      </w:r>
      <w:r>
        <w:t xml:space="preserve">— Optional integration for agent tool gateway, memory, and code interpreter</w:t>
      </w:r>
    </w:p>
    <w:p>
      <w:r>
        <w:pict>
          <v:rect style="width:0;height:1.5pt" o:hralign="center" o:hrstd="t" o:hr="t"/>
        </w:pict>
      </w:r>
    </w:p>
    <w:bookmarkStart w:id="65" w:name="about-the-authors"/>
    <w:p>
      <w:pPr>
        <w:pStyle w:val="Heading3"/>
      </w:pPr>
      <w:r>
        <w:t xml:space="preserve">About the authors</w:t>
      </w:r>
    </w:p>
    <w:p>
      <w:pPr>
        <w:pStyle w:val="FirstParagraph"/>
      </w:pPr>
      <w:r>
        <w:rPr>
          <w:b/>
          <w:bCs/>
        </w:rPr>
        <w:t xml:space="preserve">Neo Sun</w:t>
      </w:r>
      <w:r>
        <w:t xml:space="preserve"> </w:t>
      </w:r>
      <w:r>
        <w:t xml:space="preserve">is a Solutions Architect at Amazon Web Services, focused on AI/ML and cloud-native architectures for the financial services industry. He works with customers across the Asia Pacific region to design and implement scalable solutions on AWS.</w:t>
      </w:r>
    </w:p>
    <w:p>
      <w:pPr>
        <w:pStyle w:val="BodyText"/>
      </w:pPr>
      <w:r>
        <w:rPr>
          <w:b/>
          <w:bCs/>
        </w:rPr>
        <w:t xml:space="preserve">Aleck Lin</w:t>
      </w:r>
      <w:r>
        <w:t xml:space="preserve"> </w:t>
      </w:r>
      <w:r>
        <w:t xml:space="preserve">is a Solutions Architect at Amazon Web Services, specializing in serverless and container architectures. He helps customers build modern applications on AWS with a focus on operational excellence and cost optimization.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15" Target="media/rId15.png" /><Relationship Type="http://schemas.openxmlformats.org/officeDocument/2006/relationships/image" Id="rId53" Target="media/rId53.png" /><Relationship Type="http://schemas.openxmlformats.org/officeDocument/2006/relationships/image" Id="rId45" Target="media/rId45.png" /><Relationship Type="http://schemas.openxmlformats.org/officeDocument/2006/relationships/hyperlink" Id="rId18" Target="https://aws.amazon.com/api-gateway/" TargetMode="External" /><Relationship Type="http://schemas.openxmlformats.org/officeDocument/2006/relationships/hyperlink" Id="rId34" Target="https://aws.amazon.com/bedrock/agentcore/" TargetMode="External" /><Relationship Type="http://schemas.openxmlformats.org/officeDocument/2006/relationships/hyperlink" Id="rId63" Target="https://aws.amazon.com/blogs/compute/building-multi-tenant-saas-applications-with-aws-lambdas-new-tenant-isolation-mode/" TargetMode="External" /><Relationship Type="http://schemas.openxmlformats.org/officeDocument/2006/relationships/hyperlink" Id="rId29" Target="https://aws.amazon.com/cdk/" TargetMode="External" /><Relationship Type="http://schemas.openxmlformats.org/officeDocument/2006/relationships/hyperlink" Id="rId25" Target="https://aws.amazon.com/cloudfront/" TargetMode="External" /><Relationship Type="http://schemas.openxmlformats.org/officeDocument/2006/relationships/hyperlink" Id="rId33" Target="https://aws.amazon.com/cognito/" TargetMode="External" /><Relationship Type="http://schemas.openxmlformats.org/officeDocument/2006/relationships/hyperlink" Id="rId19" Target="https://aws.amazon.com/dynamodb/" TargetMode="External" /><Relationship Type="http://schemas.openxmlformats.org/officeDocument/2006/relationships/hyperlink" Id="rId26" Target="https://aws.amazon.com/elasticloadbalancing/application-load-balancer/" TargetMode="External" /><Relationship Type="http://schemas.openxmlformats.org/officeDocument/2006/relationships/hyperlink" Id="rId20" Target="https://aws.amazon.com/eventbridge/" TargetMode="External" /><Relationship Type="http://schemas.openxmlformats.org/officeDocument/2006/relationships/hyperlink" Id="rId13" Target="https://aws.amazon.com/fargate/" TargetMode="External" /><Relationship Type="http://schemas.openxmlformats.org/officeDocument/2006/relationships/hyperlink" Id="rId12" Target="https://aws.amazon.com/lambda/" TargetMode="External" /><Relationship Type="http://schemas.openxmlformats.org/officeDocument/2006/relationships/hyperlink" Id="rId44" Target="https://aws.amazon.com/s3/" TargetMode="External" /><Relationship Type="http://schemas.openxmlformats.org/officeDocument/2006/relationships/hyperlink" Id="rId39" Target="https://aws.amazon.com/systems-manager/" TargetMode="External" /><Relationship Type="http://schemas.openxmlformats.org/officeDocument/2006/relationships/hyperlink" Id="rId23" Target="https://docs.aws.amazon.com/AWSEC2/latest/UserGuide/nested-virtualization.html" TargetMode="External" /><Relationship Type="http://schemas.openxmlformats.org/officeDocument/2006/relationships/hyperlink" Id="rId22" Target="https://docs.aws.amazon.com/autoscaling/ec2/userguide/auto-scaling-groups.html" TargetMode="External" /><Relationship Type="http://schemas.openxmlformats.org/officeDocument/2006/relationships/hyperlink" Id="rId64" Target="https://docs.aws.amazon.com/wellarchitected/latest/saas-lens/saas-lens.html" TargetMode="External" /><Relationship Type="http://schemas.openxmlformats.org/officeDocument/2006/relationships/hyperlink" Id="rId11" Target="https://firecracker-microvm.github.io/" TargetMode="External" /><Relationship Type="http://schemas.openxmlformats.org/officeDocument/2006/relationships/hyperlink" Id="rId9" Target="https://github.com/anthropics/openclaw" TargetMode="External" /><Relationship Type="http://schemas.openxmlformats.org/officeDocument/2006/relationships/hyperlink" Id="rId58" Target="https://github.com/aws-samples" TargetMode="External" /><Relationship Type="http://schemas.openxmlformats.org/officeDocument/2006/relationships/hyperlink" Id="rId10" Target="https://github.com/aws-samples/sample-multi-tenant-openclaw-on-firecrack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aws.amazon.com/api-gateway/" TargetMode="External" /><Relationship Type="http://schemas.openxmlformats.org/officeDocument/2006/relationships/hyperlink" Id="rId34" Target="https://aws.amazon.com/bedrock/agentcore/" TargetMode="External" /><Relationship Type="http://schemas.openxmlformats.org/officeDocument/2006/relationships/hyperlink" Id="rId63" Target="https://aws.amazon.com/blogs/compute/building-multi-tenant-saas-applications-with-aws-lambdas-new-tenant-isolation-mode/" TargetMode="External" /><Relationship Type="http://schemas.openxmlformats.org/officeDocument/2006/relationships/hyperlink" Id="rId29" Target="https://aws.amazon.com/cdk/" TargetMode="External" /><Relationship Type="http://schemas.openxmlformats.org/officeDocument/2006/relationships/hyperlink" Id="rId25" Target="https://aws.amazon.com/cloudfront/" TargetMode="External" /><Relationship Type="http://schemas.openxmlformats.org/officeDocument/2006/relationships/hyperlink" Id="rId33" Target="https://aws.amazon.com/cognito/" TargetMode="External" /><Relationship Type="http://schemas.openxmlformats.org/officeDocument/2006/relationships/hyperlink" Id="rId19" Target="https://aws.amazon.com/dynamodb/" TargetMode="External" /><Relationship Type="http://schemas.openxmlformats.org/officeDocument/2006/relationships/hyperlink" Id="rId26" Target="https://aws.amazon.com/elasticloadbalancing/application-load-balancer/" TargetMode="External" /><Relationship Type="http://schemas.openxmlformats.org/officeDocument/2006/relationships/hyperlink" Id="rId20" Target="https://aws.amazon.com/eventbridge/" TargetMode="External" /><Relationship Type="http://schemas.openxmlformats.org/officeDocument/2006/relationships/hyperlink" Id="rId13" Target="https://aws.amazon.com/fargate/" TargetMode="External" /><Relationship Type="http://schemas.openxmlformats.org/officeDocument/2006/relationships/hyperlink" Id="rId12" Target="https://aws.amazon.com/lambda/" TargetMode="External" /><Relationship Type="http://schemas.openxmlformats.org/officeDocument/2006/relationships/hyperlink" Id="rId44" Target="https://aws.amazon.com/s3/" TargetMode="External" /><Relationship Type="http://schemas.openxmlformats.org/officeDocument/2006/relationships/hyperlink" Id="rId39" Target="https://aws.amazon.com/systems-manager/" TargetMode="External" /><Relationship Type="http://schemas.openxmlformats.org/officeDocument/2006/relationships/hyperlink" Id="rId23" Target="https://docs.aws.amazon.com/AWSEC2/latest/UserGuide/nested-virtualization.html" TargetMode="External" /><Relationship Type="http://schemas.openxmlformats.org/officeDocument/2006/relationships/hyperlink" Id="rId22" Target="https://docs.aws.amazon.com/autoscaling/ec2/userguide/auto-scaling-groups.html" TargetMode="External" /><Relationship Type="http://schemas.openxmlformats.org/officeDocument/2006/relationships/hyperlink" Id="rId64" Target="https://docs.aws.amazon.com/wellarchitected/latest/saas-lens/saas-lens.html" TargetMode="External" /><Relationship Type="http://schemas.openxmlformats.org/officeDocument/2006/relationships/hyperlink" Id="rId11" Target="https://firecracker-microvm.github.io/" TargetMode="External" /><Relationship Type="http://schemas.openxmlformats.org/officeDocument/2006/relationships/hyperlink" Id="rId9" Target="https://github.com/anthropics/openclaw" TargetMode="External" /><Relationship Type="http://schemas.openxmlformats.org/officeDocument/2006/relationships/hyperlink" Id="rId58" Target="https://github.com/aws-samples" TargetMode="External" /><Relationship Type="http://schemas.openxmlformats.org/officeDocument/2006/relationships/hyperlink" Id="rId10" Target="https://github.com/aws-samples/sample-multi-tenant-openclaw-on-firecrac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2026-04-30T01:23:22Z</dcterms:created>
  <dcterms:modified xsi:type="dcterms:W3CDTF">2026-04-30T01:23:22Z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