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Sustainable Fishing Policy</w:t>
      </w:r>
    </w:p>
    <w:p>
      <w:pPr>
        <w:jc w:val="center"/>
      </w:pPr>
      <w:r>
        <w:t>Ministry of Fisheries</w:t>
      </w:r>
    </w:p>
    <w:p>
      <w:pPr>
        <w:pStyle w:val="Heading1"/>
      </w:pPr>
      <w:r>
        <w:t>Executive Summary</w:t>
      </w:r>
    </w:p>
    <w:p>
      <w:r>
        <w:t>This Sustainable Fishing Policy sets out the national framework for conserving marine resources while ensuring livelihoods and food security. It covers quotas and total allowable catch (TAC), seasonal closures, licensing and permits, monitoring control and surveillance (MCS), community-based co-management, data and science, financing, and enforcement.</w:t>
      </w:r>
    </w:p>
    <w:p>
      <w:r>
        <w:t>The policy aligns with international instruments and best practices, promotes ecosystem-based management, and introduces digital systems for licensing, vessel monitoring, and catch reporting. Implementation is phased over three years with clear roles, funding sources, and performance indicators.</w:t>
      </w:r>
    </w:p>
    <w:p>
      <w:pPr>
        <w:pStyle w:val="Heading1"/>
      </w:pPr>
      <w:r>
        <w:t>Table of Contents</w:t>
      </w:r>
    </w:p>
    <w:p>
      <w:pPr>
        <w:pStyle w:val="ListNumber"/>
      </w:pPr>
      <w:r>
        <w:t>1. Purpose, Scope, and Legal Basis</w:t>
      </w:r>
    </w:p>
    <w:p>
      <w:pPr>
        <w:pStyle w:val="ListNumber"/>
      </w:pPr>
      <w:r>
        <w:t>2. Definitions</w:t>
      </w:r>
    </w:p>
    <w:p>
      <w:pPr>
        <w:pStyle w:val="ListNumber"/>
      </w:pPr>
      <w:r>
        <w:t>3. Guiding Principles</w:t>
      </w:r>
    </w:p>
    <w:p>
      <w:pPr>
        <w:pStyle w:val="ListNumber"/>
      </w:pPr>
      <w:r>
        <w:t>4. Governance and Roles</w:t>
      </w:r>
    </w:p>
    <w:p>
      <w:pPr>
        <w:pStyle w:val="ListNumber"/>
      </w:pPr>
      <w:r>
        <w:t>5. Scientific Assessment and Data Management</w:t>
      </w:r>
    </w:p>
    <w:p>
      <w:pPr>
        <w:pStyle w:val="ListNumber"/>
      </w:pPr>
      <w:r>
        <w:t>6. Quotas and Total Allowable Catch (TAC)</w:t>
      </w:r>
    </w:p>
    <w:p>
      <w:pPr>
        <w:pStyle w:val="ListNumber"/>
      </w:pPr>
      <w:r>
        <w:t>7. Seasonal Closures and Spatial Measures</w:t>
      </w:r>
    </w:p>
    <w:p>
      <w:pPr>
        <w:pStyle w:val="ListNumber"/>
      </w:pPr>
      <w:r>
        <w:t>8. Licensing and Permitting</w:t>
      </w:r>
    </w:p>
    <w:p>
      <w:pPr>
        <w:pStyle w:val="ListNumber"/>
      </w:pPr>
      <w:r>
        <w:t>9. Monitoring, Control, and Surveillance (MCS)</w:t>
      </w:r>
    </w:p>
    <w:p>
      <w:pPr>
        <w:pStyle w:val="ListNumber"/>
      </w:pPr>
      <w:r>
        <w:t>10. Community Programs and Co-management</w:t>
      </w:r>
    </w:p>
    <w:p>
      <w:pPr>
        <w:pStyle w:val="ListNumber"/>
      </w:pPr>
      <w:r>
        <w:t>11. Compliance, Enforcement, and Sanctions</w:t>
      </w:r>
    </w:p>
    <w:p>
      <w:pPr>
        <w:pStyle w:val="ListNumber"/>
      </w:pPr>
      <w:r>
        <w:t>12. Socioeconomic Measures and Livelihoods</w:t>
      </w:r>
    </w:p>
    <w:p>
      <w:pPr>
        <w:pStyle w:val="ListNumber"/>
      </w:pPr>
      <w:r>
        <w:t>13. Aquaculture Integration</w:t>
      </w:r>
    </w:p>
    <w:p>
      <w:pPr>
        <w:pStyle w:val="ListNumber"/>
      </w:pPr>
      <w:r>
        <w:t>14. Climate and Environmental Safeguards</w:t>
      </w:r>
    </w:p>
    <w:p>
      <w:pPr>
        <w:pStyle w:val="ListNumber"/>
      </w:pPr>
      <w:r>
        <w:t>15. Digital Systems and Transparency</w:t>
      </w:r>
    </w:p>
    <w:p>
      <w:pPr>
        <w:pStyle w:val="ListNumber"/>
      </w:pPr>
      <w:r>
        <w:t>16. Stakeholder Engagement and Communications</w:t>
      </w:r>
    </w:p>
    <w:p>
      <w:pPr>
        <w:pStyle w:val="ListNumber"/>
      </w:pPr>
      <w:r>
        <w:t>17. Financing and Budget</w:t>
      </w:r>
    </w:p>
    <w:p>
      <w:pPr>
        <w:pStyle w:val="ListNumber"/>
      </w:pPr>
      <w:r>
        <w:t>18. Implementation Roadmap</w:t>
      </w:r>
    </w:p>
    <w:p>
      <w:pPr>
        <w:pStyle w:val="ListNumber"/>
      </w:pPr>
      <w:r>
        <w:t>19. Risk Management</w:t>
      </w:r>
    </w:p>
    <w:p>
      <w:pPr>
        <w:pStyle w:val="ListNumber"/>
      </w:pPr>
      <w:r>
        <w:t>20. Monitoring &amp; Evaluation (M&amp;E)</w:t>
      </w:r>
    </w:p>
    <w:p>
      <w:pPr>
        <w:pStyle w:val="ListNumber"/>
      </w:pPr>
      <w:r>
        <w:t>Annexes (Templates, Forms, Glossary)</w:t>
      </w:r>
    </w:p>
    <w:p>
      <w:pPr>
        <w:pStyle w:val="Heading1"/>
      </w:pPr>
      <w:r>
        <w:t>1. Purpose, Scope, and Legal Basis</w:t>
      </w:r>
    </w:p>
    <w:p>
      <w:r>
        <w:t>Purpose: Ensure long-term sustainability of fisheries while supporting economic growth, nutrition, and coastal livelihoods.</w:t>
      </w:r>
    </w:p>
    <w:p>
      <w:r>
        <w:t>Scope: Applies to marine capture fisheries within national waters, including artisanal, small-scale, and industrial segments.</w:t>
      </w:r>
    </w:p>
    <w:p>
      <w:r>
        <w:t>Legal Basis: This policy is issued under the Fisheries Act and related maritime, environmental, and food safety regulations.</w:t>
      </w:r>
    </w:p>
    <w:p>
      <w:pPr>
        <w:pStyle w:val="Heading1"/>
      </w:pPr>
      <w:r>
        <w:t>2. Definitions</w:t>
      </w:r>
    </w:p>
    <w:p>
      <w:pPr>
        <w:pStyle w:val="ListBullet"/>
      </w:pPr>
      <w:r>
        <w:t>Total Allowable Catch (TAC): Annual catch limit for a fishery.</w:t>
      </w:r>
    </w:p>
    <w:p>
      <w:pPr>
        <w:pStyle w:val="ListBullet"/>
      </w:pPr>
      <w:r>
        <w:t>Individual Transferable Quota (ITQ): Allocated share of TAC to a license holder.</w:t>
      </w:r>
    </w:p>
    <w:p>
      <w:pPr>
        <w:pStyle w:val="ListBullet"/>
      </w:pPr>
      <w:r>
        <w:t>Spawning Biomass: Total weight of mature individuals.</w:t>
      </w:r>
    </w:p>
    <w:p>
      <w:pPr>
        <w:pStyle w:val="ListBullet"/>
      </w:pPr>
      <w:r>
        <w:t>Vessel Monitoring System (VMS): Satellite-based vessel tracking.</w:t>
      </w:r>
    </w:p>
    <w:p>
      <w:pPr>
        <w:pStyle w:val="ListBullet"/>
      </w:pPr>
      <w:r>
        <w:t>Electronic Monitoring (EM): Cameras and sensors to record onboard activity.</w:t>
      </w:r>
    </w:p>
    <w:p>
      <w:pPr>
        <w:pStyle w:val="Heading1"/>
      </w:pPr>
      <w:r>
        <w:t>3. Guiding Principles</w:t>
      </w:r>
    </w:p>
    <w:p>
      <w:pPr>
        <w:pStyle w:val="ListBullet"/>
      </w:pPr>
      <w:r>
        <w:t>Ecosystem-based management</w:t>
      </w:r>
    </w:p>
    <w:p>
      <w:pPr>
        <w:pStyle w:val="ListBullet"/>
      </w:pPr>
      <w:r>
        <w:t>Precautionary approach</w:t>
      </w:r>
    </w:p>
    <w:p>
      <w:pPr>
        <w:pStyle w:val="ListBullet"/>
      </w:pPr>
      <w:r>
        <w:t>Science-driven decision making</w:t>
      </w:r>
    </w:p>
    <w:p>
      <w:pPr>
        <w:pStyle w:val="ListBullet"/>
      </w:pPr>
      <w:r>
        <w:t>Equity and inclusion (including gender and youth)</w:t>
      </w:r>
    </w:p>
    <w:p>
      <w:pPr>
        <w:pStyle w:val="ListBullet"/>
      </w:pPr>
      <w:r>
        <w:t>Transparency and accountability</w:t>
      </w:r>
    </w:p>
    <w:p>
      <w:pPr>
        <w:pStyle w:val="ListBullet"/>
      </w:pPr>
      <w:r>
        <w:t>Polluter-pays and user-pays where appropriate</w:t>
      </w:r>
    </w:p>
    <w:p>
      <w:pPr>
        <w:pStyle w:val="Heading1"/>
      </w:pPr>
      <w:r>
        <w:t>4. Governance and Roles</w:t>
      </w:r>
    </w:p>
    <w:p>
      <w:pPr>
        <w:pStyle w:val="ListNumber"/>
      </w:pPr>
      <w:r>
        <w:t>Ministry of Fisheries: Policy owner, quota setting, compliance oversight.</w:t>
      </w:r>
    </w:p>
    <w:p>
      <w:pPr>
        <w:pStyle w:val="ListNumber"/>
      </w:pPr>
      <w:r>
        <w:t>Fisheries Management Council: Scientific advice and stakeholder forum.</w:t>
      </w:r>
    </w:p>
    <w:p>
      <w:pPr>
        <w:pStyle w:val="ListNumber"/>
      </w:pPr>
      <w:r>
        <w:t>Enforcement Agency/Coast Guard: At-sea inspections and sanctions.</w:t>
      </w:r>
    </w:p>
    <w:p>
      <w:pPr>
        <w:pStyle w:val="ListNumber"/>
      </w:pPr>
      <w:r>
        <w:t>Local Councils/Co-ops: Co-management of community zones.</w:t>
      </w:r>
    </w:p>
    <w:p>
      <w:pPr>
        <w:pStyle w:val="ListNumber"/>
      </w:pPr>
      <w:r>
        <w:t>Data &amp; IT Unit: Licensing, VMS/EM, data integrity.</w:t>
      </w:r>
    </w:p>
    <w:p>
      <w:pPr>
        <w:pStyle w:val="Heading1"/>
      </w:pPr>
      <w:r>
        <w:t>5. Scientific Assessment and Data Management</w:t>
      </w:r>
    </w:p>
    <w:p>
      <w:r>
        <w:t>Establish annual stock assessments using standardized survey methods, catch-per-unit-effort (CPUE), and independent observer data.</w:t>
      </w:r>
    </w:p>
    <w:p>
      <w:r>
        <w:t>Data standards: species codes, gear types, spatial grids, and metadata. Data sharing via APIs; quarterly open-data releases with confidentiality safeguards.</w:t>
      </w:r>
    </w:p>
    <w:p>
      <w:r>
        <w:t>Adopt harvest control rules (HCRs) that adjust TAC based on biomass indices and recruitment.</w:t>
      </w:r>
    </w:p>
    <w:p>
      <w:pPr>
        <w:pStyle w:val="Heading1"/>
      </w:pPr>
      <w:r>
        <w:t>6. Quotas and Total Allowable Catch (TAC)</w:t>
      </w:r>
    </w:p>
    <w:p>
      <w:pPr>
        <w:pStyle w:val="ListNumber"/>
      </w:pPr>
      <w:r>
        <w:t>Set TAC annually per stock based on scientific advice and HCRs.</w:t>
      </w:r>
    </w:p>
    <w:p>
      <w:pPr>
        <w:pStyle w:val="ListNumber"/>
      </w:pPr>
      <w:r>
        <w:t>Allocate quotas among fleet segments (artisanal, small-scale, industrial) with social safeguards.</w:t>
      </w:r>
    </w:p>
    <w:p>
      <w:pPr>
        <w:pStyle w:val="ListNumber"/>
      </w:pPr>
      <w:r>
        <w:t>Introduce ITQs or group quotas where suitable, with transfer rules and caps to avoid consolidation.</w:t>
      </w:r>
    </w:p>
    <w:p>
      <w:pPr>
        <w:pStyle w:val="ListNumber"/>
      </w:pPr>
      <w:r>
        <w:t>Bycatch limits and discard bans with mitigation plans.</w:t>
      </w:r>
    </w:p>
    <w:p>
      <w:pPr>
        <w:pStyle w:val="Heading1"/>
      </w:pPr>
      <w:r>
        <w:t>7. Seasonal Closures and Spatial Measures</w:t>
      </w:r>
    </w:p>
    <w:p>
      <w:pPr>
        <w:pStyle w:val="ListNumber"/>
      </w:pPr>
      <w:r>
        <w:t>Define seasonal closures around spawning periods and juvenile nurseries.</w:t>
      </w:r>
    </w:p>
    <w:p>
      <w:pPr>
        <w:pStyle w:val="ListNumber"/>
      </w:pPr>
      <w:r>
        <w:t>Marine protected areas (MPAs) and temporary closure protocols.</w:t>
      </w:r>
    </w:p>
    <w:p>
      <w:pPr>
        <w:pStyle w:val="ListNumber"/>
      </w:pPr>
      <w:r>
        <w:t>Real-time closures triggered by bycatch thresholds.</w:t>
      </w:r>
    </w:p>
    <w:p>
      <w:pPr>
        <w:pStyle w:val="ListNumber"/>
      </w:pPr>
      <w:r>
        <w:t>Gear restrictions by zone and season.</w:t>
      </w:r>
    </w:p>
    <w:p>
      <w:pPr>
        <w:pStyle w:val="Heading1"/>
      </w:pPr>
      <w:r>
        <w:t>8. Licensing and Permitting</w:t>
      </w:r>
    </w:p>
    <w:p>
      <w:pPr>
        <w:pStyle w:val="ListNumber"/>
      </w:pPr>
      <w:r>
        <w:t>License categories: artisanal, small-scale commercial, industrial, recreational.</w:t>
      </w:r>
    </w:p>
    <w:p>
      <w:pPr>
        <w:pStyle w:val="ListNumber"/>
      </w:pPr>
      <w:r>
        <w:t>Eligibility: vessel registry, safety certificate, tax clearance, compliance history.</w:t>
      </w:r>
    </w:p>
    <w:p>
      <w:pPr>
        <w:pStyle w:val="ListNumber"/>
      </w:pPr>
      <w:r>
        <w:t>Digital e-licensing portal with unique vessel ID and QR code.</w:t>
      </w:r>
    </w:p>
    <w:p>
      <w:pPr>
        <w:pStyle w:val="ListNumber"/>
      </w:pPr>
      <w:r>
        <w:t>Permit conditions: allowed gears, areas, seasons, observers, reporting frequency.</w:t>
      </w:r>
    </w:p>
    <w:p>
      <w:pPr>
        <w:pStyle w:val="Heading1"/>
      </w:pPr>
      <w:r>
        <w:t>9. Monitoring, Control, and Surveillance (MCS)</w:t>
      </w:r>
    </w:p>
    <w:p>
      <w:pPr>
        <w:pStyle w:val="ListNumber"/>
      </w:pPr>
      <w:r>
        <w:t>Mandatory VMS for vessels &gt; X GT; mobile tracking for small-scale fleets.</w:t>
      </w:r>
    </w:p>
    <w:p>
      <w:pPr>
        <w:pStyle w:val="ListNumber"/>
      </w:pPr>
      <w:r>
        <w:t>Electronic Monitoring pilots with cameras for designated fisheries.</w:t>
      </w:r>
    </w:p>
    <w:p>
      <w:pPr>
        <w:pStyle w:val="ListNumber"/>
      </w:pPr>
      <w:r>
        <w:t>Observer program coverage targets by fleet segment.</w:t>
      </w:r>
    </w:p>
    <w:p>
      <w:pPr>
        <w:pStyle w:val="ListNumber"/>
      </w:pPr>
      <w:r>
        <w:t>Dockside inspections, at-sea boardings, and risk-based patrols.</w:t>
      </w:r>
    </w:p>
    <w:p>
      <w:pPr>
        <w:pStyle w:val="ListNumber"/>
      </w:pPr>
      <w:r>
        <w:t>Chain-of-custody and catch documentation scheme (CDS).</w:t>
      </w:r>
    </w:p>
    <w:p>
      <w:pPr>
        <w:pStyle w:val="Heading1"/>
      </w:pPr>
      <w:r>
        <w:t>10. Community Programs and Co-management</w:t>
      </w:r>
    </w:p>
    <w:p>
      <w:pPr>
        <w:pStyle w:val="ListNumber"/>
      </w:pPr>
      <w:r>
        <w:t>Establish Local Fisheries Management Areas (LFMAs) with co-op bylaws.</w:t>
      </w:r>
    </w:p>
    <w:p>
      <w:pPr>
        <w:pStyle w:val="ListNumber"/>
      </w:pPr>
      <w:r>
        <w:t>Community stewardship grants for habitat restoration and mangrove planting.</w:t>
      </w:r>
    </w:p>
    <w:p>
      <w:pPr>
        <w:pStyle w:val="ListNumber"/>
      </w:pPr>
      <w:r>
        <w:t>Conflict resolution mechanisms among gear groups.</w:t>
      </w:r>
    </w:p>
    <w:p>
      <w:pPr>
        <w:pStyle w:val="ListNumber"/>
      </w:pPr>
      <w:r>
        <w:t>Women and youth inclusion targets in co-op leadership.</w:t>
      </w:r>
    </w:p>
    <w:p>
      <w:pPr>
        <w:pStyle w:val="Heading1"/>
      </w:pPr>
      <w:r>
        <w:t>11. Compliance, Enforcement, and Sanctions</w:t>
      </w:r>
    </w:p>
    <w:p>
      <w:pPr>
        <w:pStyle w:val="ListNumber"/>
      </w:pPr>
      <w:r>
        <w:t>Graduated sanctions: warnings, administrative fines, license suspension, vessel blacklisting.</w:t>
      </w:r>
    </w:p>
    <w:p>
      <w:pPr>
        <w:pStyle w:val="ListNumber"/>
      </w:pPr>
      <w:r>
        <w:t>Penalty matrix linked to offense severity (IUU fishing, false reporting, gear violations).</w:t>
      </w:r>
    </w:p>
    <w:p>
      <w:pPr>
        <w:pStyle w:val="ListNumber"/>
      </w:pPr>
      <w:r>
        <w:t>Appeals process and due process safeguards.</w:t>
      </w:r>
    </w:p>
    <w:p>
      <w:pPr>
        <w:pStyle w:val="ListNumber"/>
      </w:pPr>
      <w:r>
        <w:t>Cross-agency coordination with customs and judiciary.</w:t>
      </w:r>
    </w:p>
    <w:p>
      <w:pPr>
        <w:pStyle w:val="Heading1"/>
      </w:pPr>
      <w:r>
        <w:t>12. Socioeconomic Measures and Livelihoods</w:t>
      </w:r>
    </w:p>
    <w:p>
      <w:pPr>
        <w:pStyle w:val="ListNumber"/>
      </w:pPr>
      <w:r>
        <w:t>Alternative livelihoods and skills programs during closures.</w:t>
      </w:r>
    </w:p>
    <w:p>
      <w:pPr>
        <w:pStyle w:val="ListNumber"/>
      </w:pPr>
      <w:r>
        <w:t>Compensation guidelines for verified closures and disaster events.</w:t>
      </w:r>
    </w:p>
    <w:p>
      <w:pPr>
        <w:pStyle w:val="ListNumber"/>
      </w:pPr>
      <w:r>
        <w:t>Microfinance and loan guarantees for gear transition (e.g., selective gear).</w:t>
      </w:r>
    </w:p>
    <w:p>
      <w:pPr>
        <w:pStyle w:val="Heading1"/>
      </w:pPr>
      <w:r>
        <w:t>13. Aquaculture Integration</w:t>
      </w:r>
    </w:p>
    <w:p>
      <w:pPr>
        <w:pStyle w:val="ListNumber"/>
      </w:pPr>
      <w:r>
        <w:t>Siting guidelines to avoid sensitive habitats and user conflicts.</w:t>
      </w:r>
    </w:p>
    <w:p>
      <w:pPr>
        <w:pStyle w:val="ListNumber"/>
      </w:pPr>
      <w:r>
        <w:t>Biosecurity standards and escapee prevention.</w:t>
      </w:r>
    </w:p>
    <w:p>
      <w:pPr>
        <w:pStyle w:val="ListNumber"/>
      </w:pPr>
      <w:r>
        <w:t>Feed sustainability and antimicrobial stewardship.</w:t>
      </w:r>
    </w:p>
    <w:p>
      <w:pPr>
        <w:pStyle w:val="Heading1"/>
      </w:pPr>
      <w:r>
        <w:t>14. Climate and Environmental Safeguards</w:t>
      </w:r>
    </w:p>
    <w:p>
      <w:pPr>
        <w:pStyle w:val="ListNumber"/>
      </w:pPr>
      <w:r>
        <w:t>Climate risk screening for stocks and infrastructure.</w:t>
      </w:r>
    </w:p>
    <w:p>
      <w:pPr>
        <w:pStyle w:val="ListNumber"/>
      </w:pPr>
      <w:r>
        <w:t>Green ports initiative: waste reception, energy efficiency.</w:t>
      </w:r>
    </w:p>
    <w:p>
      <w:pPr>
        <w:pStyle w:val="ListNumber"/>
      </w:pPr>
      <w:r>
        <w:t>Plastic and ghost gear recovery incentives.</w:t>
      </w:r>
    </w:p>
    <w:p>
      <w:pPr>
        <w:pStyle w:val="Heading1"/>
      </w:pPr>
      <w:r>
        <w:t>15. Digital Systems and Transparency</w:t>
      </w:r>
    </w:p>
    <w:p>
      <w:pPr>
        <w:pStyle w:val="ListNumber"/>
      </w:pPr>
      <w:r>
        <w:t>Open-data portal with quarterly datasets and dashboards.</w:t>
      </w:r>
    </w:p>
    <w:p>
      <w:pPr>
        <w:pStyle w:val="ListNumber"/>
      </w:pPr>
      <w:r>
        <w:t>Real-time public map of seasonal closures and MPAs.</w:t>
      </w:r>
    </w:p>
    <w:p>
      <w:pPr>
        <w:pStyle w:val="ListNumber"/>
      </w:pPr>
      <w:r>
        <w:t>E-logbooks and mobile catch reporting for small-scale fleets.</w:t>
      </w:r>
    </w:p>
    <w:p>
      <w:pPr>
        <w:pStyle w:val="Heading1"/>
      </w:pPr>
      <w:r>
        <w:t>16. Stakeholder Engagement and Communications</w:t>
      </w:r>
    </w:p>
    <w:p>
      <w:pPr>
        <w:pStyle w:val="ListNumber"/>
      </w:pPr>
      <w:r>
        <w:t>Annual consultation calendar with fisheries, NGOs, academia.</w:t>
      </w:r>
    </w:p>
    <w:p>
      <w:pPr>
        <w:pStyle w:val="ListNumber"/>
      </w:pPr>
      <w:r>
        <w:t>Public comment periods for quota proposals and closures.</w:t>
      </w:r>
    </w:p>
    <w:p>
      <w:pPr>
        <w:pStyle w:val="ListNumber"/>
      </w:pPr>
      <w:r>
        <w:t>Community radio and multilingual notices for remote areas.</w:t>
      </w:r>
    </w:p>
    <w:p>
      <w:pPr>
        <w:pStyle w:val="Heading1"/>
      </w:pPr>
      <w:r>
        <w:t>17. Financing and Budget</w:t>
      </w:r>
    </w:p>
    <w:p>
      <w:pPr>
        <w:pStyle w:val="ListNumber"/>
      </w:pPr>
      <w:r>
        <w:t>Budget lines for science, MCS, community grants, and IT systems.</w:t>
      </w:r>
    </w:p>
    <w:p>
      <w:pPr>
        <w:pStyle w:val="ListNumber"/>
      </w:pPr>
      <w:r>
        <w:t>Cost recovery via license fees, fines, and resource rent where applicable.</w:t>
      </w:r>
    </w:p>
    <w:p>
      <w:pPr>
        <w:pStyle w:val="ListNumber"/>
      </w:pPr>
      <w:r>
        <w:t>Donor and private partnerships for EM/VMS pilots.</w:t>
      </w:r>
    </w:p>
    <w:p>
      <w:pPr>
        <w:pStyle w:val="Heading1"/>
      </w:pPr>
      <w:r>
        <w:t>18. Implementation Roadmap</w:t>
      </w:r>
    </w:p>
    <w:p>
      <w:pPr>
        <w:pStyle w:val="ListNumber"/>
      </w:pPr>
      <w:r>
        <w:t>Phase 1 (Months 0–6): Legal notifications, data baselines, pilot closures.</w:t>
      </w:r>
    </w:p>
    <w:p>
      <w:pPr>
        <w:pStyle w:val="ListNumber"/>
      </w:pPr>
      <w:r>
        <w:t>Phase 2 (Months 7–18): TAC adoption, licensing portal live, VMS rollout.</w:t>
      </w:r>
    </w:p>
    <w:p>
      <w:pPr>
        <w:pStyle w:val="ListNumber"/>
      </w:pPr>
      <w:r>
        <w:t>Phase 3 (Months 19–36): EM scale-up, full CDS, independent evaluation.</w:t>
      </w:r>
    </w:p>
    <w:p>
      <w:pPr>
        <w:pStyle w:val="Heading1"/>
      </w:pPr>
      <w:r>
        <w:t>19. Risk Management</w:t>
      </w:r>
    </w:p>
    <w:p>
      <w:pPr>
        <w:pStyle w:val="ListNumber"/>
      </w:pPr>
      <w:r>
        <w:t>Risk register including compliance, funding, data quality, and climate shocks.</w:t>
      </w:r>
    </w:p>
    <w:p>
      <w:pPr>
        <w:pStyle w:val="ListNumber"/>
      </w:pPr>
      <w:r>
        <w:t>Mitigations: contingency funds, redundancy in data systems, mutual aid protocols.</w:t>
      </w:r>
    </w:p>
    <w:p>
      <w:pPr>
        <w:pStyle w:val="ListNumber"/>
      </w:pPr>
      <w:r>
        <w:t>Quarterly risk review chaired by the Director of Fisheries.</w:t>
      </w:r>
    </w:p>
    <w:p>
      <w:pPr>
        <w:pStyle w:val="Heading1"/>
      </w:pPr>
      <w:r>
        <w:t>20. Monitoring &amp; Evaluation (M&amp;E)</w:t>
      </w:r>
    </w:p>
    <w:p>
      <w:pPr>
        <w:pStyle w:val="ListNumber"/>
      </w:pPr>
      <w:r>
        <w:t>KPIs: stock biomass trends, CPUE, compliance rate, bycatch reductions, income stability.</w:t>
      </w:r>
    </w:p>
    <w:p>
      <w:pPr>
        <w:pStyle w:val="ListNumber"/>
      </w:pPr>
      <w:r>
        <w:t>Independent performance review every two years.</w:t>
      </w:r>
    </w:p>
    <w:p>
      <w:pPr>
        <w:pStyle w:val="ListNumber"/>
      </w:pPr>
      <w:r>
        <w:t>Adaptive management: update quotas/closures based on M&amp;E findings.</w:t>
      </w:r>
    </w:p>
    <w:p>
      <w:pPr>
        <w:pStyle w:val="Heading1"/>
      </w:pPr>
      <w:r>
        <w:t>Annex A: Templates and Forms</w:t>
      </w:r>
    </w:p>
    <w:p>
      <w:pPr>
        <w:pStyle w:val="ListBullet"/>
      </w:pPr>
      <w:r>
        <w:t>License application form</w:t>
      </w:r>
    </w:p>
    <w:p>
      <w:pPr>
        <w:pStyle w:val="ListBullet"/>
      </w:pPr>
      <w:r>
        <w:t>Observer report template</w:t>
      </w:r>
    </w:p>
    <w:p>
      <w:pPr>
        <w:pStyle w:val="ListBullet"/>
      </w:pPr>
      <w:r>
        <w:t>Community closure proposal form</w:t>
      </w:r>
    </w:p>
    <w:p>
      <w:pPr>
        <w:pStyle w:val="ListBullet"/>
      </w:pPr>
      <w:r>
        <w:t>Catch reporting e-logbook fields</w:t>
      </w:r>
    </w:p>
    <w:p>
      <w:pPr>
        <w:pStyle w:val="Heading1"/>
      </w:pPr>
      <w:r>
        <w:t>Annex B: Glossary</w:t>
      </w:r>
    </w:p>
    <w:p>
      <w:pPr>
        <w:pStyle w:val="ListBullet"/>
      </w:pPr>
      <w:r>
        <w:t>IUU: Illegal, Unreported, and Unregulated fishing</w:t>
      </w:r>
    </w:p>
    <w:p>
      <w:pPr>
        <w:pStyle w:val="ListBullet"/>
      </w:pPr>
      <w:r>
        <w:t>HCR: Harvest Control Rule</w:t>
      </w:r>
    </w:p>
    <w:p>
      <w:pPr>
        <w:pStyle w:val="ListBullet"/>
      </w:pPr>
      <w:r>
        <w:t>MPA: Marine Protected Area</w:t>
      </w:r>
    </w:p>
    <w:p>
      <w:pPr>
        <w:pStyle w:val="Heading1"/>
      </w:pPr>
      <w:r>
        <w:t>Annex C: Penalty Matrix (Illustrative)</w:t>
      </w:r>
    </w:p>
    <w:p>
      <w:pPr>
        <w:pStyle w:val="ListNumber"/>
      </w:pPr>
      <w:r>
        <w:t>Minor offense: administrative fine up to X and corrective action.</w:t>
      </w:r>
    </w:p>
    <w:p>
      <w:pPr>
        <w:pStyle w:val="ListNumber"/>
      </w:pPr>
      <w:r>
        <w:t>Major offense: license suspension up to Y months.</w:t>
      </w:r>
    </w:p>
    <w:p>
      <w:pPr>
        <w:pStyle w:val="ListNumber"/>
      </w:pPr>
      <w:r>
        <w:t>Severe offense: vessel seizure and criminal referral.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