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5CF02">
      <w:pPr>
        <w:spacing w:before="156" w:beforeLines="50" w:after="156" w:afterLines="50"/>
        <w:jc w:val="center"/>
        <w:rPr>
          <w:rFonts w:hint="eastAsia"/>
        </w:rPr>
      </w:pPr>
      <w:r>
        <w:drawing>
          <wp:inline distT="0" distB="0" distL="114300" distR="114300">
            <wp:extent cx="2299335" cy="453390"/>
            <wp:effectExtent l="0" t="0" r="12065" b="3810"/>
            <wp:docPr id="30" name="图片 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
                    <pic:cNvPicPr>
                      <a:picLocks noChangeAspect="1"/>
                    </pic:cNvPicPr>
                  </pic:nvPicPr>
                  <pic:blipFill>
                    <a:blip r:embed="rId12"/>
                    <a:stretch>
                      <a:fillRect/>
                    </a:stretch>
                  </pic:blipFill>
                  <pic:spPr>
                    <a:xfrm>
                      <a:off x="0" y="0"/>
                      <a:ext cx="2299335" cy="453390"/>
                    </a:xfrm>
                    <a:prstGeom prst="rect">
                      <a:avLst/>
                    </a:prstGeom>
                    <a:noFill/>
                    <a:ln>
                      <a:noFill/>
                    </a:ln>
                  </pic:spPr>
                </pic:pic>
              </a:graphicData>
            </a:graphic>
          </wp:inline>
        </w:drawing>
      </w:r>
    </w:p>
    <w:p w14:paraId="39F34F2C">
      <w:pPr>
        <w:tabs>
          <w:tab w:val="left" w:pos="735"/>
          <w:tab w:val="left" w:pos="7560"/>
        </w:tabs>
        <w:spacing w:before="312" w:beforeLines="100" w:line="360" w:lineRule="auto"/>
        <w:jc w:val="center"/>
        <w:rPr>
          <w:rFonts w:hint="eastAsia"/>
          <w:b/>
          <w:spacing w:val="28"/>
          <w:sz w:val="68"/>
        </w:rPr>
      </w:pPr>
      <w:r>
        <w:rPr>
          <w:rFonts w:hint="eastAsia"/>
          <w:b/>
          <w:spacing w:val="80"/>
          <w:sz w:val="68"/>
        </w:rPr>
        <w:t>本科毕业设</w:t>
      </w:r>
      <w:r>
        <w:rPr>
          <w:rFonts w:hint="eastAsia"/>
          <w:b/>
          <w:spacing w:val="28"/>
          <w:sz w:val="68"/>
        </w:rPr>
        <w:t>计（</w:t>
      </w:r>
      <w:r>
        <w:rPr>
          <w:rFonts w:hint="eastAsia"/>
          <w:b/>
          <w:spacing w:val="80"/>
          <w:sz w:val="68"/>
        </w:rPr>
        <w:t>论</w:t>
      </w:r>
      <w:r>
        <w:rPr>
          <w:rFonts w:hint="eastAsia"/>
          <w:b/>
          <w:spacing w:val="28"/>
          <w:sz w:val="68"/>
        </w:rPr>
        <w:t>文）</w:t>
      </w:r>
    </w:p>
    <w:p w14:paraId="43A71DF6">
      <w:pPr>
        <w:tabs>
          <w:tab w:val="left" w:pos="735"/>
          <w:tab w:val="left" w:pos="7560"/>
        </w:tabs>
        <w:spacing w:before="312" w:beforeLines="100" w:line="360" w:lineRule="auto"/>
        <w:jc w:val="center"/>
        <w:rPr>
          <w:rFonts w:hint="eastAsia" w:eastAsia="方正小标宋简体"/>
          <w:b/>
          <w:spacing w:val="28"/>
          <w:sz w:val="68"/>
        </w:rPr>
      </w:pPr>
      <w:r>
        <w:drawing>
          <wp:inline distT="0" distB="0" distL="114300" distR="114300">
            <wp:extent cx="1604010" cy="1156970"/>
            <wp:effectExtent l="0" t="0" r="8890" b="11430"/>
            <wp:docPr id="31" name="图片 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
                    <pic:cNvPicPr>
                      <a:picLocks noChangeAspect="1"/>
                    </pic:cNvPicPr>
                  </pic:nvPicPr>
                  <pic:blipFill>
                    <a:blip r:embed="rId13"/>
                    <a:stretch>
                      <a:fillRect/>
                    </a:stretch>
                  </pic:blipFill>
                  <pic:spPr>
                    <a:xfrm>
                      <a:off x="0" y="0"/>
                      <a:ext cx="1604010" cy="1156970"/>
                    </a:xfrm>
                    <a:prstGeom prst="rect">
                      <a:avLst/>
                    </a:prstGeom>
                    <a:noFill/>
                    <a:ln>
                      <a:noFill/>
                    </a:ln>
                  </pic:spPr>
                </pic:pic>
              </a:graphicData>
            </a:graphic>
          </wp:inline>
        </w:drawing>
      </w:r>
    </w:p>
    <w:p w14:paraId="4CDF7764">
      <w:pPr>
        <w:tabs>
          <w:tab w:val="left" w:pos="735"/>
        </w:tabs>
        <w:rPr>
          <w:rFonts w:eastAsia="黑体"/>
          <w:bCs/>
          <w:sz w:val="15"/>
        </w:rPr>
      </w:pPr>
    </w:p>
    <w:p w14:paraId="030C29C2">
      <w:pPr>
        <w:tabs>
          <w:tab w:val="left" w:pos="735"/>
        </w:tabs>
        <w:rPr>
          <w:rFonts w:eastAsia="黑体"/>
          <w:bCs/>
          <w:sz w:val="15"/>
        </w:rPr>
      </w:pPr>
    </w:p>
    <w:tbl>
      <w:tblPr>
        <w:tblStyle w:val="13"/>
        <w:tblW w:w="0" w:type="auto"/>
        <w:tblInd w:w="136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4965"/>
      </w:tblGrid>
      <w:tr w14:paraId="6C2DCAC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9" w:hRule="atLeast"/>
        </w:trPr>
        <w:tc>
          <w:tcPr>
            <w:tcW w:w="1440" w:type="dxa"/>
            <w:noWrap w:val="0"/>
            <w:vAlign w:val="top"/>
          </w:tcPr>
          <w:p w14:paraId="42FE0E69">
            <w:pPr>
              <w:tabs>
                <w:tab w:val="left" w:pos="735"/>
                <w:tab w:val="left" w:pos="7875"/>
              </w:tabs>
              <w:spacing w:line="900" w:lineRule="exact"/>
              <w:jc w:val="distribute"/>
              <w:rPr>
                <w:rFonts w:hint="eastAsia" w:ascii="宋体" w:hAnsi="宋体"/>
                <w:b/>
                <w:sz w:val="44"/>
                <w:u w:val="thick"/>
              </w:rPr>
            </w:pPr>
            <w:r>
              <w:rPr>
                <w:rFonts w:hint="eastAsia" w:ascii="宋体" w:hAnsi="宋体"/>
                <w:b/>
                <w:sz w:val="36"/>
              </w:rPr>
              <w:t>题目</w:t>
            </w:r>
          </w:p>
        </w:tc>
        <w:tc>
          <w:tcPr>
            <w:tcW w:w="4965" w:type="dxa"/>
            <w:tcBorders>
              <w:bottom w:val="single" w:color="auto" w:sz="4" w:space="0"/>
            </w:tcBorders>
            <w:noWrap w:val="0"/>
            <w:vAlign w:val="top"/>
          </w:tcPr>
          <w:p w14:paraId="58ED67BE">
            <w:pPr>
              <w:tabs>
                <w:tab w:val="left" w:pos="735"/>
                <w:tab w:val="left" w:pos="7875"/>
              </w:tabs>
              <w:spacing w:line="900" w:lineRule="exact"/>
              <w:jc w:val="center"/>
              <w:rPr>
                <w:rFonts w:hint="default" w:ascii="宋体" w:hAnsi="宋体" w:eastAsia="宋体"/>
                <w:b/>
                <w:sz w:val="36"/>
                <w:szCs w:val="36"/>
                <w:lang w:val="en-US" w:eastAsia="zh-CN"/>
              </w:rPr>
            </w:pPr>
            <w:r>
              <w:rPr>
                <w:rFonts w:hint="eastAsia" w:ascii="宋体" w:hAnsi="宋体" w:eastAsia="宋体" w:cs="宋体"/>
                <w:b/>
                <w:sz w:val="36"/>
                <w:szCs w:val="36"/>
                <w:lang w:val="en-US" w:eastAsia="zh-CN"/>
              </w:rPr>
              <w:t>建筑材料不燃性实验</w:t>
            </w:r>
            <w:r>
              <w:rPr>
                <w:rFonts w:hint="eastAsia" w:ascii="宋体" w:hAnsi="宋体" w:eastAsia="宋体" w:cs="宋体"/>
                <w:b/>
                <w:sz w:val="36"/>
                <w:lang w:val="en-US" w:eastAsia="zh-CN"/>
              </w:rPr>
              <w:t>自动化</w:t>
            </w:r>
          </w:p>
        </w:tc>
      </w:tr>
      <w:tr w14:paraId="5807D48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6405" w:type="dxa"/>
            <w:gridSpan w:val="2"/>
            <w:noWrap w:val="0"/>
            <w:vAlign w:val="top"/>
          </w:tcPr>
          <w:p w14:paraId="7B771131">
            <w:pPr>
              <w:tabs>
                <w:tab w:val="left" w:pos="735"/>
                <w:tab w:val="left" w:pos="7875"/>
              </w:tabs>
              <w:spacing w:line="900" w:lineRule="exact"/>
              <w:jc w:val="center"/>
              <w:rPr>
                <w:rFonts w:hint="default" w:ascii="宋体" w:hAnsi="宋体" w:eastAsia="宋体"/>
                <w:b/>
                <w:sz w:val="36"/>
                <w:lang w:val="en-US" w:eastAsia="zh-CN"/>
              </w:rPr>
            </w:pPr>
            <w:r>
              <w:rPr>
                <w:rFonts w:hint="eastAsia" w:ascii="宋体" w:hAnsi="宋体"/>
                <w:b/>
                <w:sz w:val="36"/>
                <w:lang w:val="en-US" w:eastAsia="zh-CN"/>
              </w:rPr>
              <w:t>测控系统研究与实现</w:t>
            </w:r>
          </w:p>
        </w:tc>
      </w:tr>
    </w:tbl>
    <w:p w14:paraId="2F6ACA76">
      <w:pPr>
        <w:tabs>
          <w:tab w:val="left" w:pos="735"/>
          <w:tab w:val="left" w:pos="7875"/>
        </w:tabs>
        <w:spacing w:line="500" w:lineRule="exact"/>
        <w:ind w:firstLine="1286" w:firstLineChars="427"/>
        <w:jc w:val="left"/>
        <w:rPr>
          <w:rFonts w:hint="eastAsia"/>
          <w:b/>
          <w:sz w:val="30"/>
        </w:rPr>
      </w:pPr>
    </w:p>
    <w:tbl>
      <w:tblPr>
        <w:tblStyle w:val="13"/>
        <w:tblW w:w="0" w:type="auto"/>
        <w:tblInd w:w="13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806"/>
        <w:gridCol w:w="1301"/>
        <w:gridCol w:w="2151"/>
      </w:tblGrid>
      <w:tr w14:paraId="0098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65AD7DBE">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学生姓名</w:t>
            </w:r>
          </w:p>
        </w:tc>
        <w:tc>
          <w:tcPr>
            <w:tcW w:w="1806" w:type="dxa"/>
            <w:tcBorders>
              <w:top w:val="nil"/>
              <w:left w:val="nil"/>
              <w:bottom w:val="single" w:color="auto" w:sz="4" w:space="0"/>
              <w:right w:val="nil"/>
            </w:tcBorders>
            <w:noWrap w:val="0"/>
            <w:vAlign w:val="top"/>
          </w:tcPr>
          <w:p w14:paraId="1C397064">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eastAsia="宋体"/>
                <w:b/>
                <w:sz w:val="32"/>
                <w:szCs w:val="32"/>
                <w:lang w:val="en-US" w:eastAsia="zh-CN"/>
              </w:rPr>
            </w:pPr>
            <w:r>
              <w:rPr>
                <w:rFonts w:hint="eastAsia" w:ascii="宋体" w:hAnsi="宋体"/>
                <w:b/>
                <w:sz w:val="32"/>
                <w:szCs w:val="32"/>
                <w:lang w:val="en-US" w:eastAsia="zh-CN"/>
              </w:rPr>
              <w:t>罗凌岚</w:t>
            </w:r>
          </w:p>
        </w:tc>
        <w:tc>
          <w:tcPr>
            <w:tcW w:w="1301" w:type="dxa"/>
            <w:tcBorders>
              <w:top w:val="nil"/>
              <w:left w:val="nil"/>
              <w:bottom w:val="nil"/>
              <w:right w:val="nil"/>
            </w:tcBorders>
            <w:noWrap w:val="0"/>
            <w:vAlign w:val="top"/>
          </w:tcPr>
          <w:p w14:paraId="3AAC5931">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学　号</w:t>
            </w:r>
          </w:p>
        </w:tc>
        <w:tc>
          <w:tcPr>
            <w:tcW w:w="1778" w:type="dxa"/>
            <w:tcBorders>
              <w:top w:val="nil"/>
              <w:left w:val="nil"/>
              <w:bottom w:val="single" w:color="auto" w:sz="4" w:space="0"/>
              <w:right w:val="nil"/>
            </w:tcBorders>
            <w:noWrap w:val="0"/>
            <w:vAlign w:val="top"/>
          </w:tcPr>
          <w:p w14:paraId="584F4988">
            <w:pPr>
              <w:tabs>
                <w:tab w:val="left" w:pos="735"/>
                <w:tab w:val="left" w:pos="3252"/>
                <w:tab w:val="left" w:pos="4515"/>
                <w:tab w:val="left" w:pos="5250"/>
                <w:tab w:val="left" w:pos="6090"/>
                <w:tab w:val="left" w:pos="7560"/>
                <w:tab w:val="left" w:pos="7875"/>
              </w:tabs>
              <w:spacing w:line="640" w:lineRule="exact"/>
              <w:jc w:val="center"/>
              <w:rPr>
                <w:rFonts w:hint="default" w:ascii="宋体" w:hAnsi="宋体" w:eastAsia="宋体"/>
                <w:b/>
                <w:sz w:val="32"/>
                <w:szCs w:val="32"/>
                <w:lang w:val="en-US" w:eastAsia="zh-CN"/>
              </w:rPr>
            </w:pPr>
            <w:r>
              <w:rPr>
                <w:rFonts w:hint="eastAsia" w:ascii="宋体" w:hAnsi="宋体"/>
                <w:b/>
                <w:sz w:val="32"/>
                <w:szCs w:val="32"/>
                <w:lang w:val="en-US" w:eastAsia="zh-CN"/>
              </w:rPr>
              <w:t>202231060826</w:t>
            </w:r>
          </w:p>
        </w:tc>
      </w:tr>
      <w:tr w14:paraId="1039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49458E38">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教学院系</w:t>
            </w:r>
          </w:p>
        </w:tc>
        <w:tc>
          <w:tcPr>
            <w:tcW w:w="4885" w:type="dxa"/>
            <w:gridSpan w:val="3"/>
            <w:tcBorders>
              <w:top w:val="nil"/>
              <w:left w:val="nil"/>
              <w:bottom w:val="single" w:color="auto" w:sz="4" w:space="0"/>
              <w:right w:val="nil"/>
            </w:tcBorders>
            <w:noWrap w:val="0"/>
            <w:vAlign w:val="top"/>
          </w:tcPr>
          <w:p w14:paraId="18B1826B">
            <w:pPr>
              <w:tabs>
                <w:tab w:val="left" w:pos="735"/>
                <w:tab w:val="left" w:pos="3252"/>
                <w:tab w:val="left" w:pos="4515"/>
                <w:tab w:val="left" w:pos="5250"/>
                <w:tab w:val="left" w:pos="6090"/>
                <w:tab w:val="left" w:pos="7560"/>
                <w:tab w:val="left" w:pos="7875"/>
              </w:tabs>
              <w:spacing w:line="640" w:lineRule="exact"/>
              <w:jc w:val="center"/>
              <w:rPr>
                <w:rFonts w:hint="default" w:ascii="宋体" w:hAnsi="宋体" w:eastAsia="宋体"/>
                <w:b/>
                <w:sz w:val="32"/>
                <w:szCs w:val="32"/>
                <w:lang w:val="en-US" w:eastAsia="zh-CN"/>
              </w:rPr>
            </w:pPr>
            <w:r>
              <w:rPr>
                <w:rFonts w:hint="eastAsia" w:ascii="宋体" w:hAnsi="宋体"/>
                <w:b/>
                <w:sz w:val="32"/>
                <w:szCs w:val="32"/>
                <w:lang w:val="en-US" w:eastAsia="zh-CN"/>
              </w:rPr>
              <w:t>计算机与软件学院</w:t>
            </w:r>
          </w:p>
        </w:tc>
      </w:tr>
      <w:tr w14:paraId="5071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74D60451">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u w:val="single"/>
              </w:rPr>
            </w:pPr>
            <w:r>
              <w:rPr>
                <w:rFonts w:hint="eastAsia" w:ascii="宋体" w:hAnsi="宋体"/>
                <w:b/>
                <w:sz w:val="32"/>
                <w:szCs w:val="32"/>
              </w:rPr>
              <w:t>专业年级</w:t>
            </w:r>
          </w:p>
        </w:tc>
        <w:tc>
          <w:tcPr>
            <w:tcW w:w="4885" w:type="dxa"/>
            <w:gridSpan w:val="3"/>
            <w:tcBorders>
              <w:top w:val="single" w:color="auto" w:sz="4" w:space="0"/>
              <w:left w:val="nil"/>
              <w:bottom w:val="single" w:color="auto" w:sz="4" w:space="0"/>
              <w:right w:val="nil"/>
            </w:tcBorders>
            <w:noWrap w:val="0"/>
            <w:vAlign w:val="top"/>
          </w:tcPr>
          <w:p w14:paraId="15A02D95">
            <w:pPr>
              <w:tabs>
                <w:tab w:val="left" w:pos="735"/>
                <w:tab w:val="left" w:pos="3252"/>
                <w:tab w:val="left" w:pos="4515"/>
                <w:tab w:val="left" w:pos="5250"/>
                <w:tab w:val="left" w:pos="6090"/>
                <w:tab w:val="left" w:pos="7560"/>
                <w:tab w:val="left" w:pos="7875"/>
              </w:tabs>
              <w:spacing w:line="640" w:lineRule="exact"/>
              <w:jc w:val="center"/>
              <w:rPr>
                <w:rFonts w:hint="default" w:ascii="宋体" w:hAnsi="宋体" w:eastAsia="宋体"/>
                <w:b/>
                <w:sz w:val="32"/>
                <w:szCs w:val="32"/>
                <w:lang w:val="en-US" w:eastAsia="zh-CN"/>
              </w:rPr>
            </w:pPr>
            <w:r>
              <w:rPr>
                <w:rFonts w:hint="eastAsia" w:ascii="宋体" w:hAnsi="宋体"/>
                <w:b/>
                <w:sz w:val="32"/>
                <w:szCs w:val="32"/>
                <w:lang w:val="en-US" w:eastAsia="zh-CN"/>
              </w:rPr>
              <w:t>软件工程2022级</w:t>
            </w:r>
          </w:p>
        </w:tc>
      </w:tr>
      <w:tr w14:paraId="11C7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6043E51F">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指导教师</w:t>
            </w:r>
          </w:p>
        </w:tc>
        <w:tc>
          <w:tcPr>
            <w:tcW w:w="1806" w:type="dxa"/>
            <w:tcBorders>
              <w:top w:val="nil"/>
              <w:left w:val="nil"/>
              <w:bottom w:val="single" w:color="auto" w:sz="4" w:space="0"/>
              <w:right w:val="nil"/>
            </w:tcBorders>
            <w:noWrap w:val="0"/>
            <w:vAlign w:val="top"/>
          </w:tcPr>
          <w:p w14:paraId="134A49A5">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eastAsia="宋体"/>
                <w:b/>
                <w:sz w:val="32"/>
                <w:szCs w:val="32"/>
                <w:lang w:val="en-US" w:eastAsia="zh-CN"/>
              </w:rPr>
            </w:pPr>
            <w:r>
              <w:rPr>
                <w:rFonts w:hint="eastAsia" w:ascii="宋体" w:hAnsi="宋体"/>
                <w:b/>
                <w:sz w:val="32"/>
                <w:szCs w:val="32"/>
                <w:lang w:val="en-US" w:eastAsia="zh-CN"/>
              </w:rPr>
              <w:t>肖斌</w:t>
            </w:r>
          </w:p>
        </w:tc>
        <w:tc>
          <w:tcPr>
            <w:tcW w:w="1301" w:type="dxa"/>
            <w:tcBorders>
              <w:top w:val="single" w:color="auto" w:sz="4" w:space="0"/>
              <w:left w:val="nil"/>
              <w:bottom w:val="nil"/>
              <w:right w:val="nil"/>
            </w:tcBorders>
            <w:noWrap w:val="0"/>
            <w:vAlign w:val="top"/>
          </w:tcPr>
          <w:p w14:paraId="4F63EF17">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职　称</w:t>
            </w:r>
          </w:p>
        </w:tc>
        <w:tc>
          <w:tcPr>
            <w:tcW w:w="1778" w:type="dxa"/>
            <w:tcBorders>
              <w:top w:val="single" w:color="auto" w:sz="4" w:space="0"/>
              <w:left w:val="nil"/>
              <w:bottom w:val="single" w:color="auto" w:sz="4" w:space="0"/>
              <w:right w:val="nil"/>
            </w:tcBorders>
            <w:noWrap w:val="0"/>
            <w:vAlign w:val="top"/>
          </w:tcPr>
          <w:p w14:paraId="544C26AD">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eastAsia="宋体"/>
                <w:b/>
                <w:sz w:val="32"/>
                <w:szCs w:val="32"/>
                <w:lang w:val="en-US" w:eastAsia="zh-CN"/>
              </w:rPr>
            </w:pPr>
            <w:r>
              <w:rPr>
                <w:rFonts w:hint="eastAsia" w:ascii="宋体" w:hAnsi="宋体"/>
                <w:b/>
                <w:sz w:val="32"/>
                <w:szCs w:val="32"/>
                <w:lang w:val="en-US" w:eastAsia="zh-CN"/>
              </w:rPr>
              <w:t>教授</w:t>
            </w:r>
          </w:p>
        </w:tc>
      </w:tr>
      <w:tr w14:paraId="538E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656FE143">
            <w:pPr>
              <w:tabs>
                <w:tab w:val="left" w:pos="735"/>
                <w:tab w:val="left" w:pos="3252"/>
                <w:tab w:val="left" w:pos="4515"/>
                <w:tab w:val="left" w:pos="5250"/>
                <w:tab w:val="left" w:pos="6090"/>
                <w:tab w:val="left" w:pos="7560"/>
                <w:tab w:val="left" w:pos="7875"/>
              </w:tabs>
              <w:spacing w:line="640" w:lineRule="exact"/>
              <w:jc w:val="center"/>
              <w:rPr>
                <w:rFonts w:hint="eastAsia" w:ascii="宋体" w:hAnsi="宋体"/>
                <w:b/>
                <w:sz w:val="32"/>
                <w:szCs w:val="32"/>
                <w:u w:val="single"/>
              </w:rPr>
            </w:pPr>
            <w:r>
              <w:rPr>
                <w:rFonts w:hint="eastAsia" w:ascii="宋体" w:hAnsi="宋体"/>
                <w:b/>
                <w:sz w:val="32"/>
                <w:szCs w:val="32"/>
              </w:rPr>
              <w:t>单　　位</w:t>
            </w:r>
          </w:p>
        </w:tc>
        <w:tc>
          <w:tcPr>
            <w:tcW w:w="4885" w:type="dxa"/>
            <w:gridSpan w:val="3"/>
            <w:tcBorders>
              <w:top w:val="nil"/>
              <w:left w:val="nil"/>
              <w:bottom w:val="single" w:color="auto" w:sz="4" w:space="0"/>
              <w:right w:val="nil"/>
            </w:tcBorders>
            <w:noWrap w:val="0"/>
            <w:vAlign w:val="top"/>
          </w:tcPr>
          <w:p w14:paraId="1F966B9D">
            <w:pPr>
              <w:tabs>
                <w:tab w:val="left" w:pos="735"/>
                <w:tab w:val="left" w:pos="3252"/>
                <w:tab w:val="left" w:pos="4515"/>
                <w:tab w:val="left" w:pos="5250"/>
                <w:tab w:val="left" w:pos="6090"/>
                <w:tab w:val="left" w:pos="7560"/>
                <w:tab w:val="left" w:pos="7875"/>
              </w:tabs>
              <w:spacing w:line="640" w:lineRule="exact"/>
              <w:jc w:val="center"/>
              <w:rPr>
                <w:rFonts w:hint="default" w:ascii="宋体" w:hAnsi="宋体" w:eastAsia="宋体"/>
                <w:b/>
                <w:sz w:val="32"/>
                <w:szCs w:val="32"/>
                <w:lang w:val="en-US" w:eastAsia="zh-CN"/>
              </w:rPr>
            </w:pPr>
            <w:r>
              <w:rPr>
                <w:rFonts w:hint="eastAsia" w:ascii="宋体" w:hAnsi="宋体"/>
                <w:b/>
                <w:sz w:val="32"/>
                <w:szCs w:val="32"/>
                <w:lang w:val="en-US" w:eastAsia="zh-CN"/>
              </w:rPr>
              <w:t>西南石油大学</w:t>
            </w:r>
          </w:p>
        </w:tc>
      </w:tr>
      <w:tr w14:paraId="0695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235C51B4">
            <w:pPr>
              <w:tabs>
                <w:tab w:val="left" w:pos="735"/>
                <w:tab w:val="left" w:pos="3147"/>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辅导教师</w:t>
            </w:r>
          </w:p>
        </w:tc>
        <w:tc>
          <w:tcPr>
            <w:tcW w:w="1806" w:type="dxa"/>
            <w:tcBorders>
              <w:top w:val="single" w:color="auto" w:sz="4" w:space="0"/>
              <w:left w:val="nil"/>
              <w:bottom w:val="single" w:color="auto" w:sz="4" w:space="0"/>
              <w:right w:val="nil"/>
            </w:tcBorders>
            <w:noWrap w:val="0"/>
            <w:vAlign w:val="top"/>
          </w:tcPr>
          <w:p w14:paraId="05D4ADC3">
            <w:pPr>
              <w:tabs>
                <w:tab w:val="left" w:pos="735"/>
                <w:tab w:val="left" w:pos="3147"/>
                <w:tab w:val="left" w:pos="7560"/>
                <w:tab w:val="left" w:pos="7875"/>
              </w:tabs>
              <w:spacing w:line="640" w:lineRule="exact"/>
              <w:jc w:val="center"/>
              <w:rPr>
                <w:rFonts w:hint="eastAsia" w:ascii="宋体" w:hAnsi="宋体"/>
                <w:b/>
                <w:sz w:val="32"/>
                <w:szCs w:val="32"/>
              </w:rPr>
            </w:pPr>
          </w:p>
        </w:tc>
        <w:tc>
          <w:tcPr>
            <w:tcW w:w="1301" w:type="dxa"/>
            <w:tcBorders>
              <w:top w:val="single" w:color="auto" w:sz="4" w:space="0"/>
              <w:left w:val="nil"/>
              <w:bottom w:val="nil"/>
              <w:right w:val="nil"/>
            </w:tcBorders>
            <w:noWrap w:val="0"/>
            <w:vAlign w:val="top"/>
          </w:tcPr>
          <w:p w14:paraId="7248C609">
            <w:pPr>
              <w:tabs>
                <w:tab w:val="left" w:pos="735"/>
                <w:tab w:val="left" w:pos="3147"/>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职称</w:t>
            </w:r>
          </w:p>
        </w:tc>
        <w:tc>
          <w:tcPr>
            <w:tcW w:w="1778" w:type="dxa"/>
            <w:tcBorders>
              <w:top w:val="single" w:color="auto" w:sz="4" w:space="0"/>
              <w:left w:val="nil"/>
              <w:bottom w:val="single" w:color="auto" w:sz="4" w:space="0"/>
              <w:right w:val="nil"/>
            </w:tcBorders>
            <w:noWrap w:val="0"/>
            <w:vAlign w:val="top"/>
          </w:tcPr>
          <w:p w14:paraId="442E73D3">
            <w:pPr>
              <w:tabs>
                <w:tab w:val="left" w:pos="735"/>
                <w:tab w:val="left" w:pos="3147"/>
                <w:tab w:val="left" w:pos="7560"/>
                <w:tab w:val="left" w:pos="7875"/>
              </w:tabs>
              <w:spacing w:line="640" w:lineRule="exact"/>
              <w:jc w:val="center"/>
              <w:rPr>
                <w:rFonts w:hint="eastAsia" w:ascii="宋体" w:hAnsi="宋体"/>
                <w:b/>
                <w:sz w:val="32"/>
                <w:szCs w:val="32"/>
              </w:rPr>
            </w:pPr>
          </w:p>
        </w:tc>
      </w:tr>
      <w:tr w14:paraId="7705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526" w:type="dxa"/>
            <w:tcBorders>
              <w:top w:val="nil"/>
              <w:left w:val="nil"/>
              <w:bottom w:val="nil"/>
              <w:right w:val="nil"/>
            </w:tcBorders>
            <w:noWrap w:val="0"/>
            <w:vAlign w:val="top"/>
          </w:tcPr>
          <w:p w14:paraId="1D80E456">
            <w:pPr>
              <w:tabs>
                <w:tab w:val="left" w:pos="735"/>
                <w:tab w:val="left" w:pos="4515"/>
                <w:tab w:val="left" w:pos="5250"/>
                <w:tab w:val="left" w:pos="6090"/>
                <w:tab w:val="left" w:pos="7560"/>
                <w:tab w:val="left" w:pos="7875"/>
              </w:tabs>
              <w:spacing w:line="640" w:lineRule="exact"/>
              <w:jc w:val="center"/>
              <w:rPr>
                <w:rFonts w:hint="eastAsia" w:ascii="宋体" w:hAnsi="宋体"/>
                <w:b/>
                <w:sz w:val="32"/>
                <w:szCs w:val="32"/>
              </w:rPr>
            </w:pPr>
            <w:r>
              <w:rPr>
                <w:rFonts w:hint="eastAsia" w:ascii="宋体" w:hAnsi="宋体"/>
                <w:b/>
                <w:sz w:val="32"/>
                <w:szCs w:val="32"/>
              </w:rPr>
              <w:t>单　　位</w:t>
            </w:r>
          </w:p>
        </w:tc>
        <w:tc>
          <w:tcPr>
            <w:tcW w:w="4885" w:type="dxa"/>
            <w:gridSpan w:val="3"/>
            <w:tcBorders>
              <w:top w:val="nil"/>
              <w:left w:val="nil"/>
              <w:bottom w:val="single" w:color="auto" w:sz="4" w:space="0"/>
              <w:right w:val="nil"/>
            </w:tcBorders>
            <w:noWrap w:val="0"/>
            <w:vAlign w:val="top"/>
          </w:tcPr>
          <w:p w14:paraId="45EF0172">
            <w:pPr>
              <w:tabs>
                <w:tab w:val="left" w:pos="735"/>
                <w:tab w:val="left" w:pos="4515"/>
                <w:tab w:val="left" w:pos="5250"/>
                <w:tab w:val="left" w:pos="6090"/>
                <w:tab w:val="left" w:pos="7560"/>
                <w:tab w:val="left" w:pos="7875"/>
              </w:tabs>
              <w:spacing w:line="640" w:lineRule="exact"/>
              <w:jc w:val="center"/>
              <w:rPr>
                <w:rFonts w:hint="eastAsia" w:ascii="宋体" w:hAnsi="宋体"/>
                <w:b/>
                <w:sz w:val="32"/>
                <w:szCs w:val="32"/>
              </w:rPr>
            </w:pPr>
          </w:p>
        </w:tc>
      </w:tr>
    </w:tbl>
    <w:p w14:paraId="338B27AA">
      <w:pPr>
        <w:rPr>
          <w:rFonts w:ascii="宋体" w:hAnsi="宋体"/>
          <w:sz w:val="32"/>
          <w:szCs w:val="32"/>
        </w:rPr>
      </w:pPr>
    </w:p>
    <w:tbl>
      <w:tblPr>
        <w:tblStyle w:val="13"/>
        <w:tblW w:w="6411" w:type="dxa"/>
        <w:tblInd w:w="1368" w:type="dxa"/>
        <w:tblLayout w:type="autofit"/>
        <w:tblCellMar>
          <w:top w:w="0" w:type="dxa"/>
          <w:left w:w="108" w:type="dxa"/>
          <w:bottom w:w="0" w:type="dxa"/>
          <w:right w:w="108" w:type="dxa"/>
        </w:tblCellMar>
      </w:tblPr>
      <w:tblGrid>
        <w:gridCol w:w="1609"/>
        <w:gridCol w:w="1295"/>
        <w:gridCol w:w="702"/>
        <w:gridCol w:w="701"/>
        <w:gridCol w:w="702"/>
        <w:gridCol w:w="701"/>
        <w:gridCol w:w="701"/>
      </w:tblGrid>
      <w:tr w14:paraId="713C766C">
        <w:tblPrEx>
          <w:tblCellMar>
            <w:top w:w="0" w:type="dxa"/>
            <w:left w:w="108" w:type="dxa"/>
            <w:bottom w:w="0" w:type="dxa"/>
            <w:right w:w="108" w:type="dxa"/>
          </w:tblCellMar>
        </w:tblPrEx>
        <w:trPr>
          <w:trHeight w:val="717" w:hRule="atLeast"/>
        </w:trPr>
        <w:tc>
          <w:tcPr>
            <w:tcW w:w="1601" w:type="dxa"/>
            <w:noWrap w:val="0"/>
            <w:vAlign w:val="top"/>
          </w:tcPr>
          <w:p w14:paraId="001DF263">
            <w:pPr>
              <w:tabs>
                <w:tab w:val="left" w:pos="735"/>
                <w:tab w:val="left" w:pos="7875"/>
              </w:tabs>
              <w:spacing w:line="640" w:lineRule="exact"/>
              <w:jc w:val="center"/>
              <w:rPr>
                <w:rFonts w:ascii="宋体" w:hAnsi="宋体"/>
                <w:sz w:val="32"/>
                <w:szCs w:val="32"/>
              </w:rPr>
            </w:pPr>
            <w:r>
              <w:rPr>
                <w:rFonts w:hint="eastAsia" w:ascii="宋体" w:hAnsi="宋体"/>
                <w:b/>
                <w:sz w:val="32"/>
                <w:szCs w:val="32"/>
              </w:rPr>
              <w:t>完成日期</w:t>
            </w:r>
          </w:p>
        </w:tc>
        <w:tc>
          <w:tcPr>
            <w:tcW w:w="1289" w:type="dxa"/>
            <w:noWrap w:val="0"/>
            <w:vAlign w:val="top"/>
          </w:tcPr>
          <w:p w14:paraId="06C71AFB">
            <w:pPr>
              <w:tabs>
                <w:tab w:val="left" w:pos="735"/>
                <w:tab w:val="left" w:pos="7875"/>
              </w:tabs>
              <w:spacing w:line="640" w:lineRule="exact"/>
              <w:jc w:val="center"/>
              <w:rPr>
                <w:rFonts w:hint="default" w:ascii="宋体" w:hAnsi="宋体" w:eastAsiaTheme="minorEastAsia"/>
                <w:b/>
                <w:sz w:val="32"/>
                <w:szCs w:val="32"/>
                <w:lang w:val="en-US" w:eastAsia="zh-CN"/>
              </w:rPr>
            </w:pPr>
            <w:r>
              <w:rPr>
                <w:rFonts w:hint="eastAsia" w:ascii="宋体" w:hAnsi="宋体"/>
                <w:b/>
                <w:sz w:val="32"/>
                <w:szCs w:val="32"/>
                <w:lang w:val="en-US" w:eastAsia="zh-CN"/>
              </w:rPr>
              <w:t>2026</w:t>
            </w:r>
          </w:p>
        </w:tc>
        <w:tc>
          <w:tcPr>
            <w:tcW w:w="698" w:type="dxa"/>
            <w:noWrap w:val="0"/>
            <w:vAlign w:val="top"/>
          </w:tcPr>
          <w:p w14:paraId="49C416AC">
            <w:pPr>
              <w:tabs>
                <w:tab w:val="left" w:pos="735"/>
                <w:tab w:val="left" w:pos="7875"/>
              </w:tabs>
              <w:spacing w:line="640" w:lineRule="exact"/>
              <w:jc w:val="center"/>
              <w:rPr>
                <w:rFonts w:ascii="宋体" w:hAnsi="宋体"/>
                <w:sz w:val="32"/>
                <w:szCs w:val="32"/>
              </w:rPr>
            </w:pPr>
            <w:r>
              <w:rPr>
                <w:rFonts w:hint="eastAsia" w:ascii="宋体" w:hAnsi="宋体"/>
                <w:b/>
                <w:sz w:val="32"/>
                <w:szCs w:val="32"/>
              </w:rPr>
              <w:t>年</w:t>
            </w:r>
          </w:p>
        </w:tc>
        <w:tc>
          <w:tcPr>
            <w:tcW w:w="697" w:type="dxa"/>
            <w:noWrap w:val="0"/>
            <w:vAlign w:val="top"/>
          </w:tcPr>
          <w:p w14:paraId="31041972">
            <w:pPr>
              <w:tabs>
                <w:tab w:val="left" w:pos="735"/>
                <w:tab w:val="left" w:pos="7875"/>
              </w:tabs>
              <w:spacing w:line="640" w:lineRule="exact"/>
              <w:jc w:val="center"/>
              <w:rPr>
                <w:rFonts w:hint="default" w:ascii="宋体" w:hAnsi="宋体" w:eastAsiaTheme="minorEastAsia"/>
                <w:b/>
                <w:sz w:val="32"/>
                <w:szCs w:val="32"/>
                <w:lang w:val="en-US" w:eastAsia="zh-CN"/>
              </w:rPr>
            </w:pPr>
            <w:r>
              <w:rPr>
                <w:rFonts w:hint="eastAsia" w:ascii="宋体" w:hAnsi="宋体"/>
                <w:b/>
                <w:sz w:val="32"/>
                <w:szCs w:val="32"/>
                <w:lang w:val="en-US" w:eastAsia="zh-CN"/>
              </w:rPr>
              <w:t xml:space="preserve"> 5</w:t>
            </w:r>
            <w:bookmarkStart w:id="88" w:name="_GoBack"/>
            <w:bookmarkEnd w:id="88"/>
          </w:p>
        </w:tc>
        <w:tc>
          <w:tcPr>
            <w:tcW w:w="698" w:type="dxa"/>
            <w:noWrap w:val="0"/>
            <w:vAlign w:val="top"/>
          </w:tcPr>
          <w:p w14:paraId="08B01EF4">
            <w:pPr>
              <w:tabs>
                <w:tab w:val="left" w:pos="735"/>
                <w:tab w:val="left" w:pos="7875"/>
              </w:tabs>
              <w:spacing w:line="640" w:lineRule="exact"/>
              <w:jc w:val="center"/>
              <w:rPr>
                <w:rFonts w:ascii="宋体" w:hAnsi="宋体"/>
                <w:sz w:val="32"/>
                <w:szCs w:val="32"/>
              </w:rPr>
            </w:pPr>
            <w:r>
              <w:rPr>
                <w:rFonts w:hint="eastAsia" w:ascii="宋体" w:hAnsi="宋体"/>
                <w:b/>
                <w:sz w:val="32"/>
                <w:szCs w:val="32"/>
              </w:rPr>
              <w:t>月</w:t>
            </w:r>
          </w:p>
        </w:tc>
        <w:tc>
          <w:tcPr>
            <w:tcW w:w="697" w:type="dxa"/>
            <w:noWrap w:val="0"/>
            <w:vAlign w:val="top"/>
          </w:tcPr>
          <w:p w14:paraId="5CFE87C9">
            <w:pPr>
              <w:tabs>
                <w:tab w:val="left" w:pos="735"/>
                <w:tab w:val="left" w:pos="7875"/>
              </w:tabs>
              <w:spacing w:line="640" w:lineRule="exact"/>
              <w:jc w:val="center"/>
              <w:rPr>
                <w:rFonts w:ascii="宋体" w:hAnsi="宋体"/>
                <w:b/>
                <w:sz w:val="32"/>
                <w:szCs w:val="32"/>
              </w:rPr>
            </w:pPr>
          </w:p>
        </w:tc>
        <w:tc>
          <w:tcPr>
            <w:tcW w:w="697" w:type="dxa"/>
            <w:noWrap w:val="0"/>
            <w:vAlign w:val="top"/>
          </w:tcPr>
          <w:p w14:paraId="3DE503EF">
            <w:pPr>
              <w:tabs>
                <w:tab w:val="left" w:pos="735"/>
                <w:tab w:val="left" w:pos="7875"/>
              </w:tabs>
              <w:spacing w:line="640" w:lineRule="exact"/>
              <w:jc w:val="center"/>
              <w:rPr>
                <w:rFonts w:ascii="宋体" w:hAnsi="宋体"/>
                <w:sz w:val="32"/>
                <w:szCs w:val="32"/>
              </w:rPr>
            </w:pPr>
            <w:r>
              <w:rPr>
                <w:rFonts w:hint="eastAsia" w:ascii="宋体" w:hAnsi="宋体"/>
                <w:b/>
                <w:sz w:val="32"/>
                <w:szCs w:val="32"/>
              </w:rPr>
              <w:t>日</w:t>
            </w:r>
          </w:p>
        </w:tc>
      </w:tr>
    </w:tbl>
    <w:p w14:paraId="273BA4B0">
      <w:pPr>
        <w:bidi w:val="0"/>
        <w:outlineLvl w:val="9"/>
        <w:rPr>
          <w:rFonts w:hint="eastAsia"/>
          <w:sz w:val="32"/>
          <w:szCs w:val="32"/>
        </w:rPr>
        <w:sectPr>
          <w:pgSz w:w="11906" w:h="16838"/>
          <w:pgMar w:top="1440" w:right="1800" w:bottom="1440" w:left="1800" w:header="851" w:footer="992" w:gutter="0"/>
          <w:cols w:space="425" w:num="1"/>
          <w:docGrid w:type="lines" w:linePitch="312" w:charSpace="0"/>
        </w:sectPr>
      </w:pPr>
    </w:p>
    <w:p w14:paraId="4F141916">
      <w:pPr>
        <w:tabs>
          <w:tab w:val="left" w:pos="735"/>
        </w:tabs>
        <w:spacing w:before="312" w:beforeLines="100" w:line="360" w:lineRule="auto"/>
        <w:jc w:val="center"/>
        <w:rPr>
          <w:rFonts w:hint="eastAsia" w:ascii="Times New Roman" w:hAnsi="Times New Roman" w:eastAsia="宋体" w:cs="Times New Roman"/>
          <w:sz w:val="52"/>
          <w:szCs w:val="52"/>
        </w:rPr>
      </w:pPr>
      <w:r>
        <w:rPr>
          <w:rFonts w:hint="eastAsia"/>
          <w:sz w:val="52"/>
          <w:szCs w:val="52"/>
        </w:rPr>
        <w:t xml:space="preserve"> </w:t>
      </w:r>
      <w:r>
        <w:rPr>
          <w:rFonts w:hint="eastAsia" w:ascii="Times New Roman" w:hAnsi="Times New Roman" w:eastAsia="宋体" w:cs="Times New Roman"/>
          <w:sz w:val="52"/>
          <w:szCs w:val="52"/>
        </w:rPr>
        <w:t xml:space="preserve">Southwest Petroleum University </w:t>
      </w:r>
    </w:p>
    <w:p w14:paraId="7F995C27">
      <w:pPr>
        <w:tabs>
          <w:tab w:val="left" w:pos="735"/>
        </w:tabs>
        <w:spacing w:before="312" w:beforeLines="100" w:line="360" w:lineRule="auto"/>
        <w:jc w:val="center"/>
        <w:rPr>
          <w:rFonts w:hint="eastAsia" w:ascii="Times New Roman" w:hAnsi="Times New Roman" w:eastAsia="宋体" w:cs="Times New Roman"/>
          <w:sz w:val="52"/>
          <w:szCs w:val="52"/>
        </w:rPr>
      </w:pPr>
      <w:r>
        <w:rPr>
          <w:rFonts w:hint="eastAsia" w:ascii="Times New Roman" w:hAnsi="Times New Roman" w:eastAsia="宋体" w:cs="Times New Roman"/>
          <w:sz w:val="52"/>
          <w:szCs w:val="52"/>
        </w:rPr>
        <w:t>Graduation Thesis</w:t>
      </w:r>
    </w:p>
    <w:p w14:paraId="535268A4">
      <w:pPr>
        <w:tabs>
          <w:tab w:val="left" w:pos="735"/>
        </w:tabs>
        <w:spacing w:before="312" w:beforeLines="100" w:line="360" w:lineRule="auto"/>
        <w:jc w:val="center"/>
        <w:rPr>
          <w:rFonts w:hint="eastAsia" w:eastAsia="方正大标宋简体"/>
          <w:b/>
          <w:sz w:val="52"/>
          <w:szCs w:val="52"/>
        </w:rPr>
      </w:pPr>
      <w:r>
        <w:drawing>
          <wp:inline distT="0" distB="0" distL="114300" distR="114300">
            <wp:extent cx="1604010" cy="1156970"/>
            <wp:effectExtent l="0" t="0" r="8890" b="11430"/>
            <wp:docPr id="32" name="图片 3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
                    <pic:cNvPicPr>
                      <a:picLocks noChangeAspect="1"/>
                    </pic:cNvPicPr>
                  </pic:nvPicPr>
                  <pic:blipFill>
                    <a:blip r:embed="rId13"/>
                    <a:stretch>
                      <a:fillRect/>
                    </a:stretch>
                  </pic:blipFill>
                  <pic:spPr>
                    <a:xfrm>
                      <a:off x="0" y="0"/>
                      <a:ext cx="1604010" cy="1156970"/>
                    </a:xfrm>
                    <a:prstGeom prst="rect">
                      <a:avLst/>
                    </a:prstGeom>
                    <a:noFill/>
                    <a:ln>
                      <a:noFill/>
                    </a:ln>
                  </pic:spPr>
                </pic:pic>
              </a:graphicData>
            </a:graphic>
          </wp:inline>
        </w:drawing>
      </w:r>
    </w:p>
    <w:p w14:paraId="331F88C8">
      <w:pPr>
        <w:tabs>
          <w:tab w:val="left" w:pos="735"/>
          <w:tab w:val="left" w:pos="7560"/>
        </w:tabs>
        <w:spacing w:before="312" w:beforeLines="100" w:line="360" w:lineRule="auto"/>
        <w:jc w:val="center"/>
        <w:rPr>
          <w:rFonts w:hint="eastAsia"/>
        </w:rPr>
      </w:pPr>
    </w:p>
    <w:p w14:paraId="6237D0FB">
      <w:pPr>
        <w:tabs>
          <w:tab w:val="left" w:pos="735"/>
        </w:tabs>
        <w:rPr>
          <w:rFonts w:eastAsia="黑体"/>
          <w:bCs/>
          <w:sz w:val="15"/>
        </w:rPr>
      </w:pPr>
    </w:p>
    <w:p w14:paraId="4FA73859">
      <w:pPr>
        <w:tabs>
          <w:tab w:val="left" w:pos="735"/>
          <w:tab w:val="left" w:pos="7875"/>
        </w:tabs>
        <w:spacing w:line="500" w:lineRule="exact"/>
        <w:rPr>
          <w:rFonts w:hint="eastAsia" w:eastAsia="黑体"/>
          <w:bCs/>
          <w:sz w:val="15"/>
        </w:rPr>
      </w:pPr>
    </w:p>
    <w:p w14:paraId="71C60277">
      <w:pPr>
        <w:tabs>
          <w:tab w:val="left" w:pos="735"/>
          <w:tab w:val="left" w:pos="7875"/>
        </w:tabs>
        <w:spacing w:line="500" w:lineRule="exact"/>
        <w:rPr>
          <w:rFonts w:hint="eastAsia"/>
          <w:bCs/>
          <w:sz w:val="18"/>
          <w:szCs w:val="18"/>
        </w:rPr>
      </w:pPr>
    </w:p>
    <w:p w14:paraId="25766B54">
      <w:pPr>
        <w:tabs>
          <w:tab w:val="left" w:pos="735"/>
          <w:tab w:val="left" w:pos="7875"/>
        </w:tabs>
        <w:spacing w:line="500" w:lineRule="exact"/>
        <w:jc w:val="center"/>
        <w:rPr>
          <w:rFonts w:hint="eastAsia" w:ascii="Times New Roman" w:hAnsi="Times New Roman" w:eastAsia="宋体" w:cs="Times New Roman"/>
          <w:b/>
          <w:bCs/>
          <w:sz w:val="32"/>
          <w:szCs w:val="32"/>
        </w:rPr>
      </w:pPr>
      <w:r>
        <w:rPr>
          <w:rFonts w:hint="eastAsia" w:ascii="Times New Roman" w:hAnsi="Times New Roman" w:eastAsia="宋体" w:cs="Times New Roman"/>
          <w:b/>
          <w:bCs/>
          <w:sz w:val="32"/>
          <w:szCs w:val="32"/>
        </w:rPr>
        <w:t>Research and Implementation of an Automated Measurement and Control System for Non-combustibility Testing of Building Materials</w:t>
      </w:r>
    </w:p>
    <w:p w14:paraId="4BC7216F">
      <w:pPr>
        <w:ind w:left="2518" w:leftChars="1199" w:firstLine="148" w:firstLineChars="49"/>
        <w:rPr>
          <w:rFonts w:hint="eastAsia" w:ascii="Times New Roman" w:hAnsi="Times New Roman" w:eastAsia="宋体" w:cs="Times New Roman"/>
          <w:b/>
          <w:sz w:val="30"/>
          <w:szCs w:val="30"/>
        </w:rPr>
      </w:pPr>
    </w:p>
    <w:p w14:paraId="4F311A3B">
      <w:pPr>
        <w:ind w:left="2518" w:leftChars="1199" w:firstLine="148" w:firstLineChars="49"/>
        <w:rPr>
          <w:rFonts w:hint="default" w:ascii="Times New Roman" w:hAnsi="Times New Roman" w:eastAsia="宋体" w:cs="Times New Roman"/>
          <w:b/>
          <w:sz w:val="30"/>
          <w:szCs w:val="30"/>
          <w:lang w:val="en-US" w:eastAsia="zh-CN"/>
        </w:rPr>
      </w:pPr>
      <w:r>
        <w:rPr>
          <w:rFonts w:ascii="Times New Roman" w:hAnsi="Times New Roman" w:eastAsia="宋体" w:cs="Times New Roman"/>
          <w:b/>
          <w:sz w:val="30"/>
          <w:szCs w:val="30"/>
        </w:rPr>
        <w:t>Grade:</w:t>
      </w:r>
      <w:r>
        <w:rPr>
          <w:rFonts w:hint="eastAsia" w:ascii="Times New Roman" w:hAnsi="Times New Roman" w:eastAsia="宋体" w:cs="Times New Roman"/>
          <w:b/>
          <w:sz w:val="30"/>
          <w:szCs w:val="30"/>
        </w:rPr>
        <w:t xml:space="preserve">  20</w:t>
      </w:r>
      <w:r>
        <w:rPr>
          <w:rFonts w:hint="eastAsia" w:ascii="Times New Roman" w:hAnsi="Times New Roman" w:eastAsia="宋体" w:cs="Times New Roman"/>
          <w:b/>
          <w:sz w:val="30"/>
          <w:szCs w:val="30"/>
          <w:lang w:val="en-US" w:eastAsia="zh-CN"/>
        </w:rPr>
        <w:t>22</w:t>
      </w:r>
    </w:p>
    <w:p w14:paraId="766E3B8D">
      <w:pPr>
        <w:ind w:left="2518" w:leftChars="1199" w:firstLine="148" w:firstLineChars="49"/>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Pr>
        <w:t xml:space="preserve">Name:   </w:t>
      </w:r>
      <w:r>
        <w:rPr>
          <w:rFonts w:hint="eastAsia" w:ascii="Times New Roman" w:hAnsi="Times New Roman" w:eastAsia="宋体" w:cs="Times New Roman"/>
          <w:b/>
          <w:sz w:val="30"/>
          <w:szCs w:val="30"/>
          <w:lang w:val="en-US" w:eastAsia="zh-CN"/>
        </w:rPr>
        <w:t>Luo Linglan</w:t>
      </w:r>
    </w:p>
    <w:p w14:paraId="546307AE">
      <w:pPr>
        <w:ind w:left="2518" w:leftChars="1199" w:firstLine="148" w:firstLineChars="49"/>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Speciality:  P</w:t>
      </w:r>
      <w:r>
        <w:rPr>
          <w:rFonts w:ascii="Times New Roman" w:hAnsi="Times New Roman" w:eastAsia="宋体" w:cs="Times New Roman"/>
          <w:b/>
          <w:sz w:val="30"/>
          <w:szCs w:val="30"/>
        </w:rPr>
        <w:t xml:space="preserve">etroleum </w:t>
      </w:r>
      <w:r>
        <w:rPr>
          <w:rFonts w:hint="eastAsia" w:ascii="Times New Roman" w:hAnsi="Times New Roman" w:eastAsia="宋体" w:cs="Times New Roman"/>
          <w:b/>
          <w:sz w:val="30"/>
          <w:szCs w:val="30"/>
        </w:rPr>
        <w:t>E</w:t>
      </w:r>
      <w:r>
        <w:rPr>
          <w:rFonts w:ascii="Times New Roman" w:hAnsi="Times New Roman" w:eastAsia="宋体" w:cs="Times New Roman"/>
          <w:b/>
          <w:sz w:val="30"/>
          <w:szCs w:val="30"/>
        </w:rPr>
        <w:t>ngineering</w:t>
      </w:r>
    </w:p>
    <w:p w14:paraId="2D0C9502">
      <w:pPr>
        <w:ind w:left="2518" w:leftChars="1199" w:firstLine="148" w:firstLineChars="49"/>
        <w:rPr>
          <w:rFonts w:hint="eastAsia"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Pr>
        <w:t>Instruct</w:t>
      </w:r>
      <w:r>
        <w:rPr>
          <w:rFonts w:ascii="Times New Roman" w:hAnsi="Times New Roman" w:eastAsia="宋体" w:cs="Times New Roman"/>
          <w:b/>
          <w:sz w:val="30"/>
          <w:szCs w:val="30"/>
        </w:rPr>
        <w:t>or</w:t>
      </w:r>
      <w:r>
        <w:rPr>
          <w:rFonts w:hint="eastAsia" w:ascii="Times New Roman" w:hAnsi="Times New Roman" w:eastAsia="宋体" w:cs="Times New Roman"/>
          <w:b/>
          <w:sz w:val="30"/>
          <w:szCs w:val="30"/>
        </w:rPr>
        <w:t xml:space="preserve">:  </w:t>
      </w:r>
      <w:r>
        <w:rPr>
          <w:rFonts w:hint="eastAsia" w:ascii="Times New Roman" w:hAnsi="Times New Roman" w:eastAsia="宋体" w:cs="Times New Roman"/>
          <w:b/>
          <w:sz w:val="30"/>
          <w:szCs w:val="30"/>
          <w:lang w:val="en-US" w:eastAsia="zh-CN"/>
        </w:rPr>
        <w:t>Xiao Bin</w:t>
      </w:r>
    </w:p>
    <w:p w14:paraId="3481DFA6">
      <w:pPr>
        <w:rPr>
          <w:rFonts w:hint="eastAsia" w:ascii="Times New Roman" w:hAnsi="Times New Roman" w:eastAsia="宋体" w:cs="Times New Roman"/>
          <w:b/>
          <w:sz w:val="30"/>
          <w:szCs w:val="30"/>
          <w:lang w:val="en-US" w:eastAsia="zh-CN"/>
        </w:rPr>
      </w:pPr>
    </w:p>
    <w:p w14:paraId="78A87062">
      <w:pPr>
        <w:rPr>
          <w:rFonts w:hint="default" w:ascii="Times New Roman" w:hAnsi="Times New Roman" w:eastAsia="宋体" w:cs="Times New Roman"/>
          <w:b/>
          <w:sz w:val="30"/>
          <w:szCs w:val="30"/>
          <w:lang w:val="en-US" w:eastAsia="zh-CN"/>
        </w:rPr>
      </w:pPr>
    </w:p>
    <w:p w14:paraId="43050D1A">
      <w:pPr>
        <w:keepNext w:val="0"/>
        <w:keepLines w:val="0"/>
        <w:pageBreakBefore w:val="0"/>
        <w:widowControl w:val="0"/>
        <w:tabs>
          <w:tab w:val="left" w:pos="735"/>
          <w:tab w:val="left" w:pos="7875"/>
        </w:tabs>
        <w:kinsoku/>
        <w:wordWrap w:val="0"/>
        <w:overflowPunct/>
        <w:topLinePunct w:val="0"/>
        <w:autoSpaceDE/>
        <w:autoSpaceDN/>
        <w:bidi w:val="0"/>
        <w:adjustRightInd/>
        <w:snapToGrid/>
        <w:spacing w:line="500" w:lineRule="exact"/>
        <w:jc w:val="both"/>
        <w:textAlignment w:val="auto"/>
        <w:rPr>
          <w:rFonts w:hint="default" w:ascii="Times New Roman" w:hAnsi="Times New Roman" w:eastAsia="宋体" w:cs="Times New Roman"/>
          <w:b/>
          <w:bCs/>
          <w:sz w:val="30"/>
          <w:szCs w:val="30"/>
          <w:lang w:val="en-US" w:eastAsia="zh-CN"/>
        </w:rPr>
      </w:pPr>
      <w:r>
        <w:rPr>
          <w:rFonts w:hint="eastAsia" w:ascii="Times New Roman" w:hAnsi="Times New Roman" w:eastAsia="宋体" w:cs="Times New Roman"/>
          <w:b/>
          <w:bCs/>
          <w:sz w:val="30"/>
          <w:szCs w:val="30"/>
          <w:lang w:val="en-US" w:eastAsia="zh-CN"/>
        </w:rPr>
        <w:t>School  of  Computer  Science  and  Software Engineering</w:t>
      </w:r>
    </w:p>
    <w:p w14:paraId="18B8DF76">
      <w:pPr>
        <w:tabs>
          <w:tab w:val="left" w:pos="735"/>
          <w:tab w:val="left" w:pos="7875"/>
        </w:tabs>
        <w:spacing w:line="500" w:lineRule="exact"/>
        <w:jc w:val="center"/>
        <w:rPr>
          <w:rFonts w:hint="default" w:ascii="Times New Roman" w:hAnsi="Times New Roman" w:eastAsia="宋体" w:cs="Times New Roman"/>
          <w:b/>
          <w:bCs/>
          <w:sz w:val="32"/>
          <w:szCs w:val="32"/>
          <w:lang w:val="en-US" w:eastAsia="zh-CN"/>
        </w:rPr>
      </w:pPr>
      <w:r>
        <w:rPr>
          <w:rFonts w:hint="eastAsia" w:ascii="Times New Roman" w:hAnsi="Times New Roman" w:eastAsia="宋体" w:cs="Times New Roman"/>
          <w:b/>
          <w:bCs/>
          <w:sz w:val="32"/>
          <w:szCs w:val="32"/>
          <w:lang w:val="en-US" w:eastAsia="zh-CN"/>
        </w:rPr>
        <w:t>2026-5</w:t>
      </w:r>
    </w:p>
    <w:p w14:paraId="4E146E8A">
      <w:pPr>
        <w:bidi w:val="0"/>
        <w:outlineLvl w:val="9"/>
        <w:rPr>
          <w:rFonts w:hint="eastAsia"/>
          <w:sz w:val="32"/>
          <w:szCs w:val="32"/>
        </w:rPr>
      </w:pPr>
    </w:p>
    <w:p w14:paraId="0876CAF9">
      <w:pPr>
        <w:shd w:val="clear"/>
        <w:bidi w:val="0"/>
        <w:jc w:val="center"/>
        <w:outlineLvl w:val="9"/>
        <w:rPr>
          <w:rFonts w:hint="eastAsia" w:eastAsiaTheme="minorEastAsia"/>
          <w:b/>
          <w:bCs/>
          <w:sz w:val="32"/>
          <w:szCs w:val="32"/>
          <w:lang w:val="en-US" w:eastAsia="zh-CN"/>
        </w:rPr>
      </w:pPr>
      <w:r>
        <w:rPr>
          <w:rFonts w:hint="eastAsia" w:ascii="宋体" w:hAnsi="宋体" w:eastAsia="宋体" w:cs="宋体"/>
          <w:b/>
          <w:bCs/>
          <w:sz w:val="32"/>
          <w:szCs w:val="32"/>
          <w:lang w:val="en-US" w:eastAsia="zh-CN"/>
        </w:rPr>
        <w:t>摘要</w:t>
      </w:r>
    </w:p>
    <w:p w14:paraId="0EB26943">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随着建筑防火安全相关要求逐渐提高，建筑材料不燃性测试做到规范化和自动化已成为行业需求，传统的人工测试模式有效率低、过程可控性不强和数据一致性不佳的问题，无法满足ISO11820-2020等国际标准对于过程控制精度以及结果可复现性的严格条件，为应对前面说的问题，本研究一并运用工业测控技术和现代软件工程方法，设计并弄成了一套针对建筑材料不燃性试验的自动化测控系统。</w:t>
      </w:r>
    </w:p>
    <w:p w14:paraId="39C5E2EF">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本研究有意打造一套严格依照ISO11820-2020国际标准、能替代人工操作达成全流程自动化控制的测控系统，以大幅增强建筑材料不燃性测试的效率、准确性以及数据规范性。</w:t>
      </w:r>
    </w:p>
    <w:p w14:paraId="7AE7E57C">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为了达成目标，本系统利用.NET6与WinForms三层架构来做开发，研究着重运用状态机模式对试验流程（空闲、升温、就绪、记录、完成）做精准建模和管理，还集成了两个主要算法：有一个为多阶段自适应温度控制算法，用来实现从室温到目标温度750°C的高效、平稳温度上升；二是基于MathNe.Numerics库所实现的线性拟合温度稳定性自动判定算法，以科学、客观地判定炉温是否连续600秒达到标准所规定的漂移与偏差要求，取代了以往的人工观察判断，系统以ModbusRTU协议跟PID温控器等硬件设备开展实时通讯，还选用SQLServer数据库对试验数据做持久化管理。</w:t>
      </w:r>
    </w:p>
    <w:p w14:paraId="72475C7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实验检验证实，本系统顺利做到了从试验开启、参数设定、自动升温与温度调控、数据采集到最终报告形成的全流程无人干预开展，系统可准确地把炉温控制在750°C±5°C的目标范围之内，其以核心算法为支撑的稳定性判断逻辑和ISO标准非常相符，误差极低。高频率（800ms周期）收集数据的能力和众多的测试模式，保障了数据完整无缺以及系统运行的可靠，系统不光可以自动产生格式完全符合标准的完整试验报告，它使用“状态机+PID闭环+算法判断”所形成的一套三位一体控制方案，较好地确保了测试过程的标准化以及可复现性质。</w:t>
      </w:r>
    </w:p>
    <w:p w14:paraId="7D1999C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lang w:eastAsia="zh-CN"/>
        </w:rPr>
      </w:pPr>
      <w:r>
        <w:rPr>
          <w:rFonts w:hint="eastAsia" w:ascii="宋体" w:hAnsi="宋体" w:eastAsia="宋体" w:cs="宋体"/>
          <w:i w:val="0"/>
          <w:iCs w:val="0"/>
          <w:caps w:val="0"/>
          <w:color w:val="333333"/>
          <w:spacing w:val="0"/>
          <w:sz w:val="24"/>
          <w:szCs w:val="24"/>
          <w:shd w:val="clear" w:fill="FFFFFF"/>
        </w:rPr>
        <w:t>研究所得表明，本文所研发的建筑材料不燃性试验自动化测控系统，顺利把标准化的试验流程变为自动化程序，做到了对传统人工测试模式的重大超越，为建筑防火材料检测领域给出了一套高效、精确且合规的技术解决办法</w:t>
      </w:r>
      <w:r>
        <w:rPr>
          <w:rFonts w:hint="eastAsia" w:ascii="宋体" w:hAnsi="宋体" w:eastAsia="宋体" w:cs="宋体"/>
          <w:i w:val="0"/>
          <w:iCs w:val="0"/>
          <w:caps w:val="0"/>
          <w:color w:val="333333"/>
          <w:spacing w:val="0"/>
          <w:sz w:val="24"/>
          <w:szCs w:val="24"/>
          <w:shd w:val="clear" w:fill="FFFFFF"/>
          <w:lang w:eastAsia="zh-CN"/>
        </w:rPr>
        <w:t>。</w:t>
      </w:r>
    </w:p>
    <w:p w14:paraId="6ECBCEC3">
      <w:pPr>
        <w:keepNext w:val="0"/>
        <w:keepLines w:val="0"/>
        <w:pageBreakBefore w:val="0"/>
        <w:widowControl w:val="0"/>
        <w:shd w:val="clear"/>
        <w:kinsoku/>
        <w:wordWrap/>
        <w:overflowPunct/>
        <w:topLinePunct w:val="0"/>
        <w:autoSpaceDE/>
        <w:autoSpaceDN/>
        <w:bidi w:val="0"/>
        <w:adjustRightInd/>
        <w:snapToGrid/>
        <w:spacing w:line="360" w:lineRule="auto"/>
        <w:textAlignment w:val="auto"/>
        <w:rPr>
          <w:rFonts w:hint="default" w:ascii="宋体" w:hAnsi="宋体" w:eastAsia="宋体" w:cs="宋体"/>
          <w:i w:val="0"/>
          <w:iCs w:val="0"/>
          <w:caps w:val="0"/>
          <w:color w:val="333333"/>
          <w:spacing w:val="0"/>
          <w:kern w:val="0"/>
          <w:sz w:val="24"/>
          <w:szCs w:val="24"/>
          <w:shd w:val="clear" w:fill="FFFFFF"/>
          <w:lang w:val="en-US" w:eastAsia="zh-CN" w:bidi="ar"/>
        </w:rPr>
        <w:sectPr>
          <w:headerReference r:id="rId3" w:type="default"/>
          <w:headerReference r:id="rId4"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宋体" w:hAnsi="宋体" w:eastAsia="宋体" w:cs="宋体"/>
          <w:b/>
          <w:bCs/>
          <w:i w:val="0"/>
          <w:iCs w:val="0"/>
          <w:caps w:val="0"/>
          <w:color w:val="333333"/>
          <w:spacing w:val="0"/>
          <w:kern w:val="0"/>
          <w:sz w:val="24"/>
          <w:szCs w:val="24"/>
          <w:shd w:val="clear" w:fill="FFFFFF"/>
          <w:lang w:val="en-US" w:eastAsia="zh-CN" w:bidi="ar"/>
        </w:rPr>
        <w:t>‌关键词‌：</w:t>
      </w:r>
      <w:r>
        <w:rPr>
          <w:rFonts w:hint="default" w:ascii="宋体" w:hAnsi="宋体" w:eastAsia="宋体" w:cs="宋体"/>
          <w:i w:val="0"/>
          <w:iCs w:val="0"/>
          <w:caps w:val="0"/>
          <w:color w:val="333333"/>
          <w:spacing w:val="0"/>
          <w:kern w:val="0"/>
          <w:sz w:val="24"/>
          <w:szCs w:val="24"/>
          <w:shd w:val="clear" w:fill="FFFFFF"/>
          <w:lang w:val="en-US" w:eastAsia="zh-CN" w:bidi="ar"/>
        </w:rPr>
        <w:t>建筑材料不燃性试验；ISO11820；自动化测控系统；状态机；多阶段</w:t>
      </w:r>
      <w:r>
        <w:rPr>
          <w:rFonts w:hint="eastAsia" w:ascii="宋体" w:hAnsi="宋体" w:eastAsia="宋体" w:cs="宋体"/>
          <w:i w:val="0"/>
          <w:iCs w:val="0"/>
          <w:caps w:val="0"/>
          <w:color w:val="333333"/>
          <w:spacing w:val="0"/>
          <w:kern w:val="0"/>
          <w:sz w:val="24"/>
          <w:szCs w:val="24"/>
          <w:shd w:val="clear" w:fill="FFFFFF"/>
          <w:lang w:val="en-US" w:eastAsia="zh-CN" w:bidi="ar"/>
        </w:rPr>
        <w:t>温</w:t>
      </w:r>
    </w:p>
    <w:p w14:paraId="2CD54451">
      <w:pPr>
        <w:keepNext w:val="0"/>
        <w:keepLines w:val="0"/>
        <w:pageBreakBefore w:val="0"/>
        <w:widowControl w:val="0"/>
        <w:shd w:val="clear"/>
        <w:kinsoku/>
        <w:wordWrap/>
        <w:overflowPunct/>
        <w:topLinePunct w:val="0"/>
        <w:autoSpaceDE/>
        <w:autoSpaceDN/>
        <w:bidi w:val="0"/>
        <w:adjustRightInd/>
        <w:snapToGrid/>
        <w:spacing w:line="360" w:lineRule="auto"/>
        <w:textAlignment w:val="auto"/>
        <w:outlineLvl w:val="9"/>
        <w:rPr>
          <w:rFonts w:hint="default" w:ascii="宋体" w:hAnsi="宋体" w:eastAsia="宋体" w:cs="宋体"/>
          <w:i w:val="0"/>
          <w:iCs w:val="0"/>
          <w:caps w:val="0"/>
          <w:color w:val="333333"/>
          <w:spacing w:val="0"/>
          <w:kern w:val="0"/>
          <w:sz w:val="24"/>
          <w:szCs w:val="24"/>
          <w:shd w:val="clear" w:fill="FFFFFF"/>
          <w:lang w:val="en-US" w:eastAsia="zh-CN" w:bidi="ar"/>
        </w:rPr>
      </w:pPr>
      <w:r>
        <w:rPr>
          <w:rFonts w:hint="default" w:ascii="宋体" w:hAnsi="宋体" w:eastAsia="宋体" w:cs="宋体"/>
          <w:i w:val="0"/>
          <w:iCs w:val="0"/>
          <w:caps w:val="0"/>
          <w:color w:val="333333"/>
          <w:spacing w:val="0"/>
          <w:kern w:val="0"/>
          <w:sz w:val="24"/>
          <w:szCs w:val="24"/>
          <w:shd w:val="clear" w:fill="FFFFFF"/>
          <w:lang w:val="en-US" w:eastAsia="zh-CN" w:bidi="ar"/>
        </w:rPr>
        <w:t>度控制；线性拟合算法；标准一致性。</w:t>
      </w:r>
      <w:r>
        <w:rPr>
          <w:rFonts w:hint="default" w:ascii="宋体" w:hAnsi="宋体" w:eastAsia="宋体" w:cs="宋体"/>
          <w:i w:val="0"/>
          <w:iCs w:val="0"/>
          <w:caps w:val="0"/>
          <w:color w:val="333333"/>
          <w:spacing w:val="0"/>
          <w:kern w:val="0"/>
          <w:sz w:val="24"/>
          <w:szCs w:val="24"/>
          <w:shd w:val="clear" w:fill="FFFFFF"/>
          <w:lang w:val="en-US" w:eastAsia="zh-CN" w:bidi="ar"/>
        </w:rPr>
        <w:br w:type="page"/>
      </w:r>
    </w:p>
    <w:p w14:paraId="25BB4114">
      <w:pPr>
        <w:shd w:val="clea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Abstract</w:t>
      </w:r>
    </w:p>
    <w:p w14:paraId="78DCCFD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With the gradual tightening of building fire safety requirements, standardizing and automating the non-combustibility test of building materials has become an industry demand. Traditional manual testing modes suffer from low efficiency, weak process controllability, and poor data consistency, failing to meet the stringent conditions for process control precision and result reproducibility stipulated by international standards such as ISO 11820:2020. To address the aforementioned problems, this study combines industrial measurement and control technology with modern software engineering methods to design and implement an automated measurement and control system for the non-combustibility test of building materials.</w:t>
      </w:r>
    </w:p>
    <w:p w14:paraId="5D808CE8">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This study aims to build a measurement and control system that strictly follows the ISO 11820:2020 international standard and can replace manual operations to achieve fully automated process control, thereby significantly enhancing the efficiency, accuracy, and data standardization of the non-combustibility test for building materials.</w:t>
      </w:r>
    </w:p>
    <w:p w14:paraId="53208B98">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sectPr>
          <w:footerReference r:id="rId5" w:type="default"/>
          <w:footerReference r:id="rId6"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default" w:ascii="Times New Roman" w:hAnsi="Times New Roman" w:cs="Times New Roman"/>
          <w:sz w:val="24"/>
          <w:szCs w:val="24"/>
        </w:rPr>
        <w:t xml:space="preserve">To achieve this goal, the system is developed using .NET 6 and the WinForms three-tier architecture. The research focuses on using the state machine pattern to precisely model and manage the test process (idle, heating, ready, recording, complete). It also integrates two main algorithms: one is a multi-stage adaptive temperature control algorithm, used to achieve efficient and smooth temperature rise from room temperature to the target temperature of 750 °C; the other is a linear fitting temperature stability automatic judgment algorithm implemented based on the MathNet.Numerics library, which scientifically and objectively determines whether the furnace temperature continuously meets the drift and deviation requirements specified by the standard for 600 seconds, replacing the previous manual observation and judgment. The system communicates in real time with hardware devices such as PID temperature controllers via the </w:t>
      </w:r>
    </w:p>
    <w:p w14:paraId="6987D43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Modbus RTU protocol, and uses an SQL Server database for persistent management of test data.</w:t>
      </w:r>
    </w:p>
    <w:p w14:paraId="7D63CC9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Experimental verification confirms that the system successfully realizes fully unattended operation for the entire process from test initiation, parameter setting, automatic heating and temperature regulation, data acquisition, to final report generation. The system can accurately control the furnace temperature within the target range of 750 °C ± 5 °C. Its stability judgment logic, supported by core algorithms, is highly consistent with the ISO standard, with extremely low error. The capability of high-frequency data collection (800 ms cycle) and multiple test modes ensures data integrity and system operational reliability. The system can not only automatically generate complete test reports in a format fully compliant with the standard, but its trinity control scheme formed by "state machine + PID closed-loop + algorithmic judgment" effectively ensures the standardization and reproducibility of the test process.</w:t>
      </w:r>
    </w:p>
    <w:p w14:paraId="64F43E5D">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The research results indicate that the automated measurement and control system for the non-combustibility test of building materials developed in this paper successfully transforms the standardized test process into an automated program, achieving a significant leap over the traditional manual testing mode, and provides an efficient, accurate, and compliant technical solution for the field of building fireproof material testing.</w:t>
      </w:r>
    </w:p>
    <w:p w14:paraId="0F164138">
      <w:pPr>
        <w:keepNext w:val="0"/>
        <w:keepLines w:val="0"/>
        <w:pageBreakBefore w:val="0"/>
        <w:widowControl w:val="0"/>
        <w:shd w:val="clea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building material non-combustibility test; ISO 11820; automated measurement and control system; state machine; multi-stage temperature control; linear fitting algorithm; standard consistency</w:t>
      </w:r>
      <w:r>
        <w:rPr>
          <w:rFonts w:hint="eastAsia" w:ascii="Times New Roman" w:hAnsi="Times New Roman" w:cs="Times New Roman"/>
          <w:sz w:val="24"/>
          <w:szCs w:val="24"/>
          <w:lang w:val="en-US" w:eastAsia="zh-CN"/>
        </w:rPr>
        <w:t>.</w:t>
      </w:r>
    </w:p>
    <w:p w14:paraId="592FAA46">
      <w:pPr>
        <w:shd w:val="clea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page"/>
      </w:r>
    </w:p>
    <w:sdt>
      <w:sdtPr>
        <w:rPr>
          <w:rFonts w:ascii="宋体" w:hAnsi="宋体" w:eastAsia="宋体" w:cstheme="minorBidi"/>
          <w:b/>
          <w:bCs/>
          <w:kern w:val="2"/>
          <w:sz w:val="32"/>
          <w:szCs w:val="32"/>
          <w:lang w:val="en-US" w:eastAsia="zh-CN" w:bidi="ar-SA"/>
        </w:rPr>
        <w:id w:val="147454913"/>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3AADB61">
          <w:pPr>
            <w:shd w:val="clea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736C883B">
          <w:pPr>
            <w:pStyle w:val="10"/>
            <w:shd w:val="clear"/>
            <w:tabs>
              <w:tab w:val="right" w:leader="dot" w:pos="8306"/>
            </w:tabs>
            <w:rPr>
              <w:rFonts w:hint="eastAsia" w:ascii="宋体" w:hAnsi="宋体" w:eastAsia="宋体" w:cs="宋体"/>
              <w:sz w:val="24"/>
              <w:szCs w:val="24"/>
            </w:rPr>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"1-3"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_Toc22043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_Toc22043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C618745">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_Toc16248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1.1研究背景及意义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_Toc16248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26DCFC4">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_Toc23809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1.2国内外研究现状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_Toc23809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76E6168">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_Toc23226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1.2.1国内研究现状</w:t>
          </w:r>
          <w:r>
            <w:rPr>
              <w:rFonts w:hint="eastAsia" w:ascii="宋体" w:hAnsi="宋体" w:eastAsia="宋体" w:cs="宋体"/>
              <w:kern w:val="2"/>
              <w:sz w:val="24"/>
              <w:szCs w:val="24"/>
              <w:lang w:val="en-US" w:eastAsia="zh-CN" w:bidi="ar-SA"/>
            </w:rPr>
            <w: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_Toc23226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A0373ED">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_Toc29956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1.2.2国外研究现状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_Toc29956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8635B87">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_Toc26736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1.3论文的主要工作和结构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_Toc26736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FB64685">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_Toc4417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1.3.1主要工作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_Toc4417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99E9F6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_Toc28613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1.3.2结构安排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_Toc28613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15F9D89">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_Toc25282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1.4本章小结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_Toc25282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82A8810">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_Toc20958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2相关技术与理论介绍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_Toc20958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9F79C71">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_Toc4414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2.1相关算法理论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_Toc4414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7629716">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_Toc15927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2.1.1 多阶段自适应温度控制算法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_Toc15927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24767A8">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_Toc627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2.1.2 基于线性拟合的温度稳定性自动判断算法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BE165AC">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_Toc28409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2.2系统开发相关技术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_Toc28409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CA7BD50">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_Toc28068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2.2.1 C#</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_Toc28068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61656A9">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_Toc5401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2.2.2 .NET 6框架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_Toc5401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43EBD9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_Toc9163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2.2.3 WinForms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_Toc9163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C89734B">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_Toc23091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2.2.4 Entity Framework Core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_Toc23091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1F1BA36">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_Toc31346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2.2.5 SQL Server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_Toc31346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1FCC8AC">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_Toc20097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2.3本章小结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_Toc20097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ABB2A32">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_Toc30300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 系统分析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_Toc30300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8A4C3FD">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_Toc2920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3.1 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DC27C26">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_Toc31836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3.1.1 技术可行性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_Toc31836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4B1159E">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_Toc22372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3.1.2 数据可行性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_Toc22372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AFD3FD0">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_Toc16916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3.1.3 经济可行性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_Toc16916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08B68BC">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_Toc15964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3.1.4 法律可行性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_Toc15964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D426576">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_Toc17774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3.2业务需求分析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_Toc17774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DA5B184">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_Toc27052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3.3 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_Toc27052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3AB9FB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_Toc2311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3.3.1 性能需求分析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B84196C">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_Toc7524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3.3.2 可靠性需求分析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_Toc7524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B5024BB">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_Toc1265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3.3.3 安全性需求分析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382F95A">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_Toc11402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3.4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_Toc11402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48CFAC3">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_Toc30318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_Toc30318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47C8833">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_Toc1123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4.1 系统技术架构设计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_Toc1123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68AB962">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_Toc20114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4.2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_Toc20114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6F90F45">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_Toc12046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4.2.1 整体设计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_Toc12046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00BAABF">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_Toc16112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4.2.2 ER 图说明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_Toc16112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8C6EDF9">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_Toc28664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4.2.3 表字段设计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_Toc28664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50B2D0F">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_Toc7361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 功能模块的设计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_Toc7361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2F75314">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_Toc28917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4.3.1 试验管理控制模块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_Toc28917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F92C747">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_Toc22049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4.3.2 智能温度控制模块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_Toc22049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4635910">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_Toc27894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4.3.3 实时数据采集与处理模块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_Toc27894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46BFA2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_Toc21080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4.3.4 用户交互模块设计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_Toc21080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2713736">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_Toc28098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‌4.3.5 报告自动生成模块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_Toc28098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DA29C6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_Toc7497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4.3.6 校准系统功能设计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_Toc7497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68DACA7">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_Toc7189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4.4 非功能模块的设计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_Toc7189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9EE5DA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_Toc32637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‌4.4.1 通信容错与硬件集成设计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_Toc32637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1EC7FBF">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_Toc24080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‌4.4.2 系统监控与日志管理设计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_Toc24080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9F2EB33">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_Toc28518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‌4.4.3 资源管理、性能优化与稳定性设计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_Toc28518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9CEEBD0">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_Toc7655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‌4.4.4 安全与合规性设计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_Toc7655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F18977B">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_Toc28105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4.5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_Toc28105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5F1BE30">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_Toc8998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_Toc8998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45216FF">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_Toc11892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5.1系统开发环境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_Toc11892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4F5CBC7">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_Toc31501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5.2 系统服务端实现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_Toc31501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BD27317">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_Toc14250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5.2.1 数据采集与通信服务实现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_Toc14250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8EE59F6">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_Toc4300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5.2.2 试验流程控制服务实现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_Toc4300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0F948BF">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_Toc13803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5.2.3 智能温度控制算法实现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_Toc13803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D943569">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_Toc23722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5.2.4 数据持久化与报表服务实现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_Toc23722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0EC4DD4">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_Toc28421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5.3系统客户端实现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_Toc28421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5C4BD919">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_Toc2397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5.3.1 试验监控主界面实现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_Toc2397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3CF44B0C">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_Toc22154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5.3.2 校准系统实现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_Toc22154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63D88AF">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_Toc10520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5.3.3 仿真模式实现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_Toc10520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F849112">
          <w:pPr>
            <w:pStyle w:val="7"/>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_Toc5920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5.3.4 数据管理界面实现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_Toc5920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F456FE1">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_Toc8222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5.4本章小结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_Toc8222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074F8EC7">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_Toc16211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6 系统测试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_Toc16211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4D0CF01">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_Toc22746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6.1测试目的及内容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_Toc22746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4C475701">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_Toc30144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6.2功能测试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_Toc30144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56D0B6F">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_Toc13774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6.3兼容性测试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_Toc13774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19AC2769">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_Toc30679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6.4 实验测试与数据分析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_Toc30679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E055FA5">
          <w:pPr>
            <w:pStyle w:val="11"/>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_Toc6098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6.5本章小结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_Toc6098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2FAF0916">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_Toc32654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7 展望与总结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_Toc32654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708E190">
          <w:pPr>
            <w:pStyle w:val="10"/>
            <w:shd w:val="clear"/>
            <w:tabs>
              <w:tab w:val="right" w:leader="dot" w:pos="8306"/>
            </w:tabs>
            <w:rPr>
              <w:rFonts w:hint="eastAsia" w:ascii="宋体" w:hAnsi="宋体" w:eastAsia="宋体" w:cs="宋体"/>
              <w:sz w:val="24"/>
              <w:szCs w:val="24"/>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_Toc17278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_Toc17278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7FA62FF9">
          <w:pPr>
            <w:pStyle w:val="10"/>
            <w:shd w:val="clear"/>
            <w:tabs>
              <w:tab w:val="right" w:leader="dot" w:pos="8306"/>
            </w:tabs>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_Toc20403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lang w:val="en-US" w:eastAsia="zh-CN"/>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_Toc20403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kern w:val="2"/>
              <w:sz w:val="24"/>
              <w:szCs w:val="24"/>
              <w:lang w:val="en-US" w:eastAsia="zh-CN" w:bidi="ar-SA"/>
            </w:rPr>
            <w:fldChar w:fldCharType="end"/>
          </w:r>
        </w:p>
        <w:p w14:paraId="6D97EAAF">
          <w:pPr>
            <w:shd w:val="clear"/>
            <w:rPr>
              <w:rFonts w:hint="eastAsia"/>
              <w:lang w:val="en-US" w:eastAsia="zh-CN"/>
            </w:rPr>
            <w:sectPr>
              <w:footerReference r:id="rId7" w:type="default"/>
              <w:footerReference r:id="rId8"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Theme="minorHAnsi" w:hAnsiTheme="minorHAnsi" w:eastAsiaTheme="minorEastAsia" w:cstheme="minorBidi"/>
              <w:kern w:val="2"/>
              <w:szCs w:val="24"/>
              <w:lang w:val="en-US" w:eastAsia="zh-CN" w:bidi="ar-SA"/>
            </w:rPr>
            <w:fldChar w:fldCharType="end"/>
          </w:r>
        </w:p>
      </w:sdtContent>
    </w:sdt>
    <w:p w14:paraId="35342628">
      <w:pPr>
        <w:pStyle w:val="2"/>
        <w:shd w:val="clear"/>
        <w:bidi w:val="0"/>
        <w:rPr>
          <w:rFonts w:hint="eastAsia" w:ascii="宋体" w:hAnsi="宋体" w:eastAsia="宋体" w:cs="宋体"/>
          <w:lang w:val="en-US" w:eastAsia="zh-CN"/>
        </w:rPr>
      </w:pPr>
      <w:bookmarkStart w:id="0" w:name="_Toc22043"/>
      <w:r>
        <w:rPr>
          <w:rFonts w:hint="eastAsia" w:ascii="宋体" w:hAnsi="宋体" w:eastAsia="宋体" w:cs="宋体"/>
          <w:lang w:val="en-US" w:eastAsia="zh-CN"/>
        </w:rPr>
        <w:t>1绪论</w:t>
      </w:r>
      <w:bookmarkEnd w:id="0"/>
    </w:p>
    <w:p w14:paraId="2CCEAAC3">
      <w:pPr>
        <w:pStyle w:val="3"/>
        <w:shd w:val="clear"/>
        <w:bidi w:val="0"/>
        <w:rPr>
          <w:rFonts w:hint="eastAsia" w:ascii="宋体" w:hAnsi="宋体" w:eastAsia="宋体" w:cs="宋体"/>
          <w:lang w:val="en-US" w:eastAsia="zh-CN"/>
        </w:rPr>
      </w:pPr>
      <w:bookmarkStart w:id="1" w:name="_Toc16248"/>
      <w:r>
        <w:rPr>
          <w:rFonts w:hint="eastAsia" w:ascii="宋体" w:hAnsi="宋体" w:eastAsia="宋体" w:cs="宋体"/>
          <w:lang w:val="en-US" w:eastAsia="zh-CN"/>
        </w:rPr>
        <w:t>1.1研究背景及意义</w:t>
      </w:r>
      <w:bookmarkEnd w:id="1"/>
    </w:p>
    <w:p w14:paraId="261294D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建筑材料的防火安全性能是搭建社会公共安全防护体系的基础，直接牵扯建筑结构在火灾当中的稳定水平、人员疏散的安全形势以及财产的保全，不燃性作为评定建筑材料及制品防火等级最根本且重要的性能指标之一，其测试结果的精确性、可靠性和可重复性有法规强制性的意义。</w:t>
      </w:r>
    </w:p>
    <w:p w14:paraId="51DF17DF">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本研究基于的国际核心规范乃是国际标准‌ISO11820 - 2020《建筑材料不燃性试验方法</w:t>
      </w:r>
      <w:r>
        <w:rPr>
          <w:rFonts w:hint="eastAsia" w:asciiTheme="minorEastAsia" w:hAnsiTheme="minorEastAsia" w:cstheme="minorEastAsia"/>
          <w:i w:val="0"/>
          <w:iCs w:val="0"/>
          <w:caps w:val="0"/>
          <w:color w:val="333333"/>
          <w:spacing w:val="0"/>
          <w:kern w:val="2"/>
          <w:sz w:val="24"/>
          <w:szCs w:val="24"/>
          <w:shd w:val="clear" w:fill="FFFFFF"/>
          <w:lang w:val="en-US" w:eastAsia="zh-CN" w:bidi="ar-SA"/>
        </w:rPr>
        <w:t>》</w:t>
      </w:r>
      <w:r>
        <w:rPr>
          <w:rFonts w:hint="eastAsia" w:asciiTheme="minorEastAsia" w:hAnsiTheme="minorEastAsia" w:cstheme="minorEastAsia"/>
          <w:i w:val="0"/>
          <w:iCs w:val="0"/>
          <w:caps w:val="0"/>
          <w:color w:val="333333"/>
          <w:spacing w:val="0"/>
          <w:kern w:val="2"/>
          <w:sz w:val="24"/>
          <w:szCs w:val="24"/>
          <w:shd w:val="clear" w:fill="FFFFFF"/>
          <w:vertAlign w:val="superscript"/>
          <w:lang w:val="en-US" w:eastAsia="zh-CN" w:bidi="ar-SA"/>
        </w:rPr>
        <w:fldChar w:fldCharType="begin"/>
      </w:r>
      <w:r>
        <w:instrText xml:space="preserve"> REF _Ref31703 \r \h  \* MERGEFORMAT</w:instrText>
      </w:r>
      <w:r>
        <w:rPr>
          <w:rFonts w:hint="eastAsia" w:asciiTheme="minorEastAsia" w:hAnsiTheme="minorEastAsia" w:cstheme="minorEastAsia"/>
          <w:i w:val="0"/>
          <w:iCs w:val="0"/>
          <w:caps w:val="0"/>
          <w:color w:val="333333"/>
          <w:spacing w:val="0"/>
          <w:kern w:val="2"/>
          <w:sz w:val="24"/>
          <w:szCs w:val="24"/>
          <w:shd w:val="clear" w:fill="FFFFFF"/>
          <w:vertAlign w:val="superscript"/>
          <w:lang w:val="en-US" w:eastAsia="zh-CN" w:bidi="ar-SA"/>
        </w:rPr>
        <w:fldChar w:fldCharType="separate"/>
      </w:r>
      <w:r>
        <w:rPr>
          <w:rFonts w:hint="eastAsia" w:asciiTheme="minorEastAsia" w:hAnsiTheme="minorEastAsia" w:cstheme="minorEastAsia"/>
          <w:i w:val="0"/>
          <w:iCs w:val="0"/>
          <w:caps w:val="0"/>
          <w:color w:val="333333"/>
          <w:spacing w:val="0"/>
          <w:kern w:val="2"/>
          <w:sz w:val="24"/>
          <w:szCs w:val="24"/>
          <w:shd w:val="clear" w:fill="FFFFFF"/>
          <w:vertAlign w:val="superscript"/>
          <w:lang w:val="en-US" w:eastAsia="zh-CN" w:bidi="ar-SA"/>
        </w:rPr>
        <w:t>[1]</w:t>
      </w:r>
      <w:r>
        <w:rPr>
          <w:rFonts w:hint="eastAsia" w:asciiTheme="minorEastAsia" w:hAnsiTheme="minorEastAsia" w:cstheme="minorEastAsia"/>
          <w:i w:val="0"/>
          <w:iCs w:val="0"/>
          <w:caps w:val="0"/>
          <w:color w:val="333333"/>
          <w:spacing w:val="0"/>
          <w:kern w:val="2"/>
          <w:sz w:val="24"/>
          <w:szCs w:val="24"/>
          <w:shd w:val="clear" w:fill="FFFFFF"/>
          <w:vertAlign w:val="superscript"/>
          <w:lang w:val="en-US" w:eastAsia="zh-CN" w:bidi="ar-SA"/>
        </w:rPr>
        <w:fldChar w:fldCharType="end"/>
      </w: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该标准确切说明了于750°C±5°C的高温条件当中，对材料的试样做测试，并且要同时使温度范围、漂移和偏差这三项判据达标维持10分钟等一系列严密技术要求，从而判定材料的“不燃”等级，该标准跟规范是建筑材料消防产品准入认证、工程质量监督及新材料研发评价的重要依据。</w:t>
      </w:r>
    </w:p>
    <w:p w14:paraId="782B19C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传统的人工测试方式有突出的局限：操作人员要全程密切关注并手动打理，劳动强度非常大；根据经验作判断，要实现±0.5°C的高精度温度控制有障碍；人工记录、计算数据效率不高，而且容易出错，研制一套可严格执行标准、达成自动化过程的测控系统，有紧迫的需求以及显著的作用。</w:t>
      </w:r>
    </w:p>
    <w:p w14:paraId="1F99E1A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本研究直接的作用是，经过开发一套“基于.NET6框架跟WinForms架构的ISO11820建筑材料不燃性试验自动化系统”，该系统把先进的数据采集、通信技术集成起来，应用自主算法达成智能控温与稳定性判断，另外采用状态机等软件设计模样，让标准化试验流程形成可靠的自动化流程。这不仅于实践层面极大提升了检测效率以及结果的精确性，降低了在人员上的依赖，更于技术层面为类似标准检测方法的自动化改造给出了可复用的技术框架和工程范例，系统所生成的标准化、结构化数据给实验室信息化管理与材料性能大数据分析奠定了牢固基础，是助力检测行业从“经验判断”朝“数据驱动”转型升级的关键一步，在保障建设工程质量安全、促进防火材料技术进步上有重要的现实与长远意义。</w:t>
      </w:r>
    </w:p>
    <w:p w14:paraId="32EA7850">
      <w:pPr>
        <w:pStyle w:val="3"/>
        <w:shd w:val="clear"/>
        <w:bidi w:val="0"/>
        <w:rPr>
          <w:rFonts w:hint="eastAsia" w:ascii="宋体" w:hAnsi="宋体" w:eastAsia="宋体" w:cs="宋体"/>
          <w:lang w:val="en-US" w:eastAsia="zh-CN"/>
        </w:rPr>
      </w:pPr>
      <w:bookmarkStart w:id="2" w:name="_Toc23809"/>
      <w:r>
        <w:rPr>
          <w:rFonts w:hint="eastAsia" w:ascii="宋体" w:hAnsi="宋体" w:eastAsia="宋体" w:cs="宋体"/>
          <w:lang w:val="en-US" w:eastAsia="zh-CN"/>
        </w:rPr>
        <w:t>1.2国内外研究现状</w:t>
      </w:r>
      <w:bookmarkEnd w:id="2"/>
    </w:p>
    <w:p w14:paraId="3772DD78">
      <w:pPr>
        <w:pStyle w:val="4"/>
        <w:shd w:val="clear"/>
        <w:bidi w:val="0"/>
        <w:rPr>
          <w:rFonts w:hint="eastAsia" w:ascii="黑体" w:hAnsi="黑体" w:eastAsia="黑体" w:cs="黑体"/>
          <w:b/>
          <w:kern w:val="2"/>
          <w:sz w:val="28"/>
          <w:szCs w:val="28"/>
          <w:lang w:val="en-US" w:eastAsia="zh-CN" w:bidi="ar-SA"/>
        </w:rPr>
      </w:pPr>
      <w:bookmarkStart w:id="3" w:name="_Toc23226"/>
      <w:r>
        <w:rPr>
          <w:rStyle w:val="18"/>
          <w:rFonts w:hint="eastAsia" w:ascii="宋体" w:hAnsi="宋体" w:eastAsia="宋体" w:cs="宋体"/>
          <w:b/>
          <w:lang w:val="en-US" w:eastAsia="zh-CN"/>
        </w:rPr>
        <w:t>1.2.1国内研究现状</w:t>
      </w:r>
      <w:r>
        <w:rPr>
          <w:rFonts w:hint="eastAsia" w:ascii="黑体" w:hAnsi="黑体" w:eastAsia="黑体" w:cs="黑体"/>
          <w:b/>
          <w:kern w:val="2"/>
          <w:sz w:val="28"/>
          <w:szCs w:val="28"/>
          <w:lang w:val="en-US" w:eastAsia="zh-CN" w:bidi="ar-SA"/>
        </w:rPr>
        <w:t>‌</w:t>
      </w:r>
      <w:bookmarkEnd w:id="3"/>
    </w:p>
    <w:p w14:paraId="6F678EF2">
      <w:pPr>
        <w:keepNext/>
        <w:keepLines/>
        <w:pageBreakBefore w:val="0"/>
        <w:widowControl w:val="0"/>
        <w:shd w:val="clear"/>
        <w:kinsoku/>
        <w:wordWrap/>
        <w:overflowPunct/>
        <w:topLinePunct w:val="0"/>
        <w:autoSpaceDE/>
        <w:autoSpaceDN/>
        <w:bidi w:val="0"/>
        <w:adjustRightInd/>
        <w:snapToGrid/>
        <w:spacing w:line="360" w:lineRule="auto"/>
        <w:ind w:firstLine="480" w:firstLineChars="200"/>
        <w:textAlignment w:val="auto"/>
        <w:outlineLvl w:val="9"/>
        <w:rPr>
          <w:rFonts w:hint="eastAsia"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国内建筑材料不燃性测试领域的研究，主要围绕标准制定和手动测试方法的改良，国家标准化管理委员会发布出来的GB/T5464 - 2010标准，为实验搭建了基础框架，但自动化程度还比较低，凭借人工开展操作，有学者对测试设备改进进行了探索，能于不燃性试验炉高度方向自动定位温度传感器所在位置，能达成试验炉炉壁温度和炉内温度的自动测量，可以对试验炉温度示值误差以及炉内温度平衡等参数进行校准，凭模块化设计提升了试验的稳定性</w: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begin"/>
      </w:r>
      <w:r>
        <w:instrText xml:space="preserve"> REF _Ref25828 \r \h  \* MERGEFORMAT</w:instrTex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separate"/>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t>[2]</w: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end"/>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这些设备多被限制在硬件层面做升级，软件集成的程度不够好，没有形成统一的数据管理模式，国内研究虽已开始了起步，但在利用C#等高级语言所开发的智能测控系统方面，应用案例的相关实例少，很难达成目前实时数据分析和远程监控的要求。</w:t>
      </w:r>
    </w:p>
    <w:p w14:paraId="7EE491F2">
      <w:pPr>
        <w:pStyle w:val="4"/>
        <w:shd w:val="clear"/>
        <w:bidi w:val="0"/>
        <w:rPr>
          <w:rStyle w:val="18"/>
          <w:rFonts w:hint="eastAsia" w:ascii="宋体" w:hAnsi="宋体" w:eastAsia="宋体" w:cs="宋体"/>
          <w:b/>
          <w:lang w:val="en-US" w:eastAsia="zh-CN"/>
        </w:rPr>
      </w:pPr>
      <w:bookmarkStart w:id="4" w:name="_Toc29956"/>
      <w:r>
        <w:rPr>
          <w:rStyle w:val="18"/>
          <w:rFonts w:hint="eastAsia" w:ascii="宋体" w:hAnsi="宋体" w:eastAsia="宋体" w:cs="宋体"/>
          <w:b/>
          <w:lang w:val="en-US" w:eastAsia="zh-CN"/>
        </w:rPr>
        <w:t>1.2.2国外研究现状</w:t>
      </w:r>
      <w:bookmarkEnd w:id="4"/>
    </w:p>
    <w:p w14:paraId="72D8487D">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outlineLvl w:val="9"/>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在建筑材料防火测试领域，国外研究以欧美国家为主导，聚焦于智能化与自动化技术的深度整合。对</w:t>
      </w:r>
      <w:r>
        <w:rPr>
          <w:rFonts w:hint="eastAsia" w:asciiTheme="minorEastAsia" w:hAnsiTheme="minorEastAsia" w:cstheme="minorEastAsia"/>
          <w:b w:val="0"/>
          <w:bCs w:val="0"/>
          <w:i w:val="0"/>
          <w:iCs w:val="0"/>
          <w:caps w:val="0"/>
          <w:color w:val="333333"/>
          <w:spacing w:val="0"/>
          <w:kern w:val="2"/>
          <w:sz w:val="24"/>
          <w:szCs w:val="24"/>
          <w:shd w:val="clear" w:fill="FFFFFF"/>
          <w:lang w:val="en-US" w:eastAsia="zh-CN" w:bidi="ar-SA"/>
        </w:rPr>
        <w:t>建筑材料中</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混凝土柱耐火性的元分析显示，国际标准如Eurocode（ECA）和AS3600在预测可靠性上表现较优，例如ECA（2019）在耐火评级&lt;240分钟时，70%的预测误差控制在±20%内，但精度随测试时长延长而下降，且在高参数极端条件下（如柱尺寸或混凝土强度超限）出现偏差；ECB标准经2023年更新后减少了保守性，而ACI（ApplicationCentricInfrastructure）和NBC则存在高变异性。</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begin"/>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instrText xml:space="preserve"> REF _Ref16973 \r \h </w:instrTex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separate"/>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t>[3]</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end"/>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这种数据驱动方法突显了自动化系统在提升测试精度中的必要性。同时，人工智能（AI）、机器学习（ML）和深度学习（DL）技术在建筑4.0中广泛应用，涵盖材料设计优化、自动化制造及结构监控等环节，通过智能视觉和传感器实现数据采集、清洗与存储，为实时测控提供支持。</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begin"/>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instrText xml:space="preserve"> REF _Ref18779 \r \h </w:instrTex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separate"/>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t>[4]</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end"/>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然而，现有系统多采用专有方案，</w:t>
      </w:r>
      <w:r>
        <w:rPr>
          <w:rFonts w:hint="eastAsia" w:asciiTheme="minorEastAsia" w:hAnsiTheme="minorEastAsia" w:cstheme="minorEastAsia"/>
          <w:b w:val="0"/>
          <w:bCs w:val="0"/>
          <w:i w:val="0"/>
          <w:iCs w:val="0"/>
          <w:caps w:val="0"/>
          <w:color w:val="333333"/>
          <w:spacing w:val="0"/>
          <w:kern w:val="2"/>
          <w:sz w:val="24"/>
          <w:szCs w:val="24"/>
          <w:shd w:val="clear" w:fill="FFFFFF"/>
          <w:lang w:val="en-US" w:eastAsia="zh-CN" w:bidi="ar-SA"/>
        </w:rPr>
        <w:t>如</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美国国家标准与技术研究院（NIST）标准化平台提出融合红外热成像与气体传感器的动态监测平台，实现建筑材料在火灾初期的可燃性风险预警</w: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w: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begin"/>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instrText xml:space="preserve"> REF _Ref22936 \r \h </w:instrTex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separate"/>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t>[5]</w:t>
      </w:r>
      <w:r>
        <w:rPr>
          <w:rFonts w:hint="eastAsia" w:asciiTheme="minorEastAsia" w:hAnsiTheme="minorEastAsia" w:eastAsiaTheme="minorEastAsia" w:cstheme="minorEastAsia"/>
          <w:b w:val="0"/>
          <w:bCs w:val="0"/>
          <w:i w:val="0"/>
          <w:iCs w:val="0"/>
          <w:caps w:val="0"/>
          <w:color w:val="333333"/>
          <w:spacing w:val="0"/>
          <w:kern w:val="2"/>
          <w:sz w:val="24"/>
          <w:szCs w:val="24"/>
          <w:shd w:val="clear" w:fill="FFFFFF"/>
          <w:vertAlign w:val="superscript"/>
          <w:lang w:val="en-US" w:eastAsia="zh-CN" w:bidi="ar-SA"/>
        </w:rPr>
        <w:fldChar w:fldCharType="end"/>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却缺乏针对</w:t>
      </w:r>
      <w:r>
        <w:rPr>
          <w:rFonts w:hint="eastAsia" w:asciiTheme="minorEastAsia" w:hAnsiTheme="minorEastAsia" w:cstheme="minorEastAsia"/>
          <w:b w:val="0"/>
          <w:bCs w:val="0"/>
          <w:i w:val="0"/>
          <w:iCs w:val="0"/>
          <w:caps w:val="0"/>
          <w:color w:val="333333"/>
          <w:spacing w:val="0"/>
          <w:kern w:val="2"/>
          <w:sz w:val="24"/>
          <w:szCs w:val="24"/>
          <w:shd w:val="clear" w:fill="FFFFFF"/>
          <w:lang w:val="en-US" w:eastAsia="zh-CN" w:bidi="ar-SA"/>
        </w:rPr>
        <w:t>建筑材料</w:t>
      </w: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不燃性测试的定制化开发案例，且面临高成本和数据兼容性挑战。</w:t>
      </w:r>
    </w:p>
    <w:p w14:paraId="453E13DD">
      <w:pPr>
        <w:pStyle w:val="3"/>
        <w:shd w:val="clear"/>
        <w:bidi w:val="0"/>
        <w:rPr>
          <w:rFonts w:hint="eastAsia" w:ascii="宋体" w:hAnsi="宋体" w:eastAsia="宋体" w:cs="宋体"/>
          <w:lang w:val="en-US" w:eastAsia="zh-CN"/>
        </w:rPr>
      </w:pPr>
      <w:bookmarkStart w:id="5" w:name="_Toc26736"/>
      <w:r>
        <w:rPr>
          <w:rFonts w:hint="eastAsia" w:ascii="宋体" w:hAnsi="宋体" w:eastAsia="宋体" w:cs="宋体"/>
          <w:lang w:val="en-US" w:eastAsia="zh-CN"/>
        </w:rPr>
        <w:t>1.3论文的主要工作和结构</w:t>
      </w:r>
      <w:bookmarkEnd w:id="5"/>
    </w:p>
    <w:p w14:paraId="5012F304">
      <w:pPr>
        <w:pStyle w:val="4"/>
        <w:shd w:val="clear"/>
        <w:bidi w:val="0"/>
        <w:rPr>
          <w:rStyle w:val="18"/>
          <w:rFonts w:hint="eastAsia" w:ascii="宋体" w:hAnsi="宋体" w:eastAsia="宋体" w:cs="宋体"/>
          <w:b/>
          <w:lang w:val="en-US" w:eastAsia="zh-CN"/>
        </w:rPr>
      </w:pPr>
      <w:bookmarkStart w:id="6" w:name="_Toc4417"/>
      <w:r>
        <w:rPr>
          <w:rStyle w:val="18"/>
          <w:rFonts w:hint="eastAsia" w:ascii="宋体" w:hAnsi="宋体" w:eastAsia="宋体" w:cs="宋体"/>
          <w:b/>
          <w:lang w:val="en-US" w:eastAsia="zh-CN"/>
        </w:rPr>
        <w:t>1.3.1主要工作</w:t>
      </w:r>
      <w:bookmarkEnd w:id="6"/>
    </w:p>
    <w:p w14:paraId="3710FB96">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本课题运用.NET6、WinForms、EntityFrameworkCore、SQLServer等技术栈开展工作，真正按照ISO11820 - 2020要求，完成建筑材料不燃性试验自动化测控系统的设计与搭建，具体要做的工作内容如下：</w:t>
      </w:r>
    </w:p>
    <w:p w14:paraId="72BE559E">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1.系统架构设计以及关键技术选型研究之后，确立了基于.NET6框架的桌面应用开发方案，运用三层架构（表示层、业务逻辑层、数据访问层）使系统达成高内聚、低耦合的规范，引入状态机模式对复杂的试验流程（空闲、升温、就绪、记录、完成）做建模和统一管理，为系统核心逻辑清晰展现做好前期部署，做好ModbusRTU串口通信、MathNe.Numerics数值计算库等关键技术的选型及集成工作</w:t>
      </w:r>
    </w:p>
    <w:p w14:paraId="360A8931">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2.完成核心算法以及试验流程控制逻辑开发，达成符合ISO11820标准的核心控制算法的实现，重点包括：多阶段自适应温度控制算法（依照不同温度区间动态改变功率大小，杜绝温度大幅上升）与基于线性拟合的温度稳定性自动判断方式（采用MathNe.Numerics库，算出连续10分钟温度数据的漂移值以及偏差，做到无人参与干预的稳定状态断定，通过业务逻辑这一层，把上述算法跟试验硬件（PID控制器、传感器）的实时通信、数据采集服务有效集成，建成完整的自动化试验执行闭环。</w:t>
      </w:r>
    </w:p>
    <w:p w14:paraId="6F461523">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3.系统功能开发与实现达成了系统三大核心功能模块的打造：试验流程自动化作业单元：以状态机做基础，凭借ModbusRTU协议跟硬件进行交互，完成升温、稳定判断、数据记录到报告生成这一过程的自动开展，实时数据采集跟可视化部分：进行高频数据采集服务开发，通过异步编程以及事件机制达成，在WinForms界面马上将炉温变化曲线画出来，动态反映试验情形，数据管理跟报表生成相关模块：用EntityFrameworkCore以及SQLServer搭建数据持久化层，达成对试验配置、过程数据和结果的高效存储、查询任务，而且自动生成符合标准规范的试验报告。</w:t>
      </w:r>
    </w:p>
    <w:p w14:paraId="2C3883BA">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pPr>
      <w:r>
        <w:rPr>
          <w:rFonts w:hint="default" w:asciiTheme="minorEastAsia" w:hAnsiTheme="minorEastAsia" w:eastAsiaTheme="minorEastAsia" w:cstheme="minorEastAsia"/>
          <w:b w:val="0"/>
          <w:bCs w:val="0"/>
          <w:i w:val="0"/>
          <w:iCs w:val="0"/>
          <w:caps w:val="0"/>
          <w:color w:val="333333"/>
          <w:spacing w:val="0"/>
          <w:kern w:val="2"/>
          <w:sz w:val="24"/>
          <w:szCs w:val="24"/>
          <w:shd w:val="clear" w:fill="FFFFFF"/>
          <w:lang w:val="en-US" w:eastAsia="zh-CN" w:bidi="ar-SA"/>
        </w:rPr>
        <w:t>4.系统测试、验证以及性能优化时搭建包含虚拟串口与Modbus从站模拟器的测试环境，对系统功能和性能开展整体验证，以标准样品测试的方式，测定温度控制精度（达±0.3°C）、数据采集频率（≥1Hz）以及系统响应时间（平均0.2秒）等关键指标是否达到标准，针对性能产生的瓶颈，采用内存缓存做法，使高频数据访问得到优化，极大增进系统整体的响应水平。</w:t>
      </w:r>
    </w:p>
    <w:p w14:paraId="12976274">
      <w:pPr>
        <w:pStyle w:val="4"/>
        <w:shd w:val="clear"/>
        <w:bidi w:val="0"/>
        <w:rPr>
          <w:rFonts w:hint="eastAsia" w:ascii="宋体" w:hAnsi="宋体" w:eastAsia="宋体" w:cs="宋体"/>
          <w:lang w:val="en-US" w:eastAsia="zh-CN"/>
        </w:rPr>
      </w:pPr>
      <w:bookmarkStart w:id="7" w:name="_Toc28613"/>
      <w:r>
        <w:rPr>
          <w:rFonts w:hint="eastAsia" w:ascii="宋体" w:hAnsi="宋体" w:eastAsia="宋体" w:cs="宋体"/>
          <w:lang w:val="en-US" w:eastAsia="zh-CN"/>
        </w:rPr>
        <w:t>1.3.2结构安排</w:t>
      </w:r>
      <w:bookmarkEnd w:id="7"/>
    </w:p>
    <w:p w14:paraId="73E6FE1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zh-CN" w:bidi="ar-SA"/>
        </w:rPr>
      </w:pPr>
      <w:r>
        <w:rPr>
          <w:rFonts w:hint="eastAsia" w:ascii="宋体" w:hAnsi="宋体" w:eastAsia="宋体" w:cs="宋体"/>
          <w:snapToGrid w:val="0"/>
          <w:color w:val="000000"/>
          <w:spacing w:val="-3"/>
          <w:kern w:val="0"/>
          <w:sz w:val="24"/>
          <w:szCs w:val="24"/>
          <w:lang w:val="en-US" w:eastAsia="zh-CN" w:bidi="ar-SA"/>
        </w:rPr>
        <w:t>全文共分7章，逻辑架构如下：</w:t>
      </w:r>
    </w:p>
    <w:p w14:paraId="62D45083">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‌第1章：绪论‌</w:t>
      </w:r>
    </w:p>
    <w:p w14:paraId="77319AE0">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介绍建筑材料防火安全的重要性以及传统人工测试的短板，点明研发自动化系统的必要，仔细分析国内外在不燃性测试技术，特别是自动化和智能化集成领域研究的现状及不足，最后讲清本论文的研究目标、主要工作和整体结构布局。</w:t>
      </w:r>
    </w:p>
    <w:p w14:paraId="4E65288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‌第2章：有关的技术和介绍</w:t>
      </w:r>
    </w:p>
    <w:p w14:paraId="63ADDDB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全面介绍系统开发所依据的核心国际标准ISO11820 - 2020的各项技术要求，介绍选中关键技术的原理，包括.NET6和WinForms框架、ModbusRTU通信协议、状态机设计模式、EntityFrameworkCore、MathNe.Numerics数值计算库，并说明其于系统里起到的作用。</w:t>
      </w:r>
    </w:p>
    <w:p w14:paraId="30D950C6">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‌第3章：系统需求跟可行性审视</w:t>
      </w:r>
    </w:p>
    <w:p w14:paraId="595578D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使实验室实际需求与ISO标准要求相契合，开展系统需求分析，从功能性（如自动控温、数据记录）以及非功能性（如可靠性、精度）这两方面去做。</w:t>
      </w:r>
    </w:p>
    <w:p w14:paraId="03D466C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‌第4章：系统一般性概要设计</w:t>
      </w:r>
    </w:p>
    <w:p w14:paraId="7792E9A2">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提出系统总体设计的方案，含有软件分层架构、核心模块的划分还有硬件通信方案。</w:t>
      </w:r>
    </w:p>
    <w:p w14:paraId="277AC51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‌第5章：系统周全设计及达成</w:t>
      </w:r>
    </w:p>
    <w:p w14:paraId="7171EDF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本章就是核心章节，清晰说明系统各关键部分实现的情况，包括：开展基于状态机的试验流程控制逻辑设计方面的工作、完成多阶段控温与温度稳定性判断算法的具体操作过程内容、进行基于ModbusRTU的硬件通信模块开发相关事务、达成实时数据采集与可视化服务成果，还有基于SQLServer的系统数据库表结构的设计。</w:t>
      </w:r>
    </w:p>
    <w:p w14:paraId="4CFB73DC">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‌第6章：系统的测试及校验</w:t>
      </w:r>
    </w:p>
    <w:p w14:paraId="7552268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说明系统测试环境（含仿真测试）搭建工作，设计相关测试用例，从功能正确性、控制的精确程度、系统响应的时长和稳定性等方面对系统做验证，明白讲述性能优化的手段，好比缓存策略的采用及其效果评估。</w:t>
      </w:r>
    </w:p>
    <w:p w14:paraId="57850007">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ascii="宋体" w:hAnsi="宋体" w:eastAsia="宋体" w:cs="宋体"/>
          <w:snapToGrid w:val="0"/>
          <w:color w:val="000000"/>
          <w:spacing w:val="-3"/>
          <w:kern w:val="0"/>
          <w:sz w:val="24"/>
          <w:szCs w:val="24"/>
          <w:lang w:val="en-US" w:eastAsia="en-US" w:bidi="ar-SA"/>
        </w:rPr>
      </w:pPr>
      <w:r>
        <w:rPr>
          <w:rFonts w:hint="eastAsia" w:ascii="宋体" w:hAnsi="宋体" w:eastAsia="宋体" w:cs="宋体"/>
          <w:snapToGrid w:val="0"/>
          <w:color w:val="000000"/>
          <w:spacing w:val="-3"/>
          <w:kern w:val="0"/>
          <w:sz w:val="24"/>
          <w:szCs w:val="24"/>
          <w:lang w:val="en-US" w:eastAsia="en-US" w:bidi="ar-SA"/>
        </w:rPr>
        <w:t>‌第7章：概括跟展望</w:t>
      </w:r>
    </w:p>
    <w:p w14:paraId="0F8CE474">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70" w:beforeAutospacing="0" w:after="70" w:afterAutospacing="0" w:line="360" w:lineRule="auto"/>
        <w:ind w:left="0" w:right="0" w:firstLine="468" w:firstLineChars="200"/>
        <w:jc w:val="both"/>
        <w:textAlignment w:val="auto"/>
        <w:rPr>
          <w:rFonts w:hint="eastAsia" w:eastAsia="宋体" w:asciiTheme="minorEastAsia" w:hAnsiTheme="minorEastAsia" w:cstheme="minorEastAsia"/>
          <w:b/>
          <w:bCs/>
          <w:i w:val="0"/>
          <w:iCs w:val="0"/>
          <w:caps w:val="0"/>
          <w:color w:val="333333"/>
          <w:spacing w:val="0"/>
          <w:sz w:val="24"/>
          <w:szCs w:val="24"/>
          <w:shd w:val="clear" w:fill="FFFFFF"/>
          <w:lang w:val="en-US" w:eastAsia="zh-CN"/>
        </w:rPr>
      </w:pPr>
      <w:r>
        <w:rPr>
          <w:rFonts w:hint="eastAsia" w:ascii="宋体" w:hAnsi="宋体" w:eastAsia="宋体" w:cs="宋体"/>
          <w:snapToGrid w:val="0"/>
          <w:color w:val="000000"/>
          <w:spacing w:val="-3"/>
          <w:kern w:val="0"/>
          <w:sz w:val="24"/>
          <w:szCs w:val="24"/>
          <w:lang w:val="en-US" w:eastAsia="en-US" w:bidi="ar-SA"/>
        </w:rPr>
        <w:t>归纳本课题完成的主要工作方面、技术创新点和系统的实际应用价值，分析系统当前所存在的限制，进而对未来可能有的改进方向进行展望，像与实验室信息管理系统（LIMS）做集成、支持更多测试标准的扩充等</w:t>
      </w:r>
      <w:r>
        <w:rPr>
          <w:rFonts w:hint="eastAsia" w:ascii="宋体" w:hAnsi="宋体" w:eastAsia="宋体" w:cs="宋体"/>
          <w:snapToGrid w:val="0"/>
          <w:color w:val="000000"/>
          <w:spacing w:val="-3"/>
          <w:kern w:val="0"/>
          <w:sz w:val="24"/>
          <w:szCs w:val="24"/>
          <w:lang w:val="en-US" w:eastAsia="zh-CN" w:bidi="ar-SA"/>
        </w:rPr>
        <w:t>。</w:t>
      </w:r>
    </w:p>
    <w:p w14:paraId="31654FF7">
      <w:pPr>
        <w:pStyle w:val="3"/>
        <w:shd w:val="clear"/>
        <w:bidi w:val="0"/>
        <w:rPr>
          <w:rFonts w:hint="eastAsia" w:ascii="宋体" w:hAnsi="宋体" w:eastAsia="宋体" w:cs="宋体"/>
          <w:lang w:val="en-US" w:eastAsia="zh-CN"/>
        </w:rPr>
      </w:pPr>
      <w:bookmarkStart w:id="8" w:name="_Toc25282"/>
      <w:r>
        <w:rPr>
          <w:rFonts w:hint="eastAsia" w:ascii="宋体" w:hAnsi="宋体" w:eastAsia="宋体" w:cs="宋体"/>
          <w:lang w:val="en-US" w:eastAsia="zh-CN"/>
        </w:rPr>
        <w:t>1.4本章小结</w:t>
      </w:r>
      <w:bookmarkEnd w:id="8"/>
    </w:p>
    <w:p w14:paraId="2A9B673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bookmarkStart w:id="9" w:name="_Toc4014"/>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本章首先阐明了研发建筑材料不燃性试验自动化测控系统的背景跟意义，点明建筑防火安全非常重要，依据ISO11820 - 2020标准所做测试的结果有法规强制性；传统的人工模式有着效率低、误差大之类的弊端，开发自动化系统对改善测试质量、推动行业朝数据驱动转型很有价值。对国内外研究的现状做了分析：国内研究多着重于硬件设备的改良事宜，在集成化与智能化软件系统方面有不足；国外在智能传感以及自动化集成方面领先别的国家，但针对ISO11820标准流程、有着高可靠性和良好开放性的定制化解决方案仍比较少，这为本次研究明确了切入的点</w:t>
      </w:r>
      <w:r>
        <w:rPr>
          <w:rFonts w:hint="eastAsia" w:asciiTheme="minorEastAsia" w:hAnsiTheme="minorEastAsia" w:cstheme="minorEastAsia"/>
          <w:i w:val="0"/>
          <w:iCs w:val="0"/>
          <w:caps w:val="0"/>
          <w:color w:val="333333"/>
          <w:spacing w:val="0"/>
          <w:kern w:val="2"/>
          <w:sz w:val="24"/>
          <w:szCs w:val="24"/>
          <w:shd w:val="clear" w:fill="FFFFFF"/>
          <w:lang w:val="en-US" w:eastAsia="zh-CN" w:bidi="ar-SA"/>
        </w:rPr>
        <w:t>。</w:t>
      </w:r>
    </w:p>
    <w:p w14:paraId="7506406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t>概括了本论文主要研究方面的内容：基于.NET6等技术栈实施系统架构和关键技术的选型；做到符合标准的核心算法跟流程的控制逻辑；达成试验自动控制、数据采集可视化和管理报表等核心功能的开发；然后对系统做全面的测试验证以及性能优化，对全文七章的组织结构进行了梳理，按照“背景意义—现状分析—总体设计—详细实现—测试验证—应用分析—总结展望”搭建起来的逻辑，保证研究体系完整以及论证具有递进性</w:t>
      </w:r>
      <w:r>
        <w:rPr>
          <w:rFonts w:hint="eastAsia" w:asciiTheme="minorEastAsia" w:hAnsiTheme="minorEastAsia" w:cstheme="minorEastAsia"/>
          <w:i w:val="0"/>
          <w:iCs w:val="0"/>
          <w:caps w:val="0"/>
          <w:color w:val="333333"/>
          <w:spacing w:val="0"/>
          <w:kern w:val="2"/>
          <w:sz w:val="24"/>
          <w:szCs w:val="24"/>
          <w:shd w:val="clear" w:fill="FFFFFF"/>
          <w:lang w:val="en-US" w:eastAsia="zh-CN" w:bidi="ar-SA"/>
        </w:rPr>
        <w:t>。</w:t>
      </w:r>
    </w:p>
    <w:p w14:paraId="2A066195">
      <w:pPr>
        <w:shd w:val="clea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pPr>
      <w:r>
        <w:rPr>
          <w:rFonts w:hint="eastAsia" w:asciiTheme="minorEastAsia" w:hAnsiTheme="minorEastAsia" w:eastAsiaTheme="minorEastAsia" w:cstheme="minorEastAsia"/>
          <w:i w:val="0"/>
          <w:iCs w:val="0"/>
          <w:caps w:val="0"/>
          <w:color w:val="333333"/>
          <w:spacing w:val="0"/>
          <w:kern w:val="2"/>
          <w:sz w:val="24"/>
          <w:szCs w:val="24"/>
          <w:shd w:val="clear" w:fill="FFFFFF"/>
          <w:lang w:val="en-US" w:eastAsia="zh-CN" w:bidi="ar-SA"/>
        </w:rPr>
        <w:br w:type="page"/>
      </w:r>
    </w:p>
    <w:p w14:paraId="6EA8F67E">
      <w:pPr>
        <w:pStyle w:val="2"/>
        <w:shd w:val="clear"/>
        <w:bidi w:val="0"/>
        <w:rPr>
          <w:rFonts w:hint="eastAsia" w:ascii="宋体" w:hAnsi="宋体" w:eastAsia="宋体" w:cs="宋体"/>
          <w:lang w:val="en-US" w:eastAsia="zh-CN"/>
        </w:rPr>
      </w:pPr>
      <w:bookmarkStart w:id="10" w:name="_Toc20958"/>
      <w:r>
        <w:rPr>
          <w:rFonts w:hint="eastAsia" w:ascii="宋体" w:hAnsi="宋体" w:eastAsia="宋体" w:cs="宋体"/>
          <w:lang w:val="en-US" w:eastAsia="zh-CN"/>
        </w:rPr>
        <w:t>2相关技术与理论</w:t>
      </w:r>
      <w:bookmarkEnd w:id="9"/>
      <w:r>
        <w:rPr>
          <w:rFonts w:hint="eastAsia" w:ascii="宋体" w:hAnsi="宋体" w:eastAsia="宋体" w:cs="宋体"/>
          <w:lang w:val="en-US" w:eastAsia="zh-CN"/>
        </w:rPr>
        <w:t>介绍</w:t>
      </w:r>
      <w:bookmarkEnd w:id="10"/>
    </w:p>
    <w:p w14:paraId="0A69667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研究并将一套建筑材料不燃性试验自动化测控系统予以实现，该系统是要解决传统人工操作模式在测试效率、结果一致性以及过程可控性的弊端，凭借集成工业自动化通信技术、应用现代软件设计模式和核心控制算法，做到对ISO11820-2020标准所定试验流程的精准、可靠、全自动化开展。</w:t>
      </w:r>
    </w:p>
    <w:p w14:paraId="62866CE1">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实现所说目标，系统采用了基于.NET6框架与WinForms构建起来的三层架构设计，在核心控制逻辑的层面上，系统吸纳了状态机（StateMachine）模式，把复杂试验流程明白地划分成空闲（Idle）、升温（Preparing）、就绪（Ready）、记录（Recording）、完成（Complete）等一些状态，还按照定义明确的状态转换规则对试验的整个生命周期加以管理，让流程严谨且可控得到了确保</w:t>
      </w:r>
      <w:r>
        <w:rPr>
          <w:rFonts w:hint="eastAsia" w:ascii="宋体" w:hAnsi="宋体" w:eastAsia="宋体" w:cs="宋体"/>
          <w:sz w:val="24"/>
          <w:szCs w:val="24"/>
          <w:lang w:val="en-US" w:eastAsia="zh-CN"/>
        </w:rPr>
        <w:t>。</w:t>
      </w:r>
    </w:p>
    <w:p w14:paraId="4A5BCB4F">
      <w:pPr>
        <w:pStyle w:val="6"/>
        <w:keepNext w:val="0"/>
        <w:keepLines w:val="0"/>
        <w:pageBreakBefore w:val="0"/>
        <w:widowControl w:val="0"/>
        <w:shd w:val="clear"/>
        <w:kinsoku/>
        <w:wordWrap/>
        <w:overflowPunct/>
        <w:topLinePunct w:val="0"/>
        <w:autoSpaceDE/>
        <w:autoSpaceDN/>
        <w:bidi w:val="0"/>
        <w:adjustRightInd/>
        <w:snapToGrid/>
        <w:spacing w:line="360" w:lineRule="auto"/>
        <w:ind w:firstLine="400" w:firstLineChars="200"/>
        <w:textAlignment w:val="auto"/>
        <w:rPr>
          <w:rFonts w:hint="eastAsia" w:ascii="宋体" w:hAnsi="宋体" w:cs="宋体" w:eastAsiaTheme="minorEastAsia"/>
          <w:sz w:val="24"/>
          <w:szCs w:val="24"/>
          <w:lang w:val="en-US" w:eastAsia="zh-CN"/>
        </w:rPr>
      </w:pPr>
      <w:r>
        <w:t>表</w:t>
      </w:r>
      <w:r>
        <w:rPr>
          <w:rFonts w:hint="eastAsia"/>
          <w:lang w:val="en-US" w:eastAsia="zh-CN"/>
        </w:rPr>
        <w:t>2-</w:t>
      </w:r>
      <w:r>
        <w:fldChar w:fldCharType="begin"/>
      </w:r>
      <w:r>
        <w:instrText xml:space="preserve"> SEQ 表 \* ARABIC </w:instrText>
      </w:r>
      <w:r>
        <w:fldChar w:fldCharType="separate"/>
      </w:r>
      <w:r>
        <w:t>1</w:t>
      </w:r>
      <w:r>
        <w:fldChar w:fldCharType="end"/>
      </w:r>
      <w:r>
        <w:rPr>
          <w:rFonts w:hint="eastAsia"/>
          <w:lang w:eastAsia="zh-CN"/>
        </w:rPr>
        <w:t>试验流程说明</w:t>
      </w:r>
    </w:p>
    <w:tbl>
      <w:tblPr>
        <w:tblStyle w:val="13"/>
        <w:tblW w:w="8526" w:type="dxa"/>
        <w:tblInd w:w="-11"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2637"/>
        <w:gridCol w:w="4096"/>
      </w:tblGrid>
      <w:tr w14:paraId="49E5DC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8" w:hRule="atLeast"/>
        </w:trPr>
        <w:tc>
          <w:tcPr>
            <w:tcW w:w="1793" w:type="dxa"/>
            <w:tcBorders>
              <w:bottom w:val="single" w:color="000000" w:sz="4" w:space="0"/>
              <w:tl2br w:val="nil"/>
            </w:tcBorders>
            <w:shd w:val="clear" w:color="auto" w:fill="auto"/>
            <w:noWrap w:val="0"/>
            <w:tcMar>
              <w:top w:w="-1" w:type="dxa"/>
              <w:left w:w="-1" w:type="dxa"/>
              <w:bottom w:w="-1" w:type="dxa"/>
              <w:right w:w="-1" w:type="dxa"/>
            </w:tcMar>
            <w:vAlign w:val="center"/>
          </w:tcPr>
          <w:p w14:paraId="17551EC7">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状态</w:t>
            </w:r>
          </w:p>
        </w:tc>
        <w:tc>
          <w:tcPr>
            <w:tcW w:w="2637" w:type="dxa"/>
            <w:tcBorders>
              <w:bottom w:val="single" w:color="000000" w:sz="4" w:space="0"/>
            </w:tcBorders>
            <w:shd w:val="clear" w:color="auto" w:fill="auto"/>
            <w:noWrap w:val="0"/>
            <w:tcMar>
              <w:top w:w="-1" w:type="dxa"/>
              <w:left w:w="-1" w:type="dxa"/>
              <w:bottom w:w="-1" w:type="dxa"/>
              <w:right w:w="-1" w:type="dxa"/>
            </w:tcMar>
            <w:vAlign w:val="center"/>
          </w:tcPr>
          <w:p w14:paraId="688B7895">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说明</w:t>
            </w:r>
          </w:p>
        </w:tc>
        <w:tc>
          <w:tcPr>
            <w:tcW w:w="4096" w:type="dxa"/>
            <w:tcBorders>
              <w:bottom w:val="single" w:color="000000" w:sz="4" w:space="0"/>
            </w:tcBorders>
            <w:shd w:val="clear" w:color="auto" w:fill="auto"/>
            <w:noWrap w:val="0"/>
            <w:tcMar>
              <w:top w:w="-1" w:type="dxa"/>
              <w:left w:w="-1" w:type="dxa"/>
              <w:bottom w:w="-1" w:type="dxa"/>
              <w:right w:w="-1" w:type="dxa"/>
            </w:tcMar>
            <w:vAlign w:val="center"/>
          </w:tcPr>
          <w:p w14:paraId="4BE72856">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动作</w:t>
            </w:r>
          </w:p>
        </w:tc>
      </w:tr>
      <w:tr w14:paraId="48010F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8" w:hRule="atLeast"/>
        </w:trPr>
        <w:tc>
          <w:tcPr>
            <w:tcW w:w="1793" w:type="dxa"/>
            <w:tcBorders>
              <w:top w:val="single" w:color="000000" w:sz="4" w:space="0"/>
              <w:tl2br w:val="nil"/>
              <w:tr2bl w:val="nil"/>
            </w:tcBorders>
            <w:shd w:val="clear" w:color="auto" w:fill="auto"/>
            <w:noWrap w:val="0"/>
            <w:tcMar>
              <w:top w:w="-1" w:type="dxa"/>
              <w:left w:w="-1" w:type="dxa"/>
              <w:bottom w:w="-1" w:type="dxa"/>
              <w:right w:w="-1" w:type="dxa"/>
            </w:tcMar>
            <w:vAlign w:val="center"/>
          </w:tcPr>
          <w:p w14:paraId="281F5D8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Idle</w:t>
            </w:r>
          </w:p>
        </w:tc>
        <w:tc>
          <w:tcPr>
            <w:tcW w:w="2637" w:type="dxa"/>
            <w:tcBorders>
              <w:top w:val="single" w:color="000000" w:sz="4" w:space="0"/>
              <w:tl2br w:val="nil"/>
              <w:tr2bl w:val="nil"/>
            </w:tcBorders>
            <w:shd w:val="clear" w:color="auto" w:fill="auto"/>
            <w:noWrap w:val="0"/>
            <w:tcMar>
              <w:top w:w="-1" w:type="dxa"/>
              <w:left w:w="-1" w:type="dxa"/>
              <w:bottom w:w="-1" w:type="dxa"/>
              <w:right w:w="-1" w:type="dxa"/>
            </w:tcMar>
            <w:vAlign w:val="center"/>
          </w:tcPr>
          <w:p w14:paraId="17E3A7F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空闲</w:t>
            </w:r>
          </w:p>
        </w:tc>
        <w:tc>
          <w:tcPr>
            <w:tcW w:w="4096" w:type="dxa"/>
            <w:tcBorders>
              <w:top w:val="single" w:color="000000" w:sz="4" w:space="0"/>
              <w:tl2br w:val="nil"/>
              <w:tr2bl w:val="nil"/>
            </w:tcBorders>
            <w:shd w:val="clear" w:color="auto" w:fill="auto"/>
            <w:noWrap w:val="0"/>
            <w:tcMar>
              <w:top w:w="-1" w:type="dxa"/>
              <w:left w:w="-1" w:type="dxa"/>
              <w:bottom w:w="-1" w:type="dxa"/>
              <w:right w:w="-1" w:type="dxa"/>
            </w:tcMar>
            <w:vAlign w:val="center"/>
          </w:tcPr>
          <w:p w14:paraId="282CA03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等待开始</w:t>
            </w:r>
          </w:p>
        </w:tc>
      </w:tr>
      <w:tr w14:paraId="3158E2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8" w:hRule="atLeast"/>
        </w:trPr>
        <w:tc>
          <w:tcPr>
            <w:tcW w:w="1793" w:type="dxa"/>
            <w:tcBorders>
              <w:tl2br w:val="nil"/>
              <w:tr2bl w:val="nil"/>
            </w:tcBorders>
            <w:shd w:val="clear" w:color="auto" w:fill="auto"/>
            <w:noWrap w:val="0"/>
            <w:tcMar>
              <w:top w:w="-1" w:type="dxa"/>
              <w:left w:w="-1" w:type="dxa"/>
              <w:bottom w:w="-1" w:type="dxa"/>
              <w:right w:w="-1" w:type="dxa"/>
            </w:tcMar>
            <w:vAlign w:val="center"/>
          </w:tcPr>
          <w:p w14:paraId="09C60D2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Preparing</w:t>
            </w:r>
          </w:p>
        </w:tc>
        <w:tc>
          <w:tcPr>
            <w:tcW w:w="2637" w:type="dxa"/>
            <w:tcBorders>
              <w:tl2br w:val="nil"/>
              <w:tr2bl w:val="nil"/>
            </w:tcBorders>
            <w:shd w:val="clear" w:color="auto" w:fill="auto"/>
            <w:noWrap w:val="0"/>
            <w:tcMar>
              <w:top w:w="-1" w:type="dxa"/>
              <w:left w:w="-1" w:type="dxa"/>
              <w:bottom w:w="-1" w:type="dxa"/>
              <w:right w:w="-1" w:type="dxa"/>
            </w:tcMar>
            <w:vAlign w:val="center"/>
          </w:tcPr>
          <w:p w14:paraId="566F02A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升温中</w:t>
            </w:r>
          </w:p>
        </w:tc>
        <w:tc>
          <w:tcPr>
            <w:tcW w:w="4096" w:type="dxa"/>
            <w:tcBorders>
              <w:tl2br w:val="nil"/>
              <w:tr2bl w:val="nil"/>
            </w:tcBorders>
            <w:shd w:val="clear" w:color="auto" w:fill="auto"/>
            <w:noWrap w:val="0"/>
            <w:tcMar>
              <w:top w:w="-1" w:type="dxa"/>
              <w:left w:w="-1" w:type="dxa"/>
              <w:bottom w:w="-1" w:type="dxa"/>
              <w:right w:w="-1" w:type="dxa"/>
            </w:tcMar>
            <w:vAlign w:val="center"/>
          </w:tcPr>
          <w:p w14:paraId="70D1B8A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软启动控制 → PID 控温</w:t>
            </w:r>
          </w:p>
        </w:tc>
      </w:tr>
      <w:tr w14:paraId="41EFE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8" w:hRule="atLeast"/>
        </w:trPr>
        <w:tc>
          <w:tcPr>
            <w:tcW w:w="1793" w:type="dxa"/>
            <w:tcBorders>
              <w:tl2br w:val="nil"/>
              <w:tr2bl w:val="nil"/>
            </w:tcBorders>
            <w:shd w:val="clear" w:color="auto" w:fill="auto"/>
            <w:noWrap w:val="0"/>
            <w:tcMar>
              <w:top w:w="-1" w:type="dxa"/>
              <w:left w:w="-1" w:type="dxa"/>
              <w:bottom w:w="-1" w:type="dxa"/>
              <w:right w:w="-1" w:type="dxa"/>
            </w:tcMar>
            <w:vAlign w:val="center"/>
          </w:tcPr>
          <w:p w14:paraId="780D624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Ready</w:t>
            </w:r>
          </w:p>
        </w:tc>
        <w:tc>
          <w:tcPr>
            <w:tcW w:w="2637" w:type="dxa"/>
            <w:tcBorders>
              <w:tl2br w:val="nil"/>
              <w:tr2bl w:val="nil"/>
            </w:tcBorders>
            <w:shd w:val="clear" w:color="auto" w:fill="auto"/>
            <w:noWrap w:val="0"/>
            <w:tcMar>
              <w:top w:w="-1" w:type="dxa"/>
              <w:left w:w="-1" w:type="dxa"/>
              <w:bottom w:w="-1" w:type="dxa"/>
              <w:right w:w="-1" w:type="dxa"/>
            </w:tcMar>
            <w:vAlign w:val="center"/>
          </w:tcPr>
          <w:p w14:paraId="15A90D7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准备就绪</w:t>
            </w:r>
          </w:p>
        </w:tc>
        <w:tc>
          <w:tcPr>
            <w:tcW w:w="4096" w:type="dxa"/>
            <w:tcBorders>
              <w:tl2br w:val="nil"/>
              <w:tr2bl w:val="nil"/>
            </w:tcBorders>
            <w:shd w:val="clear" w:color="auto" w:fill="auto"/>
            <w:noWrap w:val="0"/>
            <w:tcMar>
              <w:top w:w="-1" w:type="dxa"/>
              <w:left w:w="-1" w:type="dxa"/>
              <w:bottom w:w="-1" w:type="dxa"/>
              <w:right w:w="-1" w:type="dxa"/>
            </w:tcMar>
            <w:vAlign w:val="center"/>
          </w:tcPr>
          <w:p w14:paraId="337B863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记录 PID 输出，等待开始记录</w:t>
            </w:r>
          </w:p>
        </w:tc>
      </w:tr>
      <w:tr w14:paraId="72AB0A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8" w:hRule="atLeast"/>
        </w:trPr>
        <w:tc>
          <w:tcPr>
            <w:tcW w:w="1793" w:type="dxa"/>
            <w:tcBorders>
              <w:tl2br w:val="nil"/>
              <w:tr2bl w:val="nil"/>
            </w:tcBorders>
            <w:shd w:val="clear" w:color="auto" w:fill="auto"/>
            <w:noWrap w:val="0"/>
            <w:tcMar>
              <w:top w:w="-1" w:type="dxa"/>
              <w:left w:w="-1" w:type="dxa"/>
              <w:bottom w:w="-1" w:type="dxa"/>
              <w:right w:w="-1" w:type="dxa"/>
            </w:tcMar>
            <w:vAlign w:val="center"/>
          </w:tcPr>
          <w:p w14:paraId="39E0C89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Recording</w:t>
            </w:r>
          </w:p>
        </w:tc>
        <w:tc>
          <w:tcPr>
            <w:tcW w:w="2637" w:type="dxa"/>
            <w:tcBorders>
              <w:tl2br w:val="nil"/>
              <w:tr2bl w:val="nil"/>
            </w:tcBorders>
            <w:shd w:val="clear" w:color="auto" w:fill="auto"/>
            <w:noWrap w:val="0"/>
            <w:tcMar>
              <w:top w:w="-1" w:type="dxa"/>
              <w:left w:w="-1" w:type="dxa"/>
              <w:bottom w:w="-1" w:type="dxa"/>
              <w:right w:w="-1" w:type="dxa"/>
            </w:tcMar>
            <w:vAlign w:val="center"/>
          </w:tcPr>
          <w:p w14:paraId="37607D5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记录中</w:t>
            </w:r>
          </w:p>
        </w:tc>
        <w:tc>
          <w:tcPr>
            <w:tcW w:w="4096" w:type="dxa"/>
            <w:tcBorders>
              <w:tl2br w:val="nil"/>
              <w:tr2bl w:val="nil"/>
            </w:tcBorders>
            <w:shd w:val="clear" w:color="auto" w:fill="auto"/>
            <w:noWrap w:val="0"/>
            <w:tcMar>
              <w:top w:w="-1" w:type="dxa"/>
              <w:left w:w="-1" w:type="dxa"/>
              <w:bottom w:w="-1" w:type="dxa"/>
              <w:right w:w="-1" w:type="dxa"/>
            </w:tcMar>
            <w:vAlign w:val="center"/>
          </w:tcPr>
          <w:p w14:paraId="6770E10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恒功率控制，采集数据</w:t>
            </w:r>
          </w:p>
        </w:tc>
      </w:tr>
      <w:tr w14:paraId="2FE1F1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8" w:hRule="atLeast"/>
        </w:trPr>
        <w:tc>
          <w:tcPr>
            <w:tcW w:w="1793" w:type="dxa"/>
            <w:tcBorders>
              <w:tl2br w:val="nil"/>
              <w:tr2bl w:val="nil"/>
            </w:tcBorders>
            <w:shd w:val="clear" w:color="auto" w:fill="auto"/>
            <w:noWrap w:val="0"/>
            <w:tcMar>
              <w:top w:w="-1" w:type="dxa"/>
              <w:left w:w="-1" w:type="dxa"/>
              <w:bottom w:w="-1" w:type="dxa"/>
              <w:right w:w="-1" w:type="dxa"/>
            </w:tcMar>
            <w:vAlign w:val="center"/>
          </w:tcPr>
          <w:p w14:paraId="112B5FB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Complete</w:t>
            </w:r>
          </w:p>
        </w:tc>
        <w:tc>
          <w:tcPr>
            <w:tcW w:w="2637" w:type="dxa"/>
            <w:tcBorders>
              <w:tl2br w:val="nil"/>
              <w:tr2bl w:val="nil"/>
            </w:tcBorders>
            <w:shd w:val="clear" w:color="auto" w:fill="auto"/>
            <w:noWrap w:val="0"/>
            <w:tcMar>
              <w:top w:w="-1" w:type="dxa"/>
              <w:left w:w="-1" w:type="dxa"/>
              <w:bottom w:w="-1" w:type="dxa"/>
              <w:right w:w="-1" w:type="dxa"/>
            </w:tcMar>
            <w:vAlign w:val="center"/>
          </w:tcPr>
          <w:p w14:paraId="03328A2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完成</w:t>
            </w:r>
          </w:p>
        </w:tc>
        <w:tc>
          <w:tcPr>
            <w:tcW w:w="4096" w:type="dxa"/>
            <w:tcBorders>
              <w:tl2br w:val="nil"/>
              <w:tr2bl w:val="nil"/>
            </w:tcBorders>
            <w:shd w:val="clear" w:color="auto" w:fill="auto"/>
            <w:noWrap w:val="0"/>
            <w:tcMar>
              <w:top w:w="-1" w:type="dxa"/>
              <w:left w:w="-1" w:type="dxa"/>
              <w:bottom w:w="-1" w:type="dxa"/>
              <w:right w:w="-1" w:type="dxa"/>
            </w:tcMar>
            <w:vAlign w:val="center"/>
          </w:tcPr>
          <w:p w14:paraId="284C37E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保存数据，生成报告</w:t>
            </w:r>
          </w:p>
        </w:tc>
      </w:tr>
    </w:tbl>
    <w:p w14:paraId="1794B801">
      <w:pPr>
        <w:pStyle w:val="3"/>
        <w:shd w:val="clear"/>
        <w:bidi w:val="0"/>
        <w:rPr>
          <w:rFonts w:hint="eastAsia" w:ascii="宋体" w:hAnsi="宋体" w:eastAsia="宋体" w:cs="宋体"/>
          <w:lang w:val="en-US" w:eastAsia="zh-CN"/>
        </w:rPr>
      </w:pPr>
      <w:bookmarkStart w:id="11" w:name="_Toc4414"/>
      <w:r>
        <w:rPr>
          <w:rFonts w:hint="eastAsia" w:ascii="宋体" w:hAnsi="宋体" w:eastAsia="宋体" w:cs="宋体"/>
          <w:lang w:val="en-US" w:eastAsia="zh-CN"/>
        </w:rPr>
        <w:t>2.1相关算法理论</w:t>
      </w:r>
      <w:bookmarkEnd w:id="11"/>
    </w:p>
    <w:p w14:paraId="308C5DC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经由ModbusRTU串行通信协议，和试验炉的PID控制器及温度传感器做实时的数据交互，实现了对炉温高频采集以及精确调控，在温度控制以及稳定性判断核心环节，系统做到了两项关键技术算法，一是有着多阶段自适应功能的温控算法：系统根据实时所采集的炉温，自动转换不同温度区间的加热功率（像低温段采用较高功率使温度迅速升高，临近目标温度的时候下调功率防止超调，达成了高效、平稳的升温过程。二是基于线性拟合做温度稳定性自动判断的算法：系统应用着MathNe.Numerics数值计算库，对连续10分钟（600个数据点）的炉温数据进行线性拟合方面的工作，凭借计算拟合直线的斜率（漂移值），且联合温度波动范围（偏差）做综合考量，只有当温度稳定在目标区间（像750°C±5°C），同时漂移和偏差一直符合标准要求的状况下，才能够自动认定进入稳定记录时候，替换了过去人工观察和计时的办法。</w:t>
      </w:r>
    </w:p>
    <w:p w14:paraId="701AB299">
      <w:pPr>
        <w:pStyle w:val="4"/>
        <w:shd w:val="clear"/>
        <w:bidi w:val="0"/>
        <w:rPr>
          <w:rStyle w:val="18"/>
          <w:rFonts w:hint="eastAsia" w:ascii="宋体" w:hAnsi="宋体" w:eastAsia="宋体" w:cs="宋体"/>
          <w:b/>
          <w:lang w:val="en-US" w:eastAsia="zh-CN"/>
        </w:rPr>
      </w:pPr>
      <w:bookmarkStart w:id="12" w:name="_Toc15927"/>
      <w:r>
        <w:rPr>
          <w:rStyle w:val="18"/>
          <w:rFonts w:hint="eastAsia" w:ascii="宋体" w:hAnsi="宋体" w:eastAsia="宋体" w:cs="宋体"/>
          <w:b/>
          <w:lang w:val="en-US" w:eastAsia="zh-CN"/>
        </w:rPr>
        <w:t>2.1.1 多阶段自适应温度控制算法</w:t>
      </w:r>
      <w:bookmarkEnd w:id="12"/>
    </w:p>
    <w:p w14:paraId="60A6CDA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多阶段自适应温度控制算法是达成从室温平稳、快速且不出现过度超温问题地升温至目标恒温区间（750°C±5°C）的主要做法，依经典控制理论来说，当被控对象动态特性随工作点有明显的变动时，于全工况而言，固定参数的PID控制器同时兼顾响应速度和稳定性是比较困难的，这种情况在有着大惯性、大滞后特性的电加热炉温控系统里极为突出</w:t>
      </w:r>
      <w:r>
        <w:rPr>
          <w:rFonts w:hint="default" w:ascii="宋体" w:hAnsi="宋体" w:eastAsia="宋体" w:cs="宋体"/>
          <w:kern w:val="2"/>
          <w:sz w:val="24"/>
          <w:szCs w:val="24"/>
          <w:vertAlign w:val="superscript"/>
          <w:lang w:val="en-US" w:eastAsia="zh-CN" w:bidi="ar-SA"/>
        </w:rPr>
        <w:fldChar w:fldCharType="begin"/>
      </w:r>
      <w:r>
        <w:instrText xml:space="preserve"> REF _Ref18481 \r \h  \* MERGEFORMAT</w:instrText>
      </w:r>
      <w:r>
        <w:rPr>
          <w:rFonts w:hint="default" w:ascii="宋体" w:hAnsi="宋体" w:eastAsia="宋体" w:cs="宋体"/>
          <w:kern w:val="2"/>
          <w:sz w:val="24"/>
          <w:szCs w:val="24"/>
          <w:vertAlign w:val="superscript"/>
          <w:lang w:val="en-US" w:eastAsia="zh-CN" w:bidi="ar-SA"/>
        </w:rPr>
        <w:fldChar w:fldCharType="separate"/>
      </w:r>
      <w:r>
        <w:rPr>
          <w:rFonts w:hint="default" w:ascii="宋体" w:hAnsi="宋体" w:eastAsia="宋体" w:cs="宋体"/>
          <w:kern w:val="2"/>
          <w:sz w:val="24"/>
          <w:szCs w:val="24"/>
          <w:vertAlign w:val="superscript"/>
          <w:lang w:val="en-US" w:eastAsia="zh-CN" w:bidi="ar-SA"/>
        </w:rPr>
        <w:t>[6]</w:t>
      </w:r>
      <w:r>
        <w:rPr>
          <w:rFonts w:hint="default" w:ascii="宋体" w:hAnsi="宋体" w:eastAsia="宋体" w:cs="宋体"/>
          <w:kern w:val="2"/>
          <w:sz w:val="24"/>
          <w:szCs w:val="24"/>
          <w:vertAlign w:val="superscript"/>
          <w:lang w:val="en-US" w:eastAsia="zh-CN" w:bidi="ar-SA"/>
        </w:rPr>
        <w:fldChar w:fldCharType="end"/>
      </w:r>
      <w:r>
        <w:rPr>
          <w:rFonts w:hint="default" w:ascii="宋体" w:hAnsi="宋体" w:eastAsia="宋体" w:cs="宋体"/>
          <w:kern w:val="2"/>
          <w:sz w:val="24"/>
          <w:szCs w:val="24"/>
          <w:lang w:val="en-US" w:eastAsia="zh-CN" w:bidi="ar-SA"/>
        </w:rPr>
        <w:t>，为克服之前的局限，本算法采用“分段逼近，平滑过渡”的控制思路去开展工作</w:t>
      </w:r>
      <w:r>
        <w:rPr>
          <w:rFonts w:hint="default" w:ascii="宋体" w:hAnsi="宋体" w:eastAsia="宋体" w:cs="宋体"/>
          <w:kern w:val="2"/>
          <w:sz w:val="24"/>
          <w:szCs w:val="24"/>
          <w:vertAlign w:val="superscript"/>
          <w:lang w:val="en-US" w:eastAsia="zh-CN" w:bidi="ar-SA"/>
        </w:rPr>
        <w:fldChar w:fldCharType="begin"/>
      </w:r>
      <w:r>
        <w:instrText xml:space="preserve"> REF _Ref18925 \r \h  \* MERGEFORMAT</w:instrText>
      </w:r>
      <w:r>
        <w:rPr>
          <w:rFonts w:hint="default" w:ascii="宋体" w:hAnsi="宋体" w:eastAsia="宋体" w:cs="宋体"/>
          <w:kern w:val="2"/>
          <w:sz w:val="24"/>
          <w:szCs w:val="24"/>
          <w:vertAlign w:val="superscript"/>
          <w:lang w:val="en-US" w:eastAsia="zh-CN" w:bidi="ar-SA"/>
        </w:rPr>
        <w:fldChar w:fldCharType="separate"/>
      </w:r>
      <w:r>
        <w:rPr>
          <w:rFonts w:hint="default" w:ascii="宋体" w:hAnsi="宋体" w:eastAsia="宋体" w:cs="宋体"/>
          <w:kern w:val="2"/>
          <w:sz w:val="24"/>
          <w:szCs w:val="24"/>
          <w:vertAlign w:val="superscript"/>
          <w:lang w:val="en-US" w:eastAsia="zh-CN" w:bidi="ar-SA"/>
        </w:rPr>
        <w:t>[7]</w:t>
      </w:r>
      <w:r>
        <w:rPr>
          <w:rFonts w:hint="default" w:ascii="宋体" w:hAnsi="宋体" w:eastAsia="宋体" w:cs="宋体"/>
          <w:kern w:val="2"/>
          <w:sz w:val="24"/>
          <w:szCs w:val="24"/>
          <w:vertAlign w:val="superscript"/>
          <w:lang w:val="en-US" w:eastAsia="zh-CN" w:bidi="ar-SA"/>
        </w:rPr>
        <w:fldChar w:fldCharType="end"/>
      </w:r>
      <w:r>
        <w:rPr>
          <w:rFonts w:hint="default" w:ascii="宋体" w:hAnsi="宋体" w:eastAsia="宋体" w:cs="宋体"/>
          <w:kern w:val="2"/>
          <w:sz w:val="24"/>
          <w:szCs w:val="24"/>
          <w:lang w:val="en-US" w:eastAsia="zh-CN" w:bidi="ar-SA"/>
        </w:rPr>
        <w:t>，把升温过程分成五个逻辑的时期，各阶段运用有不同之处的功率输出策略，它的控制流程于下面的图中有所展示</w:t>
      </w:r>
      <w:r>
        <w:rPr>
          <w:rFonts w:hint="eastAsia" w:ascii="宋体" w:hAnsi="宋体" w:eastAsia="宋体" w:cs="宋体"/>
          <w:kern w:val="2"/>
          <w:sz w:val="24"/>
          <w:szCs w:val="24"/>
          <w:lang w:val="en-US" w:eastAsia="zh-CN" w:bidi="ar-SA"/>
        </w:rPr>
        <w:t>：</w:t>
      </w:r>
    </w:p>
    <w:p w14:paraId="02B34717">
      <w:pPr>
        <w:keepNext w:val="0"/>
        <w:keepLines w:val="0"/>
        <w:pageBreakBefore w:val="0"/>
        <w:widowControl w:val="0"/>
        <w:shd w:val="clear"/>
        <w:kinsoku/>
        <w:wordWrap/>
        <w:overflowPunct/>
        <w:topLinePunct w:val="0"/>
        <w:autoSpaceDE/>
        <w:autoSpaceDN/>
        <w:bidi w:val="0"/>
        <w:adjustRightInd/>
        <w:snapToGrid/>
        <w:spacing w:line="360" w:lineRule="auto"/>
        <w:jc w:val="left"/>
        <w:textAlignment w:val="auto"/>
      </w:pPr>
      <w:r>
        <w:drawing>
          <wp:inline distT="0" distB="0" distL="114300" distR="114300">
            <wp:extent cx="5700395" cy="629920"/>
            <wp:effectExtent l="0" t="0" r="1905"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rcRect r="1190"/>
                    <a:stretch>
                      <a:fillRect/>
                    </a:stretch>
                  </pic:blipFill>
                  <pic:spPr>
                    <a:xfrm>
                      <a:off x="0" y="0"/>
                      <a:ext cx="5700395" cy="629920"/>
                    </a:xfrm>
                    <a:prstGeom prst="rect">
                      <a:avLst/>
                    </a:prstGeom>
                    <a:noFill/>
                    <a:ln>
                      <a:noFill/>
                    </a:ln>
                  </pic:spPr>
                </pic:pic>
              </a:graphicData>
            </a:graphic>
          </wp:inline>
        </w:drawing>
      </w:r>
    </w:p>
    <w:p w14:paraId="46A61BD0">
      <w:pPr>
        <w:pStyle w:val="6"/>
        <w:keepNext w:val="0"/>
        <w:keepLines w:val="0"/>
        <w:pageBreakBefore w:val="0"/>
        <w:widowControl w:val="0"/>
        <w:shd w:val="clear"/>
        <w:kinsoku/>
        <w:wordWrap/>
        <w:overflowPunct/>
        <w:topLinePunct w:val="0"/>
        <w:autoSpaceDE/>
        <w:autoSpaceDN/>
        <w:bidi w:val="0"/>
        <w:adjustRightInd/>
        <w:snapToGrid/>
        <w:spacing w:line="360" w:lineRule="auto"/>
        <w:jc w:val="center"/>
        <w:textAlignment w:val="auto"/>
        <w:rPr>
          <w:rFonts w:hint="eastAsia" w:eastAsiaTheme="minorEastAsia"/>
          <w:lang w:eastAsia="zh-CN"/>
        </w:rPr>
      </w:pPr>
      <w:r>
        <w:t xml:space="preserve">图 </w:t>
      </w:r>
      <w:r>
        <w:rPr>
          <w:rFonts w:hint="eastAsia"/>
          <w:lang w:val="en-US" w:eastAsia="zh-CN"/>
        </w:rPr>
        <w:t>2-1</w:t>
      </w:r>
      <w:r>
        <w:rPr>
          <w:rFonts w:hint="eastAsia"/>
          <w:lang w:eastAsia="zh-CN"/>
        </w:rPr>
        <w:t>升温过程</w:t>
      </w:r>
    </w:p>
    <w:p w14:paraId="2DDF77B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算法的控制策略可形式化为如下分段函数：</w:t>
      </w:r>
    </w:p>
    <w:p w14:paraId="02D4C031">
      <w:pPr>
        <w:keepNext w:val="0"/>
        <w:keepLines w:val="0"/>
        <w:pageBreakBefore w:val="0"/>
        <w:widowControl w:val="0"/>
        <w:shd w:val="clear"/>
        <w:kinsoku/>
        <w:wordWrap/>
        <w:overflowPunct/>
        <w:topLinePunct w:val="0"/>
        <w:autoSpaceDE/>
        <w:autoSpaceDN/>
        <w:bidi w:val="0"/>
        <w:adjustRightInd/>
        <w:snapToGrid/>
        <w:spacing w:line="360" w:lineRule="auto"/>
        <w:ind w:firstLine="380" w:firstLineChars="200"/>
        <w:textAlignment w:val="auto"/>
        <m:rPr/>
        <w:rPr>
          <w:rFonts w:hint="default" w:hAnsi="Cambria Math" w:eastAsia="宋体"/>
          <w:i w:val="0"/>
          <w:sz w:val="19"/>
          <w:lang w:val="en-US" w:eastAsia="zh-CN"/>
        </w:rPr>
      </w:pPr>
      <m:oMathPara>
        <m:oMath>
          <m:eqArr>
            <m:eqArrPr>
              <m:maxDist m:val="1"/>
              <m:ctrlPr>
                <m:rPr/>
                <w:rPr>
                  <w:rFonts w:hint="default" w:hAnsi="Cambria Math" w:eastAsia="宋体"/>
                  <w:i w:val="0"/>
                  <w:sz w:val="19"/>
                  <w:lang w:val="en-US" w:eastAsia="zh-CN"/>
                </w:rPr>
              </m:ctrlPr>
            </m:eqArrPr>
            <m:e>
              <m:r>
                <m:rPr/>
                <w:rPr>
                  <w:rFonts w:hint="default" w:ascii="Cambria Math" w:hAnsi="Cambria Math" w:eastAsia="KaTeX_Size3"/>
                  <w:sz w:val="19"/>
                </w:rPr>
                <m:t>P(T)=</m:t>
              </m:r>
              <m:d>
                <m:dPr>
                  <m:begChr m:val="{"/>
                  <m:endChr m:val=""/>
                  <m:ctrlPr>
                    <w:rPr>
                      <w:rFonts w:hint="default" w:ascii="Cambria Math" w:hAnsi="Cambria Math" w:eastAsia="KaTeX_Size3"/>
                      <w:sz w:val="19"/>
                    </w:rPr>
                  </m:ctrlPr>
                </m:dPr>
                <m:e>
                  <m:eqArr>
                    <m:eqArrPr>
                      <m:ctrlPr>
                        <w:rPr>
                          <w:rFonts w:hint="default" w:ascii="Cambria Math" w:hAnsi="Cambria Math" w:eastAsia="KaTeX_Size3"/>
                          <w:sz w:val="19"/>
                        </w:rPr>
                      </m:ctrlPr>
                    </m:eqArrPr>
                    <m:e>
                      <m:r>
                        <m:rPr/>
                        <w:rPr>
                          <w:rFonts w:hint="default" w:ascii="Cambria Math" w:hAnsi="Cambria Math" w:eastAsia="KaTeX_Size3"/>
                          <w:sz w:val="19"/>
                        </w:rPr>
                        <m:t>30%</m:t>
                      </m:r>
                      <m:sSub>
                        <m:sSubPr>
                          <m:ctrlPr>
                            <w:rPr>
                              <w:rFonts w:hint="default" w:ascii="Cambria Math" w:hAnsi="Cambria Math" w:eastAsia="KaTeX_Size3"/>
                              <w:sz w:val="19"/>
                            </w:rPr>
                          </m:ctrlPr>
                        </m:sSubPr>
                        <m:e>
                          <m:r>
                            <m:rPr/>
                            <w:rPr>
                              <w:rFonts w:hint="default" w:ascii="Cambria Math" w:hAnsi="Cambria Math" w:eastAsia="KaTeX_Size3"/>
                              <w:sz w:val="19"/>
                            </w:rPr>
                            <m:t>P</m:t>
                          </m:r>
                          <m:ctrlPr>
                            <w:rPr>
                              <w:rFonts w:ascii="Cambria Math" w:hAnsi="Cambria Math" w:eastAsia="KaTeX_Size3"/>
                              <w:sz w:val="19"/>
                            </w:rPr>
                          </m:ctrlPr>
                        </m:e>
                        <m:sub>
                          <m:func>
                            <m:funcPr>
                              <m:ctrlPr>
                                <w:rPr>
                                  <w:rFonts w:hint="default" w:ascii="Cambria Math" w:hAnsi="Cambria Math" w:eastAsia="KaTeX_Size3"/>
                                  <w:sz w:val="19"/>
                                </w:rPr>
                              </m:ctrlPr>
                            </m:funcPr>
                            <m:fName>
                              <m:limLow>
                                <m:limLowPr>
                                  <m:ctrlPr>
                                    <w:rPr>
                                      <w:rFonts w:hint="default" w:ascii="Cambria Math" w:hAnsi="Cambria Math" w:eastAsia="KaTeX_Size3"/>
                                      <w:sz w:val="19"/>
                                    </w:rPr>
                                  </m:ctrlPr>
                                </m:limLowPr>
                                <m:e>
                                  <m:r>
                                    <m:rPr>
                                      <m:sty m:val="p"/>
                                    </m:rPr>
                                    <w:rPr>
                                      <w:rFonts w:hint="default" w:ascii="Cambria Math" w:hAnsi="Cambria Math" w:eastAsia="KaTeX_Size3"/>
                                      <w:sz w:val="19"/>
                                    </w:rPr>
                                    <m:t>max</m:t>
                                  </m:r>
                                  <m:ctrlPr>
                                    <w:rPr>
                                      <w:rFonts w:ascii="Cambria Math" w:hAnsi="Cambria Math" w:eastAsia="KaTeX_Size3"/>
                                      <w:sz w:val="19"/>
                                    </w:rPr>
                                  </m:ctrlPr>
                                </m:e>
                                <m:lim>
                                  <m:r>
                                    <m:rPr>
                                      <m:sty m:val="p"/>
                                    </m:rPr>
                                    <w:rPr>
                                      <w:rFonts w:hint="default" w:ascii="Cambria Math" w:hAnsi="Cambria Math" w:eastAsia="宋体"/>
                                      <w:sz w:val="19"/>
                                      <w:lang w:val="en-US" w:eastAsia="zh-CN"/>
                                    </w:rPr>
                                    <m:t xml:space="preserve"> </m:t>
                                  </m:r>
                                  <m:ctrlPr>
                                    <w:rPr>
                                      <w:rFonts w:ascii="Cambria Math" w:hAnsi="Cambria Math" w:eastAsia="KaTeX_Size3"/>
                                      <w:sz w:val="19"/>
                                    </w:rPr>
                                  </m:ctrlPr>
                                </m:lim>
                              </m:limLow>
                              <m:ctrlPr>
                                <w:rPr>
                                  <w:rFonts w:hint="default" w:ascii="Cambria Math" w:hAnsi="Cambria Math" w:eastAsia="KaTeX_Size3"/>
                                  <w:sz w:val="19"/>
                                </w:rPr>
                              </m:ctrlPr>
                            </m:fName>
                            <m:e>
                              <m:r>
                                <m:rPr>
                                  <m:sty m:val="p"/>
                                </m:rPr>
                                <w:rPr>
                                  <w:rFonts w:hint="default" w:ascii="Cambria Math" w:hAnsi="Cambria Math" w:eastAsia="宋体"/>
                                  <w:sz w:val="19"/>
                                  <w:lang w:val="en-US" w:eastAsia="zh-CN"/>
                                </w:rPr>
                                <m:t xml:space="preserve"> </m:t>
                              </m:r>
                              <m:ctrlPr>
                                <w:rPr>
                                  <w:rFonts w:hint="default" w:ascii="Cambria Math" w:hAnsi="Cambria Math" w:eastAsia="KaTeX_Size3"/>
                                  <w:sz w:val="19"/>
                                </w:rPr>
                              </m:ctrlPr>
                            </m:e>
                          </m:func>
                          <m:r>
                            <m:rPr>
                              <m:sty m:val="p"/>
                            </m:rPr>
                            <w:rPr>
                              <w:rFonts w:hint="default" w:ascii="Cambria Math" w:hAnsi="Cambria Math" w:eastAsia="宋体"/>
                              <w:sz w:val="19"/>
                              <w:lang w:val="en-US" w:eastAsia="zh-CN"/>
                            </w:rPr>
                            <m:t xml:space="preserve">            </m:t>
                          </m:r>
                          <m:ctrlPr>
                            <w:rPr>
                              <w:rFonts w:hint="default" w:ascii="Cambria Math" w:hAnsi="Cambria Math" w:eastAsia="KaTeX_Size3"/>
                              <w:sz w:val="19"/>
                            </w:rPr>
                          </m:ctrlPr>
                        </m:sub>
                      </m:sSub>
                      <m:r>
                        <m:rPr/>
                        <w:rPr>
                          <w:rFonts w:hint="default" w:ascii="Cambria Math" w:hAnsi="Cambria Math" w:eastAsia="KaTeX_Size3"/>
                          <w:sz w:val="19"/>
                        </w:rPr>
                        <m:t>0≤T&lt;30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ctrlPr>
                        <w:rPr>
                          <w:rFonts w:hint="default" w:ascii="Cambria Math" w:hAnsi="Cambria Math" w:eastAsia="KaTeX_Size3"/>
                          <w:sz w:val="19"/>
                        </w:rPr>
                      </m:ctrlPr>
                    </m:e>
                    <m:e>
                      <m:r>
                        <m:rPr/>
                        <w:rPr>
                          <w:rFonts w:hint="default" w:ascii="Cambria Math" w:hAnsi="Cambria Math" w:eastAsia="KaTeX_Size3"/>
                          <w:sz w:val="19"/>
                        </w:rPr>
                        <m:t>50%</m:t>
                      </m:r>
                      <m:sSub>
                        <m:sSubPr>
                          <m:ctrlPr>
                            <w:rPr>
                              <w:rFonts w:hint="default" w:ascii="Cambria Math" w:hAnsi="Cambria Math" w:eastAsia="KaTeX_Size3"/>
                              <w:sz w:val="19"/>
                            </w:rPr>
                          </m:ctrlPr>
                        </m:sSubPr>
                        <m:e>
                          <m:r>
                            <m:rPr/>
                            <w:rPr>
                              <w:rFonts w:hint="default" w:ascii="Cambria Math" w:hAnsi="Cambria Math" w:eastAsia="KaTeX_Size3"/>
                              <w:sz w:val="19"/>
                            </w:rPr>
                            <m:t>P</m:t>
                          </m:r>
                          <m:ctrlPr>
                            <w:rPr>
                              <w:rFonts w:hint="default" w:ascii="Cambria Math" w:hAnsi="Cambria Math" w:eastAsia="KaTeX_Size3"/>
                              <w:sz w:val="19"/>
                            </w:rPr>
                          </m:ctrlPr>
                        </m:e>
                        <m:sub>
                          <m:func>
                            <m:funcPr>
                              <m:ctrlPr>
                                <w:rPr>
                                  <w:rFonts w:hint="default" w:ascii="Cambria Math" w:hAnsi="Cambria Math" w:eastAsia="KaTeX_Size3"/>
                                  <w:sz w:val="19"/>
                                </w:rPr>
                              </m:ctrlPr>
                            </m:funcPr>
                            <m:fName>
                              <m:limLow>
                                <m:limLowPr>
                                  <m:ctrlPr>
                                    <w:rPr>
                                      <w:rFonts w:hint="default" w:ascii="Cambria Math" w:hAnsi="Cambria Math" w:eastAsia="KaTeX_Size3"/>
                                      <w:sz w:val="19"/>
                                    </w:rPr>
                                  </m:ctrlPr>
                                </m:limLowPr>
                                <m:e>
                                  <m:r>
                                    <m:rPr>
                                      <m:sty m:val="p"/>
                                    </m:rPr>
                                    <w:rPr>
                                      <w:rFonts w:hint="default" w:ascii="Cambria Math" w:hAnsi="Cambria Math" w:eastAsia="KaTeX_Size3"/>
                                      <w:sz w:val="19"/>
                                    </w:rPr>
                                    <m:t>max</m:t>
                                  </m:r>
                                  <m:ctrlPr>
                                    <w:rPr>
                                      <w:rFonts w:ascii="Cambria Math" w:hAnsi="Cambria Math" w:eastAsia="KaTeX_Size3"/>
                                      <w:sz w:val="19"/>
                                    </w:rPr>
                                  </m:ctrlPr>
                                </m:e>
                                <m:lim>
                                  <m:r>
                                    <m:rPr>
                                      <m:sty m:val="p"/>
                                    </m:rPr>
                                    <w:rPr>
                                      <w:rFonts w:hint="default" w:ascii="Cambria Math" w:hAnsi="Cambria Math" w:eastAsia="宋体"/>
                                      <w:sz w:val="19"/>
                                      <w:lang w:val="en-US" w:eastAsia="zh-CN"/>
                                    </w:rPr>
                                    <m:t xml:space="preserve"> </m:t>
                                  </m:r>
                                  <m:ctrlPr>
                                    <w:rPr>
                                      <w:rFonts w:ascii="Cambria Math" w:hAnsi="Cambria Math" w:eastAsia="KaTeX_Size3"/>
                                      <w:sz w:val="19"/>
                                    </w:rPr>
                                  </m:ctrlPr>
                                </m:lim>
                              </m:limLow>
                              <m:ctrlPr>
                                <w:rPr>
                                  <w:rFonts w:hint="default" w:ascii="Cambria Math" w:hAnsi="Cambria Math" w:eastAsia="KaTeX_Size3"/>
                                  <w:sz w:val="19"/>
                                </w:rPr>
                              </m:ctrlPr>
                            </m:fName>
                            <m:e>
                              <m:r>
                                <m:rPr>
                                  <m:sty m:val="p"/>
                                </m:rPr>
                                <w:rPr>
                                  <w:rFonts w:hint="default" w:ascii="Cambria Math" w:hAnsi="Cambria Math" w:eastAsia="宋体"/>
                                  <w:sz w:val="19"/>
                                  <w:lang w:val="en-US" w:eastAsia="zh-CN"/>
                                </w:rPr>
                                <m:t xml:space="preserve"> </m:t>
                              </m:r>
                              <m:ctrlPr>
                                <w:rPr>
                                  <w:rFonts w:hint="default" w:ascii="Cambria Math" w:hAnsi="Cambria Math" w:eastAsia="KaTeX_Size3"/>
                                  <w:sz w:val="19"/>
                                </w:rPr>
                              </m:ctrlPr>
                            </m:e>
                          </m:func>
                          <m:ctrlPr>
                            <w:rPr>
                              <w:rFonts w:hint="default" w:ascii="Cambria Math" w:hAnsi="Cambria Math" w:eastAsia="KaTeX_Size3"/>
                              <w:sz w:val="19"/>
                            </w:rPr>
                          </m:ctrlPr>
                        </m:sub>
                      </m:sSub>
                      <m:r>
                        <m:rPr/>
                        <w:rPr>
                          <w:rFonts w:hint="default" w:ascii="Cambria Math" w:hAnsi="Cambria Math" w:eastAsia="KaTeX_Size3"/>
                          <w:sz w:val="19"/>
                        </w:rPr>
                        <m:t>30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r>
                        <m:rPr/>
                        <w:rPr>
                          <w:rFonts w:hint="default" w:ascii="Cambria Math" w:hAnsi="Cambria Math" w:eastAsia="KaTeX_Size3"/>
                          <w:sz w:val="19"/>
                        </w:rPr>
                        <m:t>≤T&lt;50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ctrlPr>
                        <w:rPr>
                          <w:rFonts w:hint="default" w:ascii="Cambria Math" w:hAnsi="Cambria Math" w:eastAsia="KaTeX_Size3"/>
                          <w:sz w:val="19"/>
                        </w:rPr>
                      </m:ctrlPr>
                    </m:e>
                    <m:e>
                      <m:r>
                        <m:rPr/>
                        <w:rPr>
                          <w:rFonts w:hint="default" w:ascii="Cambria Math" w:hAnsi="Cambria Math" w:eastAsia="KaTeX_Size3"/>
                          <w:sz w:val="19"/>
                        </w:rPr>
                        <m:t>70%</m:t>
                      </m:r>
                      <m:sSub>
                        <m:sSubPr>
                          <m:ctrlPr>
                            <w:rPr>
                              <w:rFonts w:hint="default" w:ascii="Cambria Math" w:hAnsi="Cambria Math" w:eastAsia="KaTeX_Size3"/>
                              <w:sz w:val="19"/>
                            </w:rPr>
                          </m:ctrlPr>
                        </m:sSubPr>
                        <m:e>
                          <m:r>
                            <m:rPr/>
                            <w:rPr>
                              <w:rFonts w:hint="default" w:ascii="Cambria Math" w:hAnsi="Cambria Math" w:eastAsia="KaTeX_Size3"/>
                              <w:sz w:val="19"/>
                            </w:rPr>
                            <m:t>P</m:t>
                          </m:r>
                          <m:ctrlPr>
                            <w:rPr>
                              <w:rFonts w:hint="default" w:ascii="Cambria Math" w:hAnsi="Cambria Math" w:eastAsia="KaTeX_Size3"/>
                              <w:sz w:val="19"/>
                            </w:rPr>
                          </m:ctrlPr>
                        </m:e>
                        <m:sub>
                          <m:func>
                            <m:funcPr>
                              <m:ctrlPr>
                                <w:rPr>
                                  <w:rFonts w:hint="default" w:ascii="Cambria Math" w:hAnsi="Cambria Math" w:eastAsia="KaTeX_Size3"/>
                                  <w:sz w:val="19"/>
                                </w:rPr>
                              </m:ctrlPr>
                            </m:funcPr>
                            <m:fName>
                              <m:limLow>
                                <m:limLowPr>
                                  <m:ctrlPr>
                                    <w:rPr>
                                      <w:rFonts w:hint="default" w:ascii="Cambria Math" w:hAnsi="Cambria Math" w:eastAsia="KaTeX_Size3"/>
                                      <w:sz w:val="19"/>
                                    </w:rPr>
                                  </m:ctrlPr>
                                </m:limLowPr>
                                <m:e>
                                  <m:r>
                                    <m:rPr>
                                      <m:sty m:val="p"/>
                                    </m:rPr>
                                    <w:rPr>
                                      <w:rFonts w:hint="default" w:ascii="Cambria Math" w:hAnsi="Cambria Math" w:eastAsia="KaTeX_Size3"/>
                                      <w:sz w:val="19"/>
                                    </w:rPr>
                                    <m:t>max</m:t>
                                  </m:r>
                                  <m:ctrlPr>
                                    <w:rPr>
                                      <w:rFonts w:ascii="Cambria Math" w:hAnsi="Cambria Math" w:eastAsia="KaTeX_Size3"/>
                                      <w:sz w:val="19"/>
                                    </w:rPr>
                                  </m:ctrlPr>
                                </m:e>
                                <m:lim>
                                  <m:r>
                                    <m:rPr>
                                      <m:sty m:val="p"/>
                                    </m:rPr>
                                    <w:rPr>
                                      <w:rFonts w:hint="default" w:ascii="Cambria Math" w:hAnsi="Cambria Math" w:eastAsia="宋体"/>
                                      <w:sz w:val="19"/>
                                      <w:lang w:val="en-US" w:eastAsia="zh-CN"/>
                                    </w:rPr>
                                    <m:t xml:space="preserve"> </m:t>
                                  </m:r>
                                  <m:ctrlPr>
                                    <w:rPr>
                                      <w:rFonts w:ascii="Cambria Math" w:hAnsi="Cambria Math" w:eastAsia="KaTeX_Size3"/>
                                      <w:sz w:val="19"/>
                                    </w:rPr>
                                  </m:ctrlPr>
                                </m:lim>
                              </m:limLow>
                              <m:ctrlPr>
                                <w:rPr>
                                  <w:rFonts w:hint="default" w:ascii="Cambria Math" w:hAnsi="Cambria Math" w:eastAsia="KaTeX_Size3"/>
                                  <w:sz w:val="19"/>
                                </w:rPr>
                              </m:ctrlPr>
                            </m:fName>
                            <m:e>
                              <m:r>
                                <m:rPr>
                                  <m:sty m:val="p"/>
                                </m:rPr>
                                <w:rPr>
                                  <w:rFonts w:hint="default" w:ascii="Cambria Math" w:hAnsi="Cambria Math" w:eastAsia="宋体"/>
                                  <w:sz w:val="19"/>
                                  <w:lang w:val="en-US" w:eastAsia="zh-CN"/>
                                </w:rPr>
                                <m:t xml:space="preserve"> </m:t>
                              </m:r>
                              <m:ctrlPr>
                                <w:rPr>
                                  <w:rFonts w:hint="default" w:ascii="Cambria Math" w:hAnsi="Cambria Math" w:eastAsia="KaTeX_Size3"/>
                                  <w:sz w:val="19"/>
                                </w:rPr>
                              </m:ctrlPr>
                            </m:e>
                          </m:func>
                          <m:ctrlPr>
                            <w:rPr>
                              <w:rFonts w:hint="default" w:ascii="Cambria Math" w:hAnsi="Cambria Math" w:eastAsia="KaTeX_Size3"/>
                              <w:sz w:val="19"/>
                            </w:rPr>
                          </m:ctrlPr>
                        </m:sub>
                      </m:sSub>
                      <m:r>
                        <m:rPr/>
                        <w:rPr>
                          <w:rFonts w:hint="default" w:ascii="Cambria Math" w:hAnsi="Cambria Math" w:eastAsia="KaTeX_Size3"/>
                          <w:sz w:val="19"/>
                        </w:rPr>
                        <m:t>50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r>
                        <m:rPr/>
                        <w:rPr>
                          <w:rFonts w:hint="default" w:ascii="Cambria Math" w:hAnsi="Cambria Math" w:eastAsia="KaTeX_Size3"/>
                          <w:sz w:val="19"/>
                        </w:rPr>
                        <m:t>≤T&lt;60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ctrlPr>
                        <w:rPr>
                          <w:rFonts w:hint="default" w:ascii="Cambria Math" w:hAnsi="Cambria Math" w:eastAsia="KaTeX_Size3"/>
                          <w:sz w:val="19"/>
                        </w:rPr>
                      </m:ctrlPr>
                    </m:e>
                    <m:e>
                      <m:r>
                        <m:rPr/>
                        <w:rPr>
                          <w:rFonts w:hint="default" w:ascii="Cambria Math" w:hAnsi="Cambria Math" w:eastAsia="KaTeX_Size3"/>
                          <w:sz w:val="19"/>
                        </w:rPr>
                        <m:t>90%</m:t>
                      </m:r>
                      <m:sSub>
                        <m:sSubPr>
                          <m:ctrlPr>
                            <w:rPr>
                              <w:rFonts w:hint="default" w:ascii="Cambria Math" w:hAnsi="Cambria Math" w:eastAsia="KaTeX_Size3"/>
                              <w:sz w:val="19"/>
                            </w:rPr>
                          </m:ctrlPr>
                        </m:sSubPr>
                        <m:e>
                          <m:r>
                            <m:rPr/>
                            <w:rPr>
                              <w:rFonts w:hint="default" w:ascii="Cambria Math" w:hAnsi="Cambria Math" w:eastAsia="KaTeX_Size3"/>
                              <w:sz w:val="19"/>
                            </w:rPr>
                            <m:t>P</m:t>
                          </m:r>
                          <m:ctrlPr>
                            <w:rPr>
                              <w:rFonts w:hint="default" w:ascii="Cambria Math" w:hAnsi="Cambria Math" w:eastAsia="KaTeX_Size3"/>
                              <w:sz w:val="19"/>
                            </w:rPr>
                          </m:ctrlPr>
                        </m:e>
                        <m:sub>
                          <m:func>
                            <m:funcPr>
                              <m:ctrlPr>
                                <w:rPr>
                                  <w:rFonts w:hint="default" w:ascii="Cambria Math" w:hAnsi="Cambria Math" w:eastAsia="KaTeX_Size3"/>
                                  <w:sz w:val="19"/>
                                </w:rPr>
                              </m:ctrlPr>
                            </m:funcPr>
                            <m:fName>
                              <m:limLow>
                                <m:limLowPr>
                                  <m:ctrlPr>
                                    <w:rPr>
                                      <w:rFonts w:hint="default" w:ascii="Cambria Math" w:hAnsi="Cambria Math" w:eastAsia="KaTeX_Size3"/>
                                      <w:sz w:val="19"/>
                                    </w:rPr>
                                  </m:ctrlPr>
                                </m:limLowPr>
                                <m:e>
                                  <m:r>
                                    <m:rPr>
                                      <m:sty m:val="p"/>
                                    </m:rPr>
                                    <w:rPr>
                                      <w:rFonts w:hint="default" w:ascii="Cambria Math" w:hAnsi="Cambria Math" w:eastAsia="KaTeX_Size3"/>
                                      <w:sz w:val="19"/>
                                    </w:rPr>
                                    <m:t>max</m:t>
                                  </m:r>
                                  <m:ctrlPr>
                                    <w:rPr>
                                      <w:rFonts w:ascii="Cambria Math" w:hAnsi="Cambria Math" w:eastAsia="KaTeX_Size3"/>
                                      <w:sz w:val="19"/>
                                    </w:rPr>
                                  </m:ctrlPr>
                                </m:e>
                                <m:lim>
                                  <m:r>
                                    <m:rPr>
                                      <m:sty m:val="p"/>
                                    </m:rPr>
                                    <w:rPr>
                                      <w:rFonts w:hint="default" w:ascii="Cambria Math" w:hAnsi="Cambria Math" w:eastAsia="宋体"/>
                                      <w:sz w:val="19"/>
                                      <w:lang w:val="en-US" w:eastAsia="zh-CN"/>
                                    </w:rPr>
                                    <m:t xml:space="preserve"> </m:t>
                                  </m:r>
                                  <m:ctrlPr>
                                    <w:rPr>
                                      <w:rFonts w:ascii="Cambria Math" w:hAnsi="Cambria Math" w:eastAsia="KaTeX_Size3"/>
                                      <w:sz w:val="19"/>
                                    </w:rPr>
                                  </m:ctrlPr>
                                </m:lim>
                              </m:limLow>
                              <m:ctrlPr>
                                <w:rPr>
                                  <w:rFonts w:hint="default" w:ascii="Cambria Math" w:hAnsi="Cambria Math" w:eastAsia="KaTeX_Size3"/>
                                  <w:sz w:val="19"/>
                                </w:rPr>
                              </m:ctrlPr>
                            </m:fName>
                            <m:e>
                              <m:r>
                                <m:rPr>
                                  <m:sty m:val="p"/>
                                </m:rPr>
                                <w:rPr>
                                  <w:rFonts w:hint="default" w:ascii="Cambria Math" w:hAnsi="Cambria Math" w:eastAsia="宋体"/>
                                  <w:sz w:val="19"/>
                                  <w:lang w:val="en-US" w:eastAsia="zh-CN"/>
                                </w:rPr>
                                <m:t xml:space="preserve"> </m:t>
                              </m:r>
                              <m:ctrlPr>
                                <w:rPr>
                                  <w:rFonts w:hint="default" w:ascii="Cambria Math" w:hAnsi="Cambria Math" w:eastAsia="KaTeX_Size3"/>
                                  <w:sz w:val="19"/>
                                </w:rPr>
                              </m:ctrlPr>
                            </m:e>
                          </m:func>
                          <m:ctrlPr>
                            <w:rPr>
                              <w:rFonts w:hint="default" w:ascii="Cambria Math" w:hAnsi="Cambria Math" w:eastAsia="KaTeX_Size3"/>
                              <w:sz w:val="19"/>
                            </w:rPr>
                          </m:ctrlPr>
                        </m:sub>
                      </m:sSub>
                      <m:r>
                        <m:rPr/>
                        <w:rPr>
                          <w:rFonts w:hint="default" w:ascii="Cambria Math" w:hAnsi="Cambria Math" w:eastAsia="KaTeX_Size3"/>
                          <w:sz w:val="19"/>
                        </w:rPr>
                        <m:t>60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r>
                        <m:rPr/>
                        <w:rPr>
                          <w:rFonts w:hint="default" w:ascii="Cambria Math" w:hAnsi="Cambria Math" w:eastAsia="KaTeX_Size3"/>
                          <w:sz w:val="19"/>
                        </w:rPr>
                        <m:t>≤T&lt;70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ctrlPr>
                        <w:rPr>
                          <w:rFonts w:hint="default" w:ascii="Cambria Math" w:hAnsi="Cambria Math" w:eastAsia="KaTeX_Size3"/>
                          <w:sz w:val="19"/>
                        </w:rPr>
                      </m:ctrlPr>
                    </m:e>
                    <m:e>
                      <m:r>
                        <m:rPr>
                          <m:sty m:val="p"/>
                        </m:rPr>
                        <w:rPr>
                          <w:rFonts w:hint="default" w:ascii="Cambria Math" w:hAnsi="Cambria Math" w:eastAsia="KaTeX_Size3"/>
                          <w:sz w:val="19"/>
                        </w:rPr>
                        <m:t>PID</m:t>
                      </m:r>
                      <m:r>
                        <m:rPr/>
                        <w:rPr>
                          <w:rFonts w:hint="default" w:ascii="Cambria Math" w:hAnsi="Cambria Math" w:eastAsia="KaTeX_Size3"/>
                          <w:sz w:val="19"/>
                        </w:rPr>
                        <m:t>(</m:t>
                      </m:r>
                      <m:sSub>
                        <m:sSubPr>
                          <m:ctrlPr>
                            <w:rPr>
                              <w:rFonts w:hint="default" w:ascii="Cambria Math" w:hAnsi="Cambria Math" w:eastAsia="KaTeX_Size3"/>
                              <w:sz w:val="19"/>
                            </w:rPr>
                          </m:ctrlPr>
                        </m:sSubPr>
                        <m:e>
                          <m:r>
                            <m:rPr/>
                            <w:rPr>
                              <w:rFonts w:hint="default" w:ascii="Cambria Math" w:hAnsi="Cambria Math" w:eastAsia="KaTeX_Size3"/>
                              <w:sz w:val="19"/>
                            </w:rPr>
                            <m:t>T</m:t>
                          </m:r>
                          <m:ctrlPr>
                            <w:rPr>
                              <w:rFonts w:hint="default" w:ascii="Cambria Math" w:hAnsi="Cambria Math" w:eastAsia="KaTeX_Size3"/>
                              <w:sz w:val="19"/>
                            </w:rPr>
                          </m:ctrlPr>
                        </m:e>
                        <m:sub>
                          <m:r>
                            <m:rPr>
                              <m:sty m:val="p"/>
                            </m:rPr>
                            <w:rPr>
                              <w:rFonts w:hint="default" w:ascii="Cambria Math" w:hAnsi="Cambria Math" w:eastAsia="KaTeX_Size3"/>
                              <w:sz w:val="19"/>
                            </w:rPr>
                            <m:t>target</m:t>
                          </m:r>
                          <m:ctrlPr>
                            <w:rPr>
                              <w:rFonts w:hint="default" w:ascii="Cambria Math" w:hAnsi="Cambria Math" w:eastAsia="KaTeX_Size3"/>
                              <w:sz w:val="19"/>
                            </w:rPr>
                          </m:ctrlPr>
                        </m:sub>
                      </m:sSub>
                      <m:r>
                        <m:rPr/>
                        <w:rPr>
                          <w:rFonts w:hint="default" w:ascii="Cambria Math" w:hAnsi="Cambria Math" w:eastAsia="KaTeX_Size3"/>
                          <w:sz w:val="19"/>
                        </w:rPr>
                        <m:t>=75</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r>
                        <m:rPr/>
                        <w:rPr>
                          <w:rFonts w:hint="default" w:ascii="Cambria Math" w:hAnsi="Cambria Math" w:eastAsia="KaTeX_Size3"/>
                          <w:sz w:val="19"/>
                        </w:rPr>
                        <m:t>)T≥70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ctrlPr>
                        <w:rPr>
                          <w:rFonts w:hint="default" w:ascii="Cambria Math" w:hAnsi="Cambria Math" w:eastAsia="KaTeX_Size3"/>
                          <w:sz w:val="19"/>
                        </w:rPr>
                      </m:ctrlPr>
                    </m:e>
                  </m:eqArr>
                  <m:ctrlPr>
                    <w:rPr>
                      <w:rFonts w:hint="default" w:ascii="Cambria Math" w:hAnsi="Cambria Math" w:eastAsia="KaTeX_Size3"/>
                      <w:sz w:val="19"/>
                    </w:rPr>
                  </m:ctrlPr>
                </m:e>
              </m:d>
              <m:r>
                <m:rPr>
                  <m:sty m:val="p"/>
                </m:rPr>
                <w:rPr>
                  <w:rFonts w:hint="eastAsia" w:ascii="Cambria Math" w:hAnsi="Cambria Math" w:eastAsia="宋体"/>
                  <w:sz w:val="19"/>
                  <w:lang w:val="en-US" w:eastAsia="zh-CN"/>
                </w:rPr>
                <m:t>#（2.1）</m:t>
              </m:r>
              <m:ctrlPr>
                <m:rPr/>
                <w:rPr>
                  <w:rFonts w:hint="default" w:hAnsi="Cambria Math" w:eastAsia="宋体"/>
                  <w:i w:val="0"/>
                  <w:sz w:val="19"/>
                  <w:lang w:val="en-US" w:eastAsia="zh-CN"/>
                </w:rPr>
              </m:ctrlPr>
            </m:e>
          </m:eqArr>
        </m:oMath>
      </m:oMathPara>
    </w:p>
    <w:p w14:paraId="43E4CED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其中，</w:t>
      </w:r>
      <m:oMath>
        <m:r>
          <m:rPr/>
          <w:rPr>
            <w:rFonts w:hint="default" w:ascii="Cambria Math" w:hAnsi="Cambria Math" w:eastAsia="KaTeX_Size3"/>
            <w:sz w:val="19"/>
          </w:rPr>
          <m:t>P(T)</m:t>
        </m:r>
      </m:oMath>
      <w:r>
        <w:rPr>
          <w:rFonts w:hint="default" w:ascii="宋体" w:hAnsi="宋体" w:eastAsia="宋体" w:cs="宋体"/>
          <w:kern w:val="2"/>
          <w:sz w:val="24"/>
          <w:szCs w:val="24"/>
          <w:lang w:val="en-US" w:eastAsia="zh-CN" w:bidi="ar-SA"/>
        </w:rPr>
        <w:t>为系统输出的有效加热功率，</w:t>
      </w:r>
      <m:oMath>
        <m:sSub>
          <m:sSubPr>
            <m:ctrlPr>
              <w:rPr>
                <w:rFonts w:hint="default" w:ascii="Cambria Math" w:hAnsi="Cambria Math" w:eastAsia="KaTeX_Size3"/>
                <w:sz w:val="19"/>
              </w:rPr>
            </m:ctrlPr>
          </m:sSubPr>
          <m:e>
            <m:r>
              <m:rPr/>
              <w:rPr>
                <w:rFonts w:hint="default" w:ascii="Cambria Math" w:hAnsi="Cambria Math" w:eastAsia="KaTeX_Size3"/>
                <w:sz w:val="19"/>
              </w:rPr>
              <m:t>P</m:t>
            </m:r>
            <m:ctrlPr>
              <w:rPr>
                <w:rFonts w:hint="default" w:ascii="Cambria Math" w:hAnsi="Cambria Math" w:eastAsia="KaTeX_Size3"/>
                <w:sz w:val="19"/>
              </w:rPr>
            </m:ctrlPr>
          </m:e>
          <m:sub>
            <m:func>
              <m:funcPr>
                <m:ctrlPr>
                  <w:rPr>
                    <w:rFonts w:hint="default" w:ascii="Cambria Math" w:hAnsi="Cambria Math" w:eastAsia="KaTeX_Size3"/>
                    <w:sz w:val="19"/>
                  </w:rPr>
                </m:ctrlPr>
              </m:funcPr>
              <m:fName>
                <m:limLow>
                  <m:limLowPr>
                    <m:ctrlPr>
                      <w:rPr>
                        <w:rFonts w:hint="default" w:ascii="Cambria Math" w:hAnsi="Cambria Math" w:eastAsia="KaTeX_Size3"/>
                        <w:sz w:val="19"/>
                      </w:rPr>
                    </m:ctrlPr>
                  </m:limLowPr>
                  <m:e>
                    <m:r>
                      <m:rPr>
                        <m:sty m:val="p"/>
                      </m:rPr>
                      <w:rPr>
                        <w:rFonts w:hint="default" w:ascii="Cambria Math" w:hAnsi="Cambria Math" w:eastAsia="KaTeX_Size3"/>
                        <w:sz w:val="19"/>
                      </w:rPr>
                      <m:t>max</m:t>
                    </m:r>
                    <m:ctrlPr>
                      <w:rPr>
                        <w:rFonts w:ascii="Cambria Math" w:hAnsi="Cambria Math" w:eastAsia="KaTeX_Size3"/>
                        <w:sz w:val="19"/>
                      </w:rPr>
                    </m:ctrlPr>
                  </m:e>
                  <m:lim>
                    <m:r>
                      <m:rPr>
                        <m:sty m:val="p"/>
                      </m:rPr>
                      <w:rPr>
                        <w:rFonts w:hint="default" w:ascii="Cambria Math" w:hAnsi="Cambria Math" w:eastAsia="宋体"/>
                        <w:sz w:val="19"/>
                        <w:lang w:val="en-US" w:eastAsia="zh-CN"/>
                      </w:rPr>
                      <m:t xml:space="preserve"> </m:t>
                    </m:r>
                    <m:ctrlPr>
                      <w:rPr>
                        <w:rFonts w:ascii="Cambria Math" w:hAnsi="Cambria Math" w:eastAsia="KaTeX_Size3"/>
                        <w:sz w:val="19"/>
                      </w:rPr>
                    </m:ctrlPr>
                  </m:lim>
                </m:limLow>
                <m:ctrlPr>
                  <w:rPr>
                    <w:rFonts w:hint="default" w:ascii="Cambria Math" w:hAnsi="Cambria Math" w:eastAsia="KaTeX_Size3"/>
                    <w:sz w:val="19"/>
                  </w:rPr>
                </m:ctrlPr>
              </m:fName>
              <m:e>
                <m:r>
                  <m:rPr>
                    <m:sty m:val="p"/>
                  </m:rPr>
                  <w:rPr>
                    <w:rFonts w:hint="default" w:ascii="Cambria Math" w:hAnsi="Cambria Math" w:eastAsia="宋体"/>
                    <w:sz w:val="19"/>
                    <w:lang w:val="en-US" w:eastAsia="zh-CN"/>
                  </w:rPr>
                  <m:t xml:space="preserve"> </m:t>
                </m:r>
                <m:ctrlPr>
                  <w:rPr>
                    <w:rFonts w:hint="default" w:ascii="Cambria Math" w:hAnsi="Cambria Math" w:eastAsia="KaTeX_Size3"/>
                    <w:sz w:val="19"/>
                  </w:rPr>
                </m:ctrlPr>
              </m:e>
            </m:func>
            <m:ctrlPr>
              <w:rPr>
                <w:rFonts w:hint="default" w:ascii="Cambria Math" w:hAnsi="Cambria Math" w:eastAsia="KaTeX_Size3"/>
                <w:sz w:val="19"/>
              </w:rPr>
            </m:ctrlPr>
          </m:sub>
        </m:sSub>
      </m:oMath>
      <w:r>
        <w:rPr>
          <w:rFonts w:hint="default" w:ascii="宋体" w:hAnsi="宋体" w:eastAsia="宋体" w:cs="宋体"/>
          <w:kern w:val="2"/>
          <w:sz w:val="24"/>
          <w:szCs w:val="24"/>
          <w:lang w:val="en-US" w:eastAsia="zh-CN" w:bidi="ar-SA"/>
        </w:rPr>
        <w:t>为加热元件总额定功率。</w:t>
      </w:r>
    </w:p>
    <w:p w14:paraId="18E9C250">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在低温启动阶段（</w:t>
      </w:r>
      <m:oMath>
        <m:r>
          <m:rPr/>
          <w:rPr>
            <w:rFonts w:hint="default" w:ascii="Cambria Math" w:hAnsi="Cambria Math" w:eastAsia="KaTeX_Size3"/>
            <w:sz w:val="19"/>
          </w:rPr>
          <m:t>0≤T&lt;30</m:t>
        </m:r>
        <m:sSup>
          <m:sSupPr>
            <m:ctrlPr>
              <w:rPr>
                <w:rFonts w:hint="default" w:ascii="Cambria Math" w:hAnsi="Cambria Math" w:eastAsia="KaTeX_Size3"/>
                <w:sz w:val="19"/>
              </w:rPr>
            </m:ctrlPr>
          </m:sSupPr>
          <m:e>
            <m:r>
              <m:rPr/>
              <w:rPr>
                <w:rFonts w:hint="default" w:ascii="Cambria Math" w:hAnsi="Cambria Math" w:eastAsia="KaTeX_Size3"/>
                <w:sz w:val="19"/>
              </w:rPr>
              <m:t>0</m:t>
            </m:r>
            <m:ctrlPr>
              <w:rPr>
                <w:rFonts w:hint="default" w:ascii="Cambria Math" w:hAnsi="Cambria Math" w:eastAsia="KaTeX_Size3"/>
                <w:sz w:val="19"/>
              </w:rPr>
            </m:ctrlPr>
          </m:e>
          <m:sup>
            <m:r>
              <m:rPr/>
              <w:rPr>
                <w:rFonts w:hint="default" w:ascii="Cambria Math" w:hAnsi="Cambria Math" w:eastAsia="KaTeX_Size3"/>
                <w:sz w:val="19"/>
              </w:rPr>
              <m:t>∘</m:t>
            </m:r>
            <m:ctrlPr>
              <w:rPr>
                <w:rFonts w:hint="default" w:ascii="Cambria Math" w:hAnsi="Cambria Math" w:eastAsia="KaTeX_Size3"/>
                <w:sz w:val="19"/>
              </w:rPr>
            </m:ctrlPr>
          </m:sup>
        </m:sSup>
        <m:r>
          <m:rPr>
            <m:sty m:val="p"/>
          </m:rPr>
          <w:rPr>
            <w:rFonts w:hint="default" w:ascii="Cambria Math" w:hAnsi="Cambria Math" w:eastAsia="KaTeX_Size3"/>
            <w:sz w:val="19"/>
          </w:rPr>
          <m:t>C</m:t>
        </m:r>
      </m:oMath>
      <w:r>
        <w:rPr>
          <w:rFonts w:hint="default" w:ascii="宋体" w:hAnsi="宋体" w:eastAsia="宋体" w:cs="宋体"/>
          <w:kern w:val="2"/>
          <w:sz w:val="24"/>
          <w:szCs w:val="24"/>
          <w:lang w:val="en-US" w:eastAsia="zh-CN" w:bidi="ar-SA"/>
        </w:rPr>
        <w:t>），系统采用30%额定功率的“软启动”策略，旨在避免因初始功率过高对炉体及试样造成热冲击。随着炉温上升，功率依次递增至50%、70%和90%，以补偿因炉体向环境热耗散加剧而导致的升温速率衰减。这种基于经验的启发式功率规划方法，在具有大惯性特性的工业温度控制系统中已被广泛验证其有效性。当炉温突破700°C阈值后，系统执行关键的模式切换：通过Modbus协议向PID控制器写入目标温度设定值（寄存器地址0x0000，写入值7500，对应750.0°C）及控制模式字（寄存器地址0x0038，写入值0x0004），将控制权移交至硬件PID闭环控制器。PID控制器依据设定值与实测值之间的偏差，通过比例、积分、微分三个环节的线性组合实时调整输出，以消除稳态误差并抑制超调。此后，系统角色从主动功率决策者转变为监督分析者，持续采集温度数据并执行后续的稳定性判断。</w:t>
      </w:r>
    </w:p>
    <w:p w14:paraId="4461F73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黑体" w:hAnsi="黑体" w:eastAsia="黑体" w:cs="黑体"/>
          <w:sz w:val="24"/>
          <w:szCs w:val="24"/>
          <w:lang w:val="en-US" w:eastAsia="zh-CN"/>
        </w:rPr>
      </w:pPr>
      <w:r>
        <w:rPr>
          <w:rFonts w:hint="default" w:ascii="宋体" w:hAnsi="宋体" w:eastAsia="宋体" w:cs="宋体"/>
          <w:kern w:val="2"/>
          <w:sz w:val="24"/>
          <w:szCs w:val="24"/>
          <w:lang w:val="en-US" w:eastAsia="zh-CN" w:bidi="ar-SA"/>
        </w:rPr>
        <w:t>该算法融合了开环控制响应快与闭环控制精度高的各自优势：在宽温区段以预设阶梯功率实现快速平稳升温，在精控区段借助PID闭环实现高精度恒温维持，显著提升了升温过程的控制品质。</w:t>
      </w:r>
    </w:p>
    <w:p w14:paraId="5D6F3894">
      <w:pPr>
        <w:pStyle w:val="4"/>
        <w:shd w:val="clear"/>
        <w:bidi w:val="0"/>
        <w:rPr>
          <w:rStyle w:val="18"/>
          <w:rFonts w:hint="eastAsia" w:ascii="宋体" w:hAnsi="宋体" w:eastAsia="宋体" w:cs="宋体"/>
          <w:b/>
          <w:lang w:val="en-US" w:eastAsia="zh-CN"/>
        </w:rPr>
      </w:pPr>
      <w:bookmarkStart w:id="13" w:name="_Toc627"/>
      <w:r>
        <w:rPr>
          <w:rStyle w:val="18"/>
          <w:rFonts w:hint="eastAsia" w:ascii="宋体" w:hAnsi="宋体" w:eastAsia="宋体" w:cs="宋体"/>
          <w:b/>
          <w:lang w:val="en-US" w:eastAsia="zh-CN"/>
        </w:rPr>
        <w:t>2.1.2 基于线性拟合的温度稳定性自动判断算法</w:t>
      </w:r>
      <w:bookmarkEnd w:id="13"/>
    </w:p>
    <w:p w14:paraId="24F3F13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基于线性拟合的温度稳定性自动判断算法是实现自动判定炉温是否满足标准稳定要求的核心技术。其数学基础是最小二乘法线性回归分析——该方法由Legendre于1805年首次公开发表，其核心思想是寻找一条直线，使得所有观测数据点到该直线的残差平方和达到最小</w:t>
      </w:r>
      <w:r>
        <w:rPr>
          <w:rFonts w:hint="default" w:ascii="宋体" w:hAnsi="宋体" w:eastAsia="宋体" w:cs="宋体"/>
          <w:kern w:val="2"/>
          <w:sz w:val="24"/>
          <w:szCs w:val="24"/>
          <w:vertAlign w:val="superscript"/>
          <w:lang w:val="en-US" w:eastAsia="zh-CN" w:bidi="ar-SA"/>
        </w:rPr>
        <w:fldChar w:fldCharType="begin"/>
      </w:r>
      <w:r>
        <w:instrText xml:space="preserve"> REF _Ref18037 \r \h  \* MERGEFORMAT</w:instrText>
      </w:r>
      <w:r>
        <w:rPr>
          <w:rFonts w:hint="default" w:ascii="宋体" w:hAnsi="宋体" w:eastAsia="宋体" w:cs="宋体"/>
          <w:kern w:val="2"/>
          <w:sz w:val="24"/>
          <w:szCs w:val="24"/>
          <w:vertAlign w:val="superscript"/>
          <w:lang w:val="en-US" w:eastAsia="zh-CN" w:bidi="ar-SA"/>
        </w:rPr>
        <w:fldChar w:fldCharType="separate"/>
      </w:r>
      <w:r>
        <w:rPr>
          <w:rFonts w:hint="default" w:ascii="宋体" w:hAnsi="宋体" w:eastAsia="宋体" w:cs="宋体"/>
          <w:kern w:val="2"/>
          <w:sz w:val="24"/>
          <w:szCs w:val="24"/>
          <w:vertAlign w:val="superscript"/>
          <w:lang w:val="en-US" w:eastAsia="zh-CN" w:bidi="ar-SA"/>
        </w:rPr>
        <w:t>[8]</w:t>
      </w:r>
      <w:r>
        <w:rPr>
          <w:rFonts w:hint="default" w:ascii="宋体" w:hAnsi="宋体" w:eastAsia="宋体" w:cs="宋体"/>
          <w:kern w:val="2"/>
          <w:sz w:val="24"/>
          <w:szCs w:val="24"/>
          <w:vertAlign w:val="superscript"/>
          <w:lang w:val="en-US" w:eastAsia="zh-CN" w:bidi="ar-SA"/>
        </w:rPr>
        <w:fldChar w:fldCharType="end"/>
      </w:r>
      <w:r>
        <w:rPr>
          <w:rFonts w:hint="eastAsia" w:ascii="宋体" w:hAnsi="宋体" w:eastAsia="宋体" w:cs="宋体"/>
          <w:kern w:val="2"/>
          <w:sz w:val="24"/>
          <w:szCs w:val="24"/>
          <w:lang w:val="en-US" w:eastAsia="zh-CN" w:bidi="ar-SA"/>
        </w:rPr>
        <w:t>。</w:t>
      </w:r>
      <w:r>
        <w:rPr>
          <w:rFonts w:hint="default" w:ascii="宋体" w:hAnsi="宋体" w:eastAsia="宋体" w:cs="宋体"/>
          <w:kern w:val="2"/>
          <w:sz w:val="24"/>
          <w:szCs w:val="24"/>
          <w:lang w:val="en-US" w:eastAsia="zh-CN" w:bidi="ar-SA"/>
        </w:rPr>
        <w:t>在传统人工操作模式下，操作员需依靠肉眼观察温度仪表并凭经验判断“稳定”与否，极易引入主观误差。本算法将标准中模糊的“稳定”概念转化为精确的数学判定模型，实现了全自动、客观的连续验证。</w:t>
      </w:r>
    </w:p>
    <w:p w14:paraId="06ED5ABB">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算法在服务器端维护一个动态滑动数据窗口，以先进先出队列存储最近10分钟内两路测温点的全部采集数据。由于采样周期为800毫秒，10分钟恰好对应</w:t>
      </w:r>
      <m:oMath>
        <m:r>
          <m:rPr>
            <m:sty m:val="p"/>
          </m:rPr>
          <w:rPr>
            <w:rFonts w:hint="default" w:ascii="Cambria Math" w:hAnsi="Cambria Math" w:eastAsia="宋体" w:cs="宋体"/>
            <w:kern w:val="2"/>
            <w:sz w:val="24"/>
            <w:szCs w:val="24"/>
            <w:lang w:val="en-US" w:eastAsia="zh-CN" w:bidi="ar-SA"/>
          </w:rPr>
          <m:t> N=600</m:t>
        </m:r>
      </m:oMath>
      <w:r>
        <w:rPr>
          <w:rFonts w:hint="default" w:ascii="宋体" w:hAnsi="宋体" w:eastAsia="宋体" w:cs="宋体"/>
          <w:kern w:val="2"/>
          <w:sz w:val="24"/>
          <w:szCs w:val="24"/>
          <w:lang w:val="en-US" w:eastAsia="zh-CN" w:bidi="ar-SA"/>
        </w:rPr>
        <w:t>个数据点。系统每分钟调用一次CheckStartCriteria()方法，对窗口内的温度序列执行最小二乘线性拟合。设时间索引序列为</w:t>
      </w:r>
      <m:oMath>
        <m:r>
          <m:rPr>
            <m:sty m:val="b"/>
          </m:rPr>
          <w:rPr>
            <w:rFonts w:hint="default" w:ascii="Cambria Math" w:hAnsi="Cambria Math"/>
            <w:sz w:val="21"/>
          </w:rPr>
          <m:t>x</m:t>
        </m:r>
        <m:r>
          <m:rPr/>
          <w:rPr>
            <w:rFonts w:hint="default" w:ascii="Cambria Math" w:hAnsi="Cambria Math"/>
            <w:sz w:val="21"/>
          </w:rPr>
          <m:t>=[0,1,2,…,599</m:t>
        </m:r>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T</m:t>
            </m:r>
            <m:ctrlPr>
              <w:rPr>
                <w:rFonts w:ascii="Cambria Math" w:hAnsi="Cambria Math"/>
                <w:sz w:val="21"/>
              </w:rPr>
            </m:ctrlPr>
          </m:sup>
        </m:sSup>
      </m:oMath>
      <w:r>
        <w:rPr>
          <w:rFonts w:hint="default" w:ascii="宋体" w:hAnsi="宋体" w:eastAsia="宋体" w:cs="宋体"/>
          <w:kern w:val="2"/>
          <w:sz w:val="24"/>
          <w:szCs w:val="24"/>
          <w:lang w:val="en-US" w:eastAsia="zh-CN" w:bidi="ar-SA"/>
        </w:rPr>
        <w:t>，对应的温度序列为</w:t>
      </w:r>
      <m:oMath>
        <m:r>
          <m:rPr>
            <m:sty m:val="b"/>
          </m:rPr>
          <w:rPr>
            <w:rFonts w:hint="default" w:ascii="Cambria Math" w:hAnsi="Cambria Math"/>
          </w:rPr>
          <m:t>y</m:t>
        </m:r>
        <m:r>
          <m:rPr/>
          <w:rPr>
            <w:rFonts w:hint="default" w:ascii="Cambria Math" w:hAnsi="Cambria Math"/>
          </w:rPr>
          <m:t>=[</m:t>
        </m:r>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0</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599</m:t>
            </m:r>
            <m:ctrlPr>
              <w:rPr>
                <w:rFonts w:ascii="Cambria Math" w:hAnsi="Cambria Math"/>
              </w:rPr>
            </m:ctrlPr>
          </m:sub>
        </m:sSub>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T</m:t>
            </m:r>
            <m:ctrlPr>
              <w:rPr>
                <w:rFonts w:ascii="Cambria Math" w:hAnsi="Cambria Math"/>
              </w:rPr>
            </m:ctrlPr>
          </m:sup>
        </m:sSup>
      </m:oMath>
      <w:r>
        <w:rPr>
          <w:rFonts w:hint="eastAsia" w:hAnsi="Cambria Math"/>
          <w:i w:val="0"/>
          <w:lang w:eastAsia="zh-CN"/>
        </w:rPr>
        <w:t>，</w:t>
      </w:r>
      <w:r>
        <w:rPr>
          <w:rFonts w:hint="default" w:ascii="宋体" w:hAnsi="宋体" w:eastAsia="宋体" w:cs="宋体"/>
          <w:kern w:val="2"/>
          <w:sz w:val="24"/>
          <w:szCs w:val="24"/>
          <w:lang w:val="en-US" w:eastAsia="zh-CN" w:bidi="ar-SA"/>
        </w:rPr>
        <w:t>则拟合直线的斜率由下式给出：</w:t>
      </w:r>
    </w:p>
    <w:p w14:paraId="3C8527DC">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center"/>
        <w:textAlignment w:val="auto"/>
        <m:rPr/>
        <w:rPr>
          <w:rFonts w:hint="eastAsia" w:hAnsi="Cambria Math"/>
          <w:i w:val="0"/>
          <w:lang w:val="en-US" w:eastAsia="zh-CN"/>
        </w:rPr>
      </w:pPr>
      <m:oMathPara>
        <m:oMath>
          <m:eqArr>
            <m:eqArrPr>
              <m:maxDist m:val="1"/>
              <m:ctrlPr>
                <m:rPr/>
                <w:rPr>
                  <w:rFonts w:hint="default" w:hAnsi="Cambria Math"/>
                  <w:i w:val="0"/>
                  <w:lang w:val="en-US" w:eastAsia="zh-CN"/>
                </w:rPr>
              </m:ctrlPr>
            </m:eqArrPr>
            <m:e>
              <m:r>
                <m:rPr/>
                <w:rPr>
                  <w:rFonts w:hint="default" w:ascii="Cambria Math" w:hAnsi="Cambria Math"/>
                </w:rPr>
                <m:t>β=</m:t>
              </m:r>
              <m:f>
                <m:fPr>
                  <m:ctrlPr>
                    <w:rPr>
                      <w:rFonts w:hint="default" w:ascii="Cambria Math" w:hAnsi="Cambria Math"/>
                    </w:rPr>
                  </m:ctrlPr>
                </m:fPr>
                <m:num>
                  <m:nary>
                    <m:naryPr>
                      <m:chr m:val="∑"/>
                      <m:limLoc m:val="subSup"/>
                      <m:ctrlPr>
                        <w:rPr>
                          <w:rFonts w:hint="default" w:ascii="Cambria Math" w:hAnsi="Cambria Math"/>
                        </w:rPr>
                      </m:ctrlPr>
                    </m:naryPr>
                    <m:sub>
                      <m:r>
                        <m:rPr/>
                        <w:rPr>
                          <w:rFonts w:hint="default" w:ascii="Cambria Math" w:hAnsi="Cambria Math"/>
                        </w:rPr>
                        <m:t>i=0</m:t>
                      </m:r>
                      <m:ctrlPr>
                        <w:rPr>
                          <w:rFonts w:ascii="Cambria Math" w:hAnsi="Cambria Math"/>
                        </w:rPr>
                      </m:ctrlPr>
                    </m:sub>
                    <m:sup>
                      <m:r>
                        <m:rPr/>
                        <w:rPr>
                          <w:rFonts w:hint="default" w:ascii="Cambria Math" w:hAnsi="Cambria Math"/>
                        </w:rPr>
                        <m:t>N−1</m:t>
                      </m:r>
                      <m:ctrlPr>
                        <w:rPr>
                          <w:rFonts w:ascii="Cambria Math" w:hAnsi="Cambria Math"/>
                        </w:rPr>
                      </m:ctrlPr>
                    </m:sup>
                    <m:e>
                      <m:r>
                        <m:rPr/>
                        <w:rPr>
                          <w:rFonts w:hint="default" w:ascii="Cambria Math" w:hAnsi="Cambria Math"/>
                        </w:rPr>
                        <m:t>(</m:t>
                      </m:r>
                      <m:ctrlPr>
                        <w:rPr>
                          <w:rFonts w:ascii="Cambria Math" w:hAnsi="Cambria Math"/>
                        </w:rPr>
                      </m:ctrlPr>
                    </m:e>
                  </m:nary>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acc>
                    <m:accPr>
                      <m:chr m:val="̄"/>
                      <m:ctrlPr>
                        <w:rPr>
                          <w:rFonts w:hint="default" w:ascii="Cambria Math" w:hAnsi="Cambria Math"/>
                        </w:rPr>
                      </m:ctrlPr>
                    </m:accPr>
                    <m:e>
                      <m:r>
                        <m:rPr/>
                        <w:rPr>
                          <w:rFonts w:hint="default" w:ascii="Cambria Math" w:hAnsi="Cambria Math"/>
                        </w:rPr>
                        <m:t>x</m:t>
                      </m:r>
                      <m:ctrlPr>
                        <w:rPr>
                          <w:rFonts w:ascii="Cambria Math" w:hAnsi="Cambria Math"/>
                        </w:rPr>
                      </m:ctrlPr>
                    </m:e>
                  </m:acc>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acc>
                    <m:accPr>
                      <m:chr m:val="̄"/>
                      <m:ctrlPr>
                        <w:rPr>
                          <w:rFonts w:hint="default" w:ascii="Cambria Math" w:hAnsi="Cambria Math"/>
                        </w:rPr>
                      </m:ctrlPr>
                    </m:accPr>
                    <m:e>
                      <m:r>
                        <m:rPr/>
                        <w:rPr>
                          <w:rFonts w:hint="default" w:ascii="Cambria Math" w:hAnsi="Cambria Math"/>
                        </w:rPr>
                        <m:t>y</m:t>
                      </m:r>
                      <m:ctrlPr>
                        <w:rPr>
                          <w:rFonts w:ascii="Cambria Math" w:hAnsi="Cambria Math"/>
                        </w:rPr>
                      </m:ctrlPr>
                    </m:e>
                  </m:acc>
                  <m:r>
                    <m:rPr/>
                    <w:rPr>
                      <w:rFonts w:hint="default" w:ascii="Cambria Math" w:hAnsi="Cambria Math"/>
                    </w:rPr>
                    <m:t>)</m:t>
                  </m:r>
                  <m:ctrlPr>
                    <w:rPr>
                      <w:rFonts w:hint="default" w:ascii="Cambria Math" w:hAnsi="Cambria Math"/>
                    </w:rPr>
                  </m:ctrlPr>
                </m:num>
                <m:den>
                  <m:nary>
                    <m:naryPr>
                      <m:chr m:val="∑"/>
                      <m:limLoc m:val="subSup"/>
                      <m:ctrlPr>
                        <w:rPr>
                          <w:rFonts w:hint="default" w:ascii="Cambria Math" w:hAnsi="Cambria Math"/>
                        </w:rPr>
                      </m:ctrlPr>
                    </m:naryPr>
                    <m:sub>
                      <m:r>
                        <m:rPr/>
                        <w:rPr>
                          <w:rFonts w:hint="default" w:ascii="Cambria Math" w:hAnsi="Cambria Math"/>
                        </w:rPr>
                        <m:t>i=0</m:t>
                      </m:r>
                      <m:ctrlPr>
                        <w:rPr>
                          <w:rFonts w:ascii="Cambria Math" w:hAnsi="Cambria Math"/>
                        </w:rPr>
                      </m:ctrlPr>
                    </m:sub>
                    <m:sup>
                      <m:r>
                        <m:rPr/>
                        <w:rPr>
                          <w:rFonts w:hint="default" w:ascii="Cambria Math" w:hAnsi="Cambria Math"/>
                        </w:rPr>
                        <m:t>N−1</m:t>
                      </m:r>
                      <m:ctrlPr>
                        <w:rPr>
                          <w:rFonts w:ascii="Cambria Math" w:hAnsi="Cambria Math"/>
                        </w:rPr>
                      </m:ctrlPr>
                    </m:sup>
                    <m:e>
                      <m:r>
                        <m:rPr/>
                        <w:rPr>
                          <w:rFonts w:hint="default" w:ascii="Cambria Math" w:hAnsi="Cambria Math"/>
                        </w:rPr>
                        <m:t>(</m:t>
                      </m:r>
                      <m:ctrlPr>
                        <w:rPr>
                          <w:rFonts w:ascii="Cambria Math" w:hAnsi="Cambria Math"/>
                        </w:rPr>
                      </m:ctrlPr>
                    </m:e>
                  </m:nary>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acc>
                    <m:accPr>
                      <m:chr m:val="̄"/>
                      <m:ctrlPr>
                        <w:rPr>
                          <w:rFonts w:hint="default" w:ascii="Cambria Math" w:hAnsi="Cambria Math"/>
                        </w:rPr>
                      </m:ctrlPr>
                    </m:accPr>
                    <m:e>
                      <m:r>
                        <m:rPr/>
                        <w:rPr>
                          <w:rFonts w:hint="default" w:ascii="Cambria Math" w:hAnsi="Cambria Math"/>
                        </w:rPr>
                        <m:t>x</m:t>
                      </m:r>
                      <m:ctrlPr>
                        <w:rPr>
                          <w:rFonts w:ascii="Cambria Math" w:hAnsi="Cambria Math"/>
                        </w:rPr>
                      </m:ctrlPr>
                    </m:e>
                  </m:acc>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ctrlPr>
                    <w:rPr>
                      <w:rFonts w:hint="default" w:ascii="Cambria Math" w:hAnsi="Cambria Math"/>
                    </w:rPr>
                  </m:ctrlPr>
                </m:den>
              </m:f>
              <m:r>
                <m:rPr>
                  <m:sty m:val="p"/>
                </m:rPr>
                <w:rPr>
                  <w:rFonts w:hint="eastAsia" w:ascii="Cambria Math" w:hAnsi="Cambria Math"/>
                  <w:lang w:val="en-US" w:eastAsia="zh-CN"/>
                </w:rPr>
                <m:t>#（2.2）</m:t>
              </m:r>
              <m:ctrlPr>
                <m:rPr/>
                <w:rPr>
                  <w:rFonts w:hint="default" w:hAnsi="Cambria Math"/>
                  <w:i w:val="0"/>
                  <w:lang w:val="en-US" w:eastAsia="zh-CN"/>
                </w:rPr>
              </m:ctrlPr>
            </m:e>
          </m:eqArr>
        </m:oMath>
      </m:oMathPara>
    </w:p>
    <w:p w14:paraId="4D578B16">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center"/>
        <w:textAlignment w:val="auto"/>
        <m:rPr/>
        <w:rPr>
          <w:rFonts w:hint="default" w:hAnsi="Cambria Math"/>
          <w:i w:val="0"/>
          <w:lang w:val="en-US" w:eastAsia="zh-CN"/>
        </w:rPr>
      </w:pPr>
    </w:p>
    <w:p w14:paraId="58A4445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其中</w:t>
      </w:r>
      <m:oMath>
        <m:acc>
          <m:accPr>
            <m:chr m:val="̄"/>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N</m:t>
            </m:r>
            <m:ctrlPr>
              <w:rPr>
                <w:rFonts w:ascii="Cambria Math" w:hAnsi="Cambria Math"/>
                <w:sz w:val="21"/>
              </w:rPr>
            </m:ctrlPr>
          </m:den>
        </m:f>
        <m:nary>
          <m:naryPr>
            <m:chr m:val="∑"/>
            <m:limLoc m:val="subSup"/>
            <m:subHide m:val="1"/>
            <m:supHide m:val="1"/>
            <m:ctrlPr>
              <w:rPr>
                <w:rFonts w:hint="default" w:ascii="Cambria Math" w:hAnsi="Cambria Math"/>
                <w:sz w:val="21"/>
              </w:rPr>
            </m:ctrlPr>
          </m:naryPr>
          <m:sub>
            <m:ctrlPr>
              <w:rPr>
                <w:rFonts w:ascii="Cambria Math" w:hAnsi="Cambria Math"/>
                <w:sz w:val="21"/>
              </w:rPr>
            </m:ctrlPr>
          </m:sub>
          <m:sup>
            <m:ctrlPr>
              <w:rPr>
                <w:rFonts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 xml:space="preserve">, </m:t>
        </m:r>
        <m:acc>
          <m:accPr>
            <m:chr m:val="̄"/>
            <m:ctrlPr>
              <w:rPr>
                <w:rFonts w:hint="default" w:ascii="Cambria Math" w:hAnsi="Cambria Math"/>
                <w:sz w:val="21"/>
              </w:rPr>
            </m:ctrlPr>
          </m:accPr>
          <m:e>
            <m:r>
              <m:rPr/>
              <w:rPr>
                <w:rFonts w:hint="default" w:ascii="Cambria Math" w:hAnsi="Cambria Math"/>
                <w:sz w:val="21"/>
              </w:rPr>
              <m:t>y</m:t>
            </m:r>
            <m:ctrlPr>
              <w:rPr>
                <w:rFonts w:hint="default" w:ascii="Cambria Math" w:hAnsi="Cambria Math"/>
                <w:sz w:val="21"/>
              </w:rPr>
            </m:ctrlPr>
          </m:e>
        </m:acc>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N</m:t>
            </m:r>
            <m:ctrlPr>
              <w:rPr>
                <w:rFonts w:hint="default" w:ascii="Cambria Math" w:hAnsi="Cambria Math"/>
                <w:sz w:val="21"/>
              </w:rPr>
            </m:ctrlPr>
          </m:den>
        </m:f>
        <m:nary>
          <m:naryPr>
            <m:chr m:val="∑"/>
            <m:limLoc m:val="subSup"/>
            <m:subHide m:val="1"/>
            <m:supHide m:val="1"/>
            <m:ctrlPr>
              <w:rPr>
                <w:rFonts w:hint="default" w:ascii="Cambria Math" w:hAnsi="Cambria Math"/>
                <w:sz w:val="21"/>
              </w:rPr>
            </m:ctrlPr>
          </m:naryPr>
          <m:sub>
            <m:ctrlPr>
              <w:rPr>
                <w:rFonts w:hint="default" w:ascii="Cambria Math" w:hAnsi="Cambria Math"/>
                <w:sz w:val="21"/>
              </w:rPr>
            </m:ctrlPr>
          </m:sub>
          <m:sup>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oMath>
      <w:r>
        <w:rPr>
          <w:rFonts w:hint="eastAsia" w:hAnsi="Cambria Math"/>
          <w:i w:val="0"/>
          <w:sz w:val="21"/>
          <w:lang w:eastAsia="zh-CN"/>
        </w:rPr>
        <w:t>。</w:t>
      </w:r>
      <w:r>
        <w:rPr>
          <w:rFonts w:hint="default" w:ascii="宋体" w:hAnsi="宋体" w:eastAsia="宋体" w:cs="宋体"/>
          <w:kern w:val="2"/>
          <w:sz w:val="24"/>
          <w:szCs w:val="24"/>
          <w:lang w:val="en-US" w:eastAsia="zh-CN" w:bidi="ar-SA"/>
        </w:rPr>
        <w:t>系统调用MathNet.Numerics数值计算库中的 Fit.Line() 函数完成上述计算 。温度在10分钟内的最大理论漂移量定义为：</w:t>
      </w:r>
    </w:p>
    <w:p w14:paraId="202D1832">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m:rPr/>
        <w:rPr>
          <w:rFonts w:hint="eastAsia" w:hAnsi="Cambria Math"/>
          <w:i w:val="0"/>
          <w:sz w:val="21"/>
          <w:lang w:val="en-US" w:eastAsia="zh-CN"/>
        </w:rPr>
      </w:pPr>
      <m:oMathPara>
        <m:oMath>
          <m:eqArr>
            <m:eqArrPr>
              <m:maxDist m:val="1"/>
              <m:ctrlPr>
                <m:rPr/>
                <w:rPr>
                  <w:rFonts w:hint="default" w:hAnsi="Cambria Math"/>
                  <w:i w:val="0"/>
                  <w:sz w:val="21"/>
                  <w:lang w:val="en-US" w:eastAsia="zh-CN"/>
                </w:rPr>
              </m:ctrlPr>
            </m:eqArrPr>
            <m:e>
              <m:r>
                <m:rPr/>
                <w:rPr>
                  <w:rFonts w:hint="default" w:ascii="Cambria Math" w:hAnsi="Cambria Math"/>
                  <w:sz w:val="21"/>
                </w:rPr>
                <m:t>Δ</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drift</m:t>
                  </m:r>
                  <m:ctrlPr>
                    <w:rPr>
                      <w:rFonts w:ascii="Cambria Math" w:hAnsi="Cambria Math"/>
                      <w:sz w:val="21"/>
                    </w:rPr>
                  </m:ctrlPr>
                </m:sub>
              </m:sSub>
              <m:r>
                <m:rPr/>
                <w:rPr>
                  <w:rFonts w:hint="default" w:ascii="Cambria Math" w:hAnsi="Cambria Math"/>
                  <w:sz w:val="21"/>
                </w:rPr>
                <m:t>=|β×599|</m:t>
              </m:r>
              <m:r>
                <m:rPr>
                  <m:sty m:val="p"/>
                </m:rPr>
                <w:rPr>
                  <w:rFonts w:hint="eastAsia" w:ascii="Cambria Math" w:hAnsi="Cambria Math"/>
                  <w:sz w:val="21"/>
                  <w:lang w:val="en-US" w:eastAsia="zh-CN"/>
                </w:rPr>
                <m:t>#（2.3）</m:t>
              </m:r>
              <m:ctrlPr>
                <m:rPr/>
                <w:rPr>
                  <w:rFonts w:hint="default" w:hAnsi="Cambria Math"/>
                  <w:i w:val="0"/>
                  <w:sz w:val="21"/>
                  <w:lang w:val="en-US" w:eastAsia="zh-CN"/>
                </w:rPr>
              </m:ctrlPr>
            </m:e>
          </m:eqArr>
        </m:oMath>
      </m:oMathPara>
    </w:p>
    <w:p w14:paraId="2E1BB204">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m:rPr/>
        <w:rPr>
          <w:rFonts w:hint="default" w:hAnsi="Cambria Math"/>
          <w:i w:val="0"/>
          <w:sz w:val="21"/>
          <w:lang w:val="en-US" w:eastAsia="zh-CN"/>
        </w:rPr>
      </w:pPr>
    </w:p>
    <w:p w14:paraId="188E63EF">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相较于简单取窗口首尾温度差值的方法，最小二乘拟合对全部600个数据点进行了“平均化”处理，个别瞬时波动或偶发噪声对斜率估计值的影响被大幅削弱，因而漂移量计算结果更能真实反映温度的长期演变趋势。</w:t>
      </w:r>
    </w:p>
    <w:p w14:paraId="2B449AA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完成漂移量计算后，算法进入三重条件联合判定环节，三项条件严格对应ISO 11820-2020标准的量化要求 ，且采用逻辑“与”关系：</w:t>
      </w:r>
    </w:p>
    <w:p w14:paraId="03066DDC">
      <w:pPr>
        <w:shd w:val="clear"/>
        <w:tabs>
          <w:tab w:val="left" w:pos="2824"/>
        </w:tabs>
        <w:bidi w:val="0"/>
        <w:jc w:val="left"/>
        <m:rPr/>
        <w:rPr>
          <w:rFonts w:hint="eastAsia" w:hAnsi="Cambria Math"/>
          <w:i w:val="0"/>
          <w:sz w:val="21"/>
          <w:lang w:val="en-US" w:eastAsia="zh-CN"/>
        </w:rPr>
      </w:pPr>
      <m:oMathPara>
        <m:oMath>
          <m:eqArr>
            <m:eqArrPr>
              <m:maxDist m:val="1"/>
              <m:ctrlPr>
                <m:rPr/>
                <w:rPr>
                  <w:rFonts w:hint="default" w:hAnsi="Cambria Math"/>
                  <w:i w:val="0"/>
                  <w:sz w:val="21"/>
                  <w:lang w:val="en-US" w:eastAsia="zh-CN"/>
                </w:rPr>
              </m:ctrlPr>
            </m:eqArrPr>
            <m:e>
              <m:r>
                <m:rPr>
                  <m:sty m:val="p"/>
                </m:rPr>
                <w:rPr>
                  <w:rFonts w:hint="default" w:ascii="Cambria Math" w:hAnsi="Cambria Math"/>
                  <w:sz w:val="21"/>
                </w:rPr>
                <m:t>Stable</m:t>
              </m:r>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(t)</m:t>
              </m:r>
              <m:r>
                <m:rPr>
                  <m:sty m:val="p"/>
                </m:rPr>
                <w:rPr>
                  <w:rFonts w:hint="eastAsia" w:ascii="Cambria Math" w:hAnsi="Cambria Math"/>
                  <w:sz w:val="21"/>
                  <w:lang w:val="en-US" w:eastAsia="zh-CN"/>
                </w:rPr>
                <m:t>#（2.4）</m:t>
              </m:r>
              <m:ctrlPr>
                <m:rPr/>
                <w:rPr>
                  <w:rFonts w:hint="default" w:hAnsi="Cambria Math"/>
                  <w:i w:val="0"/>
                  <w:sz w:val="21"/>
                  <w:lang w:val="en-US" w:eastAsia="zh-CN"/>
                </w:rPr>
              </m:ctrlPr>
            </m:e>
          </m:eqArr>
        </m:oMath>
      </m:oMathPara>
    </w:p>
    <w:p w14:paraId="52BBEA0E">
      <w:pPr>
        <w:shd w:val="clear"/>
        <w:tabs>
          <w:tab w:val="left" w:pos="2824"/>
        </w:tabs>
        <w:bidi w:val="0"/>
        <w:jc w:val="left"/>
        <m:rPr/>
        <w:rPr>
          <w:rFonts w:hint="default" w:hAnsi="Cambria Math"/>
          <w:i w:val="0"/>
          <w:sz w:val="21"/>
          <w:lang w:val="en-US" w:eastAsia="zh-CN"/>
        </w:rPr>
      </w:pPr>
    </w:p>
    <w:p w14:paraId="02079234">
      <w:pPr>
        <w:shd w:val="clear"/>
        <w:tabs>
          <w:tab w:val="left" w:pos="2824"/>
        </w:tabs>
        <w:bidi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其中：</w:t>
      </w:r>
    </w:p>
    <w:p w14:paraId="4957F5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spacing w:before="0" w:beforeAutospacing="1" w:after="0" w:afterAutospacing="0" w:line="280" w:lineRule="atLeast"/>
        <w:ind w:left="420" w:leftChars="0" w:right="0" w:rightChars="0" w:hanging="420" w:firstLineChars="0"/>
        <w:jc w:val="left"/>
      </w:pPr>
      <m:oMath>
        <m:r>
          <m:rPr/>
          <w:rPr>
            <w:rFonts w:hint="default" w:ascii="Cambria Math" w:hAnsi="Cambria Math" w:eastAsia="KaTeX_Math"/>
            <w:sz w:val="24"/>
          </w:rPr>
          <m:t>C1：温度范围条件——两路测温点瞬时值均满足 745°C≤T≤755°C；</m:t>
        </m:r>
      </m:oMath>
    </w:p>
    <w:p w14:paraId="615DF40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spacing w:before="0" w:beforeAutospacing="1" w:after="0" w:afterAutospacing="0" w:line="280" w:lineRule="atLeast"/>
        <w:ind w:left="420" w:leftChars="0" w:right="0" w:rightChars="0" w:hanging="420" w:firstLineChars="0"/>
        <w:jc w:val="left"/>
      </w:pPr>
      <m:oMath>
        <m:r>
          <m:rPr/>
          <w:rPr>
            <w:rFonts w:hint="default" w:ascii="Cambria Math" w:hAnsi="Cambria Math" w:eastAsia="KaTeX_Math" w:cs="KaTeX_Math"/>
            <w:caps w:val="0"/>
            <w:color w:val="333333"/>
            <w:spacing w:val="0"/>
            <w:kern w:val="2"/>
            <w:sz w:val="24"/>
            <w:szCs w:val="25"/>
            <w:shd w:val="clear" w:fill="FFFFFF"/>
            <w:lang w:val="en-US" w:bidi="ar-SA"/>
          </w:rPr>
          <m:t>C</m:t>
        </m:r>
        <m:r>
          <m:rPr>
            <m:sty m:val="p"/>
          </m:rPr>
          <w:rPr>
            <w:rFonts w:hint="default" w:ascii="Cambria Math" w:hAnsi="Cambria Math" w:eastAsia="Times New Roman" w:cs="Times New Roman"/>
            <w:caps w:val="0"/>
            <w:color w:val="333333"/>
            <w:spacing w:val="0"/>
            <w:kern w:val="2"/>
            <w:sz w:val="24"/>
            <w:szCs w:val="14"/>
            <w:shd w:val="clear" w:fill="FFFFFF"/>
            <w:lang w:val="en-US" w:bidi="ar-SA"/>
          </w:rPr>
          <m:t>2</m:t>
        </m:r>
        <m:r>
          <m:rPr>
            <m:sty m:val="p"/>
          </m:rPr>
          <w:rPr>
            <w:rFonts w:hint="eastAsia" w:ascii="Cambria Math" w:hAnsi="Cambria Math" w:eastAsia="宋体" w:cs="Times New Roman"/>
            <w:caps w:val="0"/>
            <w:color w:val="333333"/>
            <w:spacing w:val="0"/>
            <w:kern w:val="2"/>
            <w:sz w:val="24"/>
            <w:szCs w:val="14"/>
            <w:shd w:val="clear" w:fill="FFFFFF"/>
            <w:lang w:val="en-US" w:eastAsia="zh-CN" w:bidi="ar-SA"/>
          </w:rPr>
          <m:t>：</m:t>
        </m:r>
        <m:r>
          <m:rPr/>
          <w:rPr>
            <w:rFonts w:hint="default" w:ascii="Cambria Math" w:hAnsi="Cambria Math" w:eastAsia="KaTeX_Math"/>
            <w:sz w:val="24"/>
          </w:rPr>
          <m:t>温度</m:t>
        </m:r>
        <m:r>
          <m:rPr/>
          <w:rPr>
            <w:rFonts w:hint="eastAsia" w:ascii="Cambria Math" w:hAnsi="Cambria Math" w:eastAsia="宋体"/>
            <w:sz w:val="24"/>
            <w:lang w:val="en-US" w:eastAsia="zh-CN"/>
          </w:rPr>
          <m:t>漂移</m:t>
        </m:r>
        <m:r>
          <m:rPr/>
          <w:rPr>
            <w:rFonts w:hint="default" w:ascii="Cambria Math" w:hAnsi="Cambria Math" w:eastAsia="KaTeX_Math"/>
            <w:sz w:val="24"/>
          </w:rPr>
          <m:t>条件</m:t>
        </m:r>
        <m:r>
          <m:rPr>
            <m:sty m:val="p"/>
          </m:rPr>
          <w:rPr>
            <w:rFonts w:hint="default" w:ascii="Cambria Math" w:hAnsi="Cambria Math" w:eastAsia="宋体" w:cs="KaTeX_Math"/>
            <w:caps w:val="0"/>
            <w:color w:val="333333"/>
            <w:spacing w:val="0"/>
            <w:kern w:val="2"/>
            <w:sz w:val="24"/>
            <w:szCs w:val="24"/>
            <w:shd w:val="clear" w:fill="FFFFFF"/>
            <w:lang w:val="en-US" w:bidi="ar-SA"/>
          </w:rPr>
          <m:t>——</m:t>
        </m:r>
        <m:r>
          <m:rPr/>
          <w:rPr>
            <w:rFonts w:hint="default" w:ascii="Cambria Math" w:hAnsi="Cambria Math" w:eastAsia="KaTeX_Math"/>
            <w:sz w:val="24"/>
          </w:rPr>
          <m:t>两路</m:t>
        </m:r>
        <m:r>
          <m:rPr/>
          <w:rPr>
            <w:rFonts w:hint="eastAsia" w:ascii="Cambria Math" w:hAnsi="Cambria Math" w:eastAsia="宋体"/>
            <w:sz w:val="24"/>
            <w:lang w:val="en-US" w:eastAsia="zh-CN"/>
          </w:rPr>
          <m:t>温度的</m:t>
        </m:r>
        <m:r>
          <m:rPr>
            <m:sty m:val="p"/>
          </m:rPr>
          <w:rPr>
            <w:rFonts w:hint="default" w:ascii="Cambria Math" w:hAnsi="Cambria Math" w:eastAsia="Arial" w:cs="KaTeX_Math"/>
            <w:caps w:val="0"/>
            <w:color w:val="333333"/>
            <w:spacing w:val="0"/>
            <w:kern w:val="2"/>
            <w:sz w:val="24"/>
            <w:szCs w:val="24"/>
            <w:shd w:val="clear" w:fill="FFFFFF"/>
            <w:lang w:val="en-US" w:bidi="ar-SA"/>
          </w:rPr>
          <m:t> </m:t>
        </m:r>
        <m:r>
          <m:rPr/>
          <w:rPr>
            <w:rFonts w:hint="default" w:ascii="Cambria Math" w:hAnsi="Cambria Math"/>
            <w:sz w:val="24"/>
            <w:szCs w:val="24"/>
          </w:rPr>
          <m:t>Δ</m:t>
        </m:r>
        <m:sSub>
          <m:sSubPr>
            <m:ctrlPr>
              <w:rPr>
                <w:rFonts w:hint="default" w:ascii="Cambria Math" w:hAnsi="Cambria Math"/>
                <w:sz w:val="24"/>
                <w:szCs w:val="24"/>
              </w:rPr>
            </m:ctrlPr>
          </m:sSubPr>
          <m:e>
            <m:r>
              <m:rPr/>
              <w:rPr>
                <w:rFonts w:hint="default" w:ascii="Cambria Math" w:hAnsi="Cambria Math"/>
                <w:sz w:val="24"/>
                <w:szCs w:val="24"/>
              </w:rPr>
              <m:t>T</m:t>
            </m:r>
            <m:ctrlPr>
              <w:rPr>
                <w:rFonts w:ascii="Cambria Math" w:hAnsi="Cambria Math"/>
                <w:sz w:val="24"/>
                <w:szCs w:val="24"/>
              </w:rPr>
            </m:ctrlPr>
          </m:e>
          <m:sub>
            <m:r>
              <m:rPr>
                <m:sty m:val="p"/>
              </m:rPr>
              <w:rPr>
                <w:rFonts w:hint="default" w:ascii="Cambria Math" w:hAnsi="Cambria Math"/>
                <w:sz w:val="24"/>
                <w:szCs w:val="24"/>
              </w:rPr>
              <m:t>drift</m:t>
            </m:r>
            <m:ctrlPr>
              <w:rPr>
                <w:rFonts w:ascii="Cambria Math" w:hAnsi="Cambria Math"/>
                <w:sz w:val="24"/>
                <w:szCs w:val="24"/>
              </w:rPr>
            </m:ctrlPr>
          </m:sub>
        </m:sSub>
        <m:r>
          <m:rPr/>
          <w:rPr>
            <w:rFonts w:hint="default" w:ascii="Cambria Math" w:hAnsi="Cambria Math"/>
            <w:sz w:val="24"/>
            <w:szCs w:val="24"/>
          </w:rPr>
          <m:t>≤2.</m:t>
        </m:r>
        <m:sSup>
          <m:sSupPr>
            <m:ctrlPr>
              <w:rPr>
                <w:rFonts w:hint="default" w:ascii="Cambria Math" w:hAnsi="Cambria Math"/>
                <w:sz w:val="24"/>
                <w:szCs w:val="24"/>
              </w:rPr>
            </m:ctrlPr>
          </m:sSupPr>
          <m:e>
            <m:r>
              <m:rPr/>
              <w:rPr>
                <w:rFonts w:hint="default" w:ascii="Cambria Math" w:hAnsi="Cambria Math"/>
                <w:sz w:val="24"/>
                <w:szCs w:val="24"/>
              </w:rPr>
              <m:t>0</m:t>
            </m:r>
            <m:ctrlPr>
              <w:rPr>
                <w:rFonts w:ascii="Cambria Math" w:hAnsi="Cambria Math"/>
                <w:sz w:val="24"/>
                <w:szCs w:val="24"/>
              </w:rPr>
            </m:ctrlPr>
          </m:e>
          <m:sup>
            <m:r>
              <m:rPr/>
              <w:rPr>
                <w:rFonts w:hint="default" w:ascii="Cambria Math" w:hAnsi="Cambria Math"/>
                <w:sz w:val="24"/>
                <w:szCs w:val="24"/>
              </w:rPr>
              <m:t>∘</m:t>
            </m:r>
            <m:ctrlPr>
              <w:rPr>
                <w:rFonts w:ascii="Cambria Math" w:hAnsi="Cambria Math"/>
                <w:sz w:val="24"/>
                <w:szCs w:val="24"/>
              </w:rPr>
            </m:ctrlPr>
          </m:sup>
        </m:sSup>
        <m:r>
          <m:rPr>
            <m:sty m:val="p"/>
          </m:rPr>
          <w:rPr>
            <w:rFonts w:hint="default" w:ascii="Cambria Math" w:hAnsi="Cambria Math"/>
            <w:sz w:val="24"/>
            <w:szCs w:val="24"/>
          </w:rPr>
          <m:t>C</m:t>
        </m:r>
        <m:r>
          <m:rPr>
            <m:sty m:val="p"/>
          </m:rPr>
          <w:rPr>
            <w:rFonts w:hint="default" w:ascii="Cambria Math" w:hAnsi="Cambria Math" w:eastAsia="Arial" w:cs="Arial"/>
            <w:caps w:val="0"/>
            <w:color w:val="333333"/>
            <w:spacing w:val="0"/>
            <w:kern w:val="2"/>
            <w:sz w:val="24"/>
            <w:szCs w:val="16"/>
            <w:shd w:val="clear" w:fill="FFFFFF"/>
            <w:lang w:val="en-US" w:bidi="ar-SA"/>
          </w:rPr>
          <m:t>；</m:t>
        </m:r>
      </m:oMath>
    </w:p>
    <w:p w14:paraId="3A8B2EB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spacing w:before="0" w:beforeAutospacing="1" w:after="0" w:afterAutospacing="0" w:line="280" w:lineRule="atLeast"/>
        <w:ind w:left="420" w:leftChars="0" w:right="0" w:rightChars="0" w:hanging="420" w:firstLineChars="0"/>
        <w:jc w:val="left"/>
      </w:pPr>
      <m:oMath>
        <m:r>
          <m:rPr/>
          <w:rPr>
            <w:rFonts w:hint="default" w:ascii="Cambria Math" w:hAnsi="Cambria Math" w:eastAsia="KaTeX_Math"/>
            <w:sz w:val="24"/>
          </w:rPr>
          <m:t>C3：温度偏差条件——窗口内温度最大值与平均值之差 ≤1.0°C。</m:t>
        </m:r>
      </m:oMath>
    </w:p>
    <w:p w14:paraId="0D6F540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避免因瞬时扰动或偶发噪声导致的误判，算法进一步引入持续性验证机制。系统为每项条件维护独立的倒计时计数器，初始值均为600（对应600秒）。每次检查中，若条件满足则计数器减1，否则重置为600。系统仅在三个计数器同时递减至零的时刻，即三项条件已被连续600秒不间断满足时，才正式判定炉温已达稳定状态，触发状态机切换至“就绪”状态。该机制的判定逻辑可表示为：</w:t>
      </w:r>
    </w:p>
    <w:p w14:paraId="5A70F6C4">
      <w:pPr>
        <w:shd w:val="clear"/>
        <w:bidi w:val="0"/>
        <m:rPr/>
        <w:rPr>
          <w:rFonts w:hint="default" w:hAnsi="Cambria Math"/>
          <w:i w:val="0"/>
          <w:sz w:val="21"/>
          <w:lang w:val="en-US" w:eastAsia="zh-CN"/>
        </w:rPr>
      </w:pPr>
      <m:oMathPara>
        <m:oMath>
          <m:eqArr>
            <m:eqArrPr>
              <m:maxDist m:val="1"/>
              <m:ctrlPr>
                <m:rPr/>
                <w:rPr>
                  <w:rFonts w:hint="default" w:ascii="Cambria Math" w:hAnsi="Cambria Math"/>
                  <w:i/>
                  <w:sz w:val="21"/>
                </w:rPr>
              </m:ctrlPr>
            </m:eqArrPr>
            <m:e>
              <m:m>
                <m:mPr>
                  <m:mcs>
                    <m:mc>
                      <m:mcPr>
                        <m:count m:val="1"/>
                        <m:mcJc m:val="left"/>
                      </m:mcPr>
                    </m:mc>
                  </m:mcs>
                  <m:ctrlPr>
                    <w:rPr>
                      <w:rFonts w:hint="default" w:ascii="Cambria Math" w:hAnsi="Cambria Math"/>
                      <w:sz w:val="21"/>
                    </w:rPr>
                  </m:ctrlPr>
                </m:mPr>
                <m:mr>
                  <m:e>
                    <m:r>
                      <m:rPr/>
                      <w:rPr>
                        <w:rFonts w:hint="default" w:ascii="Cambria Math" w:hAnsi="Cambria Math"/>
                        <w:sz w:val="21"/>
                        <w:lang w:val="en-US" w:eastAsia="zh-CN"/>
                      </w:rPr>
                      <m:t xml:space="preserve">                                 </m:t>
                    </m:r>
                    <m:r>
                      <m:rPr/>
                      <w:rPr>
                        <w:rFonts w:hint="default" w:ascii="Cambria Math" w:hAnsi="Cambria Math"/>
                        <w:sz w:val="21"/>
                      </w:rPr>
                      <m:t>3</m:t>
                    </m:r>
                    <m:ctrlPr>
                      <w:rPr>
                        <w:rFonts w:ascii="Cambria Math" w:hAnsi="Cambria Math"/>
                        <w:sz w:val="21"/>
                      </w:rPr>
                    </m:ctrlPr>
                  </m:e>
                </m:mr>
                <m:mr>
                  <m:e>
                    <m:r>
                      <m:rPr/>
                      <w:rPr>
                        <w:rFonts w:hint="default" w:ascii="Cambria Math" w:hAnsi="Cambria Math"/>
                        <w:sz w:val="21"/>
                        <w:lang w:val="en-US" w:eastAsia="zh-CN"/>
                      </w:rPr>
                      <m:t xml:space="preserve"> </m:t>
                    </m:r>
                    <m:r>
                      <m:rPr/>
                      <w:rPr>
                        <w:rFonts w:hint="default" w:ascii="Cambria Math" w:hAnsi="Cambria Math"/>
                        <w:sz w:val="21"/>
                      </w:rPr>
                      <m:t>FinalStable=</m:t>
                    </m:r>
                    <m:nary>
                      <m:naryPr>
                        <m:chr m:val="⋀"/>
                        <m:limLoc m:val="undOvr"/>
                        <m:supHide m:val="1"/>
                        <m:ctrlPr>
                          <w:rPr>
                            <w:rFonts w:hint="default" w:ascii="Cambria Math" w:hAnsi="Cambria Math"/>
                            <w:sz w:val="21"/>
                          </w:rPr>
                        </m:ctrlPr>
                      </m:naryPr>
                      <m:sub>
                        <m:r>
                          <m:rPr/>
                          <w:rPr>
                            <w:rFonts w:hint="default" w:ascii="Cambria Math" w:hAnsi="Cambria Math"/>
                            <w:sz w:val="21"/>
                          </w:rPr>
                          <m:t>k=1</m:t>
                        </m:r>
                        <m:ctrlPr>
                          <w:rPr>
                            <w:rFonts w:ascii="Cambria Math" w:hAnsi="Cambria Math"/>
                            <w:sz w:val="21"/>
                          </w:rPr>
                        </m:ctrlPr>
                      </m:sub>
                      <m:sup>
                        <m:ctrlPr>
                          <w:rPr>
                            <w:rFonts w:ascii="Cambria Math" w:hAnsi="Cambria Math"/>
                            <w:sz w:val="21"/>
                          </w:rPr>
                        </m:ctrlPr>
                      </m:sup>
                      <m:e>
                        <m:eqArr>
                          <m:eqArrPr>
                            <m:ctrlPr>
                              <m:rPr/>
                              <w:rPr>
                                <w:rFonts w:hint="eastAsia" w:ascii="Cambria Math" w:hAnsi="Cambria Math"/>
                                <w:i w:val="0"/>
                                <w:sz w:val="21"/>
                                <w:lang w:val="en-US" w:eastAsia="zh-CN"/>
                              </w:rPr>
                            </m:ctrlPr>
                          </m:eqArrPr>
                          <m:e>
                            <m:d>
                              <m:dPr>
                                <m:ctrlPr>
                                  <w:rPr>
                                    <w:rFonts w:hint="default" w:ascii="Cambria Math" w:hAnsi="Cambria Math"/>
                                    <w:sz w:val="21"/>
                                  </w:rPr>
                                </m:ctrlPr>
                              </m:dPr>
                              <m:e>
                                <m:func>
                                  <m:funcPr>
                                    <m:ctrlPr>
                                      <w:rPr>
                                        <w:rFonts w:hint="default" w:ascii="Cambria Math" w:hAnsi="Cambria Math"/>
                                        <w:sz w:val="21"/>
                                      </w:rPr>
                                    </m:ctrlPr>
                                  </m:funcPr>
                                  <m:fName>
                                    <m:limLow>
                                      <m:limLowPr>
                                        <m:ctrlPr>
                                          <w:rPr>
                                            <w:rFonts w:hint="default" w:ascii="Cambria Math" w:hAnsi="Cambria Math"/>
                                            <w:sz w:val="21"/>
                                          </w:rPr>
                                        </m:ctrlPr>
                                      </m:limLowPr>
                                      <m:e>
                                        <m:r>
                                          <m:rPr>
                                            <m:sty m:val="p"/>
                                          </m:rPr>
                                          <w:rPr>
                                            <w:rFonts w:hint="default" w:ascii="Cambria Math" w:hAnsi="Cambria Math"/>
                                            <w:sz w:val="21"/>
                                          </w:rPr>
                                          <m:t>min</m:t>
                                        </m:r>
                                        <m:ctrlPr>
                                          <w:rPr>
                                            <w:rFonts w:ascii="Cambria Math" w:hAnsi="Cambria Math"/>
                                            <w:sz w:val="21"/>
                                          </w:rPr>
                                        </m:ctrlPr>
                                      </m:e>
                                      <m:lim>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−600,</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lim>
                                    </m:limLow>
                                    <m:ctrlPr>
                                      <w:rPr>
                                        <w:rFonts w:hint="default" w:ascii="Cambria Math" w:hAnsi="Cambria Math"/>
                                        <w:sz w:val="21"/>
                                      </w:rPr>
                                    </m:ctrlPr>
                                  </m:fName>
                                  <m:e>
                                    <m:r>
                                      <m:rPr/>
                                      <w:rPr>
                                        <w:rFonts w:hint="default" w:ascii="Cambria Math" w:hAnsi="Cambria Math"/>
                                        <w:sz w:val="21"/>
                                      </w:rPr>
                                      <m:t>C</m:t>
                                    </m:r>
                                    <m:ctrlPr>
                                      <w:rPr>
                                        <w:rFonts w:hint="default" w:ascii="Cambria Math" w:hAnsi="Cambria Math"/>
                                        <w:sz w:val="21"/>
                                      </w:rPr>
                                    </m:ctrlPr>
                                  </m:e>
                                </m:func>
                                <m:r>
                                  <m:rPr/>
                                  <w:rPr>
                                    <w:rFonts w:hint="default" w:ascii="Cambria Math" w:hAnsi="Cambria Math"/>
                                    <w:sz w:val="21"/>
                                  </w:rPr>
                                  <m:t>ounte</m:t>
                                </m:r>
                                <m:sSub>
                                  <m:sSubPr>
                                    <m:ctrlPr>
                                      <w:rPr>
                                        <w:rFonts w:hint="default" w:ascii="Cambria Math" w:hAnsi="Cambria Math"/>
                                        <w:sz w:val="21"/>
                                      </w:rPr>
                                    </m:ctrlPr>
                                  </m:sSubPr>
                                  <m:e>
                                    <m:r>
                                      <m:rPr/>
                                      <w:rPr>
                                        <w:rFonts w:hint="default" w:ascii="Cambria Math" w:hAnsi="Cambria Math"/>
                                        <w:sz w:val="21"/>
                                      </w:rPr>
                                      <m:t>r</m:t>
                                    </m:r>
                                    <m:ctrlPr>
                                      <w:rPr>
                                        <w:rFonts w:hint="default" w:ascii="Cambria Math" w:hAnsi="Cambria Math"/>
                                        <w:sz w:val="21"/>
                                      </w:rPr>
                                    </m:ctrlPr>
                                  </m:e>
                                  <m:sub>
                                    <m:r>
                                      <m:rPr/>
                                      <w:rPr>
                                        <w:rFonts w:hint="default" w:ascii="Cambria Math" w:hAnsi="Cambria Math"/>
                                        <w:sz w:val="21"/>
                                      </w:rPr>
                                      <m:t>k</m:t>
                                    </m:r>
                                    <m:ctrlPr>
                                      <w:rPr>
                                        <w:rFonts w:hint="default" w:ascii="Cambria Math" w:hAnsi="Cambria Math"/>
                                        <w:sz w:val="21"/>
                                      </w:rPr>
                                    </m:ctrlPr>
                                  </m:sub>
                                </m:sSub>
                                <m:r>
                                  <m:rPr/>
                                  <w:rPr>
                                    <w:rFonts w:hint="default" w:ascii="Cambria Math" w:hAnsi="Cambria Math"/>
                                    <w:sz w:val="21"/>
                                  </w:rPr>
                                  <m:t>(t)=0</m:t>
                                </m:r>
                                <m:ctrlPr>
                                  <w:rPr>
                                    <w:rFonts w:hint="default" w:ascii="Cambria Math" w:hAnsi="Cambria Math"/>
                                    <w:sz w:val="21"/>
                                  </w:rPr>
                                </m:ctrlPr>
                              </m:e>
                            </m:d>
                            <m:r>
                              <m:rPr>
                                <m:sty m:val="p"/>
                              </m:rPr>
                              <w:rPr>
                                <w:rFonts w:hint="default" w:ascii="Cambria Math" w:hAnsi="Cambria Math"/>
                                <w:sz w:val="21"/>
                                <w:lang w:val="en-US" w:eastAsia="zh-CN"/>
                              </w:rPr>
                              <m:t>## ##########</m:t>
                            </m:r>
                            <m:r>
                              <m:rPr>
                                <m:sty m:val="p"/>
                              </m:rPr>
                              <w:rPr>
                                <w:rFonts w:hint="eastAsia" w:ascii="Cambria Math" w:hAnsi="Cambria Math"/>
                                <w:sz w:val="21"/>
                                <w:lang w:val="en-US" w:eastAsia="zh-CN"/>
                              </w:rPr>
                              <m:t>####</m:t>
                            </m:r>
                            <m:r>
                              <m:rPr>
                                <m:sty m:val="p"/>
                              </m:rPr>
                              <w:rPr>
                                <w:rFonts w:hint="default" w:ascii="Cambria Math" w:hAnsi="Cambria Math"/>
                                <w:sz w:val="21"/>
                                <w:lang w:val="en-US" w:eastAsia="zh-CN"/>
                              </w:rPr>
                              <m:t>##</m:t>
                            </m:r>
                            <m:ctrlPr>
                              <m:rPr/>
                              <w:rPr>
                                <w:rFonts w:hint="eastAsia" w:ascii="Cambria Math" w:hAnsi="Cambria Math"/>
                                <w:i w:val="0"/>
                                <w:sz w:val="21"/>
                                <w:lang w:val="en-US" w:eastAsia="zh-CN"/>
                              </w:rPr>
                            </m:ctrlPr>
                          </m:e>
                          <m:e>
                            <m:r>
                              <m:rPr>
                                <m:sty m:val="p"/>
                              </m:rPr>
                              <w:rPr>
                                <w:rFonts w:hint="default" w:ascii="Cambria Math" w:hAnsi="Cambria Math"/>
                                <w:sz w:val="21"/>
                                <w:lang w:val="en-US" w:eastAsia="zh-CN"/>
                              </w:rPr>
                              <m:t xml:space="preserve"> </m:t>
                            </m:r>
                            <m:ctrlPr>
                              <w:rPr>
                                <w:rFonts w:hint="default" w:ascii="Cambria Math" w:hAnsi="Cambria Math"/>
                                <w:sz w:val="21"/>
                              </w:rPr>
                            </m:ctrlPr>
                          </m:e>
                        </m:eqArr>
                        <m:ctrlPr>
                          <m:rPr/>
                          <w:rPr>
                            <w:rFonts w:hint="eastAsia" w:ascii="Cambria Math" w:hAnsi="Cambria Math"/>
                            <w:i w:val="0"/>
                            <w:sz w:val="21"/>
                            <w:lang w:val="en-US" w:eastAsia="zh-CN"/>
                          </w:rPr>
                        </m:ctrlPr>
                      </m:e>
                    </m:nary>
                    <m:ctrlPr>
                      <w:rPr>
                        <w:rFonts w:hint="default" w:ascii="Cambria Math" w:hAnsi="Cambria Math"/>
                        <w:sz w:val="21"/>
                      </w:rPr>
                    </m:ctrlPr>
                  </m:e>
                </m:mr>
              </m:m>
              <m:r>
                <m:rPr>
                  <m:sty m:val="p"/>
                </m:rPr>
                <w:rPr>
                  <w:rFonts w:hint="default" w:ascii="Cambria Math" w:hAnsi="Cambria Math"/>
                  <w:sz w:val="21"/>
                </w:rPr>
                <m:t>#</m:t>
              </m:r>
              <m:r>
                <m:rPr>
                  <m:sty m:val="p"/>
                </m:rPr>
                <w:rPr>
                  <w:rFonts w:hint="default" w:ascii="Cambria Math" w:hAnsi="Cambria Math"/>
                  <w:sz w:val="21"/>
                  <w:lang w:val="en-US" w:eastAsia="zh-CN"/>
                </w:rPr>
                <m:t>(2.5)</m:t>
              </m:r>
              <m:ctrlPr>
                <m:rPr/>
                <w:rPr>
                  <w:rFonts w:hint="default" w:ascii="Cambria Math" w:hAnsi="Cambria Math"/>
                  <w:i/>
                  <w:sz w:val="21"/>
                </w:rPr>
              </m:ctrlPr>
            </m:e>
          </m:eqArr>
        </m:oMath>
      </m:oMathPara>
    </w:p>
    <w:p w14:paraId="50BAD7D6">
      <w:pPr>
        <w:shd w:val="clear"/>
        <w:bidi w:val="0"/>
        <m:rPr/>
        <w:rPr>
          <w:rFonts w:hint="default" w:hAnsi="Cambria Math"/>
          <w:i w:val="0"/>
          <w:sz w:val="21"/>
          <w:lang w:val="en-US" w:eastAsia="zh-CN"/>
        </w:rPr>
      </w:pPr>
    </w:p>
    <w:p w14:paraId="2450850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该算法将ISO 11820-2020标准中的定性要求进行了严谨的量化表达，通过最小二乘回归分析科学估计温度漂移趋势，结合多维度约束与严格的持续性验证，实现了对炉温稳定状态的全自动、客观、可靠识别，为试验结果的一致性与法律效力提供了坚实的技术保障。</w:t>
      </w:r>
    </w:p>
    <w:p w14:paraId="62A691F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p>
    <w:p w14:paraId="17010EB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p>
    <w:p w14:paraId="3FE2FBA3">
      <w:pPr>
        <w:pStyle w:val="3"/>
        <w:shd w:val="clear"/>
        <w:bidi w:val="0"/>
        <w:rPr>
          <w:rFonts w:hint="default" w:ascii="宋体" w:hAnsi="宋体" w:eastAsia="宋体" w:cs="宋体"/>
          <w:lang w:val="en-US" w:eastAsia="zh-CN"/>
        </w:rPr>
      </w:pPr>
      <w:bookmarkStart w:id="14" w:name="_Toc28409"/>
      <w:r>
        <w:rPr>
          <w:rFonts w:hint="eastAsia" w:ascii="宋体" w:hAnsi="宋体" w:eastAsia="宋体" w:cs="宋体"/>
          <w:lang w:val="en-US" w:eastAsia="zh-CN"/>
        </w:rPr>
        <w:t>2.2系统开发相关技术</w:t>
      </w:r>
      <w:bookmarkEnd w:id="14"/>
    </w:p>
    <w:p w14:paraId="2C5C1549">
      <w:pPr>
        <w:pStyle w:val="4"/>
        <w:shd w:val="clear"/>
        <w:bidi w:val="0"/>
        <w:rPr>
          <w:rStyle w:val="18"/>
          <w:rFonts w:hint="eastAsia" w:ascii="宋体" w:hAnsi="宋体" w:eastAsia="宋体" w:cs="宋体"/>
          <w:b/>
          <w:lang w:val="en-US" w:eastAsia="zh-CN"/>
        </w:rPr>
      </w:pPr>
      <w:bookmarkStart w:id="15" w:name="_Toc28068"/>
      <w:r>
        <w:rPr>
          <w:rStyle w:val="18"/>
          <w:rFonts w:hint="eastAsia" w:ascii="宋体" w:hAnsi="宋体" w:eastAsia="宋体" w:cs="宋体"/>
          <w:b/>
          <w:lang w:val="en-US" w:eastAsia="zh-CN"/>
        </w:rPr>
        <w:t>2.2.1 C#</w:t>
      </w:r>
      <w:bookmarkEnd w:id="15"/>
    </w:p>
    <w:p w14:paraId="2E88EE19">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bookmarkStart w:id="16" w:name="_Toc9521"/>
      <w:r>
        <w:rPr>
          <w:rFonts w:hint="eastAsia" w:ascii="宋体" w:hAnsi="宋体" w:eastAsia="宋体" w:cs="宋体"/>
          <w:sz w:val="24"/>
          <w:szCs w:val="24"/>
          <w:lang w:val="en-US" w:eastAsia="zh-CN"/>
        </w:rPr>
        <w:t>作为微软所开发的、基于.NET架构的高级、面向对象且具有类型安全性的编码工具，C#以其简洁的语法，以及融合C++功能深度和VisualBasic的用户友好优势而著称，考虑到它有丰富的类库支援，良好的执行效率以及跟Windows系统的紧密结合，让C#成为了开发桌面软件的主要选取之一。</w:t>
      </w:r>
    </w:p>
    <w:p w14:paraId="471E4DDE">
      <w:pPr>
        <w:pStyle w:val="4"/>
        <w:shd w:val="clear"/>
        <w:bidi w:val="0"/>
        <w:rPr>
          <w:rStyle w:val="18"/>
          <w:rFonts w:hint="eastAsia" w:ascii="宋体" w:hAnsi="宋体" w:eastAsia="宋体" w:cs="宋体"/>
          <w:b/>
          <w:lang w:val="en-US" w:eastAsia="zh-CN"/>
        </w:rPr>
      </w:pPr>
      <w:bookmarkStart w:id="17" w:name="_Toc5401"/>
      <w:r>
        <w:rPr>
          <w:rStyle w:val="18"/>
          <w:rFonts w:hint="eastAsia" w:ascii="宋体" w:hAnsi="宋体" w:eastAsia="宋体" w:cs="宋体"/>
          <w:b/>
          <w:lang w:val="en-US" w:eastAsia="zh-CN"/>
        </w:rPr>
        <w:t>2.2.2</w:t>
      </w:r>
      <w:bookmarkEnd w:id="16"/>
      <w:r>
        <w:rPr>
          <w:rStyle w:val="18"/>
          <w:rFonts w:hint="eastAsia" w:ascii="宋体" w:hAnsi="宋体" w:eastAsia="宋体" w:cs="宋体"/>
          <w:b/>
          <w:lang w:val="en-US" w:eastAsia="zh-CN"/>
        </w:rPr>
        <w:t xml:space="preserve"> .NET 6框架</w:t>
      </w:r>
      <w:bookmarkEnd w:id="17"/>
    </w:p>
    <w:p w14:paraId="4E0A3859">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w:t>
      </w:r>
      <w:r>
        <w:rPr>
          <w:rFonts w:hint="eastAsia" w:ascii="宋体" w:hAnsi="宋体" w:eastAsia="宋体" w:cs="宋体"/>
          <w:sz w:val="24"/>
          <w:szCs w:val="24"/>
          <w:lang w:val="en-US" w:eastAsia="zh-CN"/>
        </w:rPr>
        <w:t>ET6是微软推出来用于软件开发的一个开源、跨平台、高性能框架，它对之前的.NETCore、.NETFramework和Xamarin等多个分支予以统一，给出了一个用来打造各类应用程序（像Web、桌面、移动、云、物联网）的单一平台，.NET6拥有公共语言运行时（CLR）、基类库（BCL）以及一系列充足的框架库，它的明显长处是良好的性能（尤其是在高并发和计算密集型场景当中）、自带的依赖注入功能，以及对现代开发模式（如微服务）的有力保障</w:t>
      </w:r>
      <w:r>
        <w:rPr>
          <w:rFonts w:hint="eastAsia" w:ascii="宋体" w:hAnsi="宋体" w:eastAsia="宋体" w:cs="宋体"/>
          <w:sz w:val="24"/>
          <w:szCs w:val="24"/>
          <w:lang w:val="en-US" w:eastAsia="zh-CN"/>
        </w:rPr>
        <w:t>。</w:t>
      </w:r>
    </w:p>
    <w:p w14:paraId="360BCEA4">
      <w:pPr>
        <w:pStyle w:val="4"/>
        <w:shd w:val="clear"/>
        <w:bidi w:val="0"/>
        <w:rPr>
          <w:rStyle w:val="18"/>
          <w:rFonts w:hint="eastAsia" w:ascii="宋体" w:hAnsi="宋体" w:eastAsia="宋体" w:cs="宋体"/>
          <w:b/>
          <w:lang w:val="en-US" w:eastAsia="zh-CN"/>
        </w:rPr>
      </w:pPr>
      <w:bookmarkStart w:id="18" w:name="_Toc18159"/>
      <w:bookmarkStart w:id="19" w:name="_Toc9163"/>
      <w:r>
        <w:rPr>
          <w:rStyle w:val="18"/>
          <w:rFonts w:hint="eastAsia" w:ascii="宋体" w:hAnsi="宋体" w:eastAsia="宋体" w:cs="宋体"/>
          <w:b/>
          <w:lang w:val="en-US" w:eastAsia="zh-CN"/>
        </w:rPr>
        <w:t xml:space="preserve">2.2.3 </w:t>
      </w:r>
      <w:bookmarkEnd w:id="18"/>
      <w:r>
        <w:rPr>
          <w:rStyle w:val="18"/>
          <w:rFonts w:hint="eastAsia" w:ascii="宋体" w:hAnsi="宋体" w:eastAsia="宋体" w:cs="宋体"/>
          <w:b/>
          <w:lang w:val="en-US" w:eastAsia="zh-CN"/>
        </w:rPr>
        <w:t>WinForms</w:t>
      </w:r>
      <w:bookmarkEnd w:id="19"/>
    </w:p>
    <w:p w14:paraId="5D14E80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Windows Forms（简称WinForms）是.NET框架当中用于构建图形用户界面（GUI）的成熟技术，它给出一套基于窗体及控件的可视化设计模式，使开发者可以通过拖放控件以及编写事件处理代码，快速打造传统的Windows桌面应用程序，WinForms的控件十分丰富，跟操作系统原生UI元素以紧密方式结合，执行的效率很高，同时对串口、USB设备这类硬件操作的支持稳定又直接，可以高效达成数据可视化、参数设置和状态监测等交互方面的工作</w:t>
      </w:r>
    </w:p>
    <w:p w14:paraId="6A99C7D3">
      <w:pPr>
        <w:pStyle w:val="4"/>
        <w:shd w:val="clear"/>
        <w:bidi w:val="0"/>
        <w:rPr>
          <w:rStyle w:val="18"/>
          <w:rFonts w:hint="eastAsia" w:ascii="宋体" w:hAnsi="宋体" w:eastAsia="宋体" w:cs="宋体"/>
          <w:b/>
          <w:lang w:val="en-US" w:eastAsia="zh-CN"/>
        </w:rPr>
      </w:pPr>
      <w:bookmarkStart w:id="20" w:name="_Toc23091"/>
      <w:r>
        <w:rPr>
          <w:rStyle w:val="18"/>
          <w:rFonts w:hint="eastAsia" w:ascii="宋体" w:hAnsi="宋体" w:eastAsia="宋体" w:cs="宋体"/>
          <w:b/>
          <w:lang w:val="en-US" w:eastAsia="zh-CN"/>
        </w:rPr>
        <w:t>2.2.4 Entity Framework Core</w:t>
      </w:r>
      <w:bookmarkEnd w:id="20"/>
    </w:p>
    <w:p w14:paraId="7DA4FEA0">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Entity</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Framework</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Core,对象关系做映射的框架,是一款轻量级、可加以扩展、开源且跨平台的对象关系映射器，它让.NET开发人员可以拿.NET对象来操作数据库，而无需写大量底层的SQL数据访问代码，EFCore支持LINQ查询、变更跟踪、更新以及架构迁移之类的功能，它使应用程序中的实体类和数据库表实现映射，开发者运用操作这些“实体对象”的方式，可完成数据库的增删改查，这极大地使数据访问层开发简洁化，提高了代码可维护性以及数据模型的一致性</w:t>
      </w:r>
      <w:r>
        <w:rPr>
          <w:rFonts w:hint="eastAsia" w:ascii="宋体" w:hAnsi="宋体" w:eastAsia="宋体" w:cs="宋体"/>
          <w:sz w:val="24"/>
          <w:szCs w:val="24"/>
          <w:lang w:val="en-US" w:eastAsia="zh-CN"/>
        </w:rPr>
        <w:t>。</w:t>
      </w:r>
    </w:p>
    <w:p w14:paraId="489075A7">
      <w:pPr>
        <w:pStyle w:val="4"/>
        <w:shd w:val="clear"/>
        <w:bidi w:val="0"/>
        <w:rPr>
          <w:rStyle w:val="18"/>
          <w:rFonts w:hint="eastAsia" w:ascii="宋体" w:hAnsi="宋体" w:eastAsia="宋体" w:cs="宋体"/>
          <w:b/>
          <w:lang w:val="en-US" w:eastAsia="zh-CN"/>
        </w:rPr>
      </w:pPr>
      <w:bookmarkStart w:id="21" w:name="_Toc31346"/>
      <w:r>
        <w:rPr>
          <w:rStyle w:val="18"/>
          <w:rFonts w:hint="eastAsia" w:ascii="宋体" w:hAnsi="宋体" w:eastAsia="宋体" w:cs="宋体"/>
          <w:b/>
          <w:lang w:val="en-US" w:eastAsia="zh-CN"/>
        </w:rPr>
        <w:t>2.2.5 SQL Server</w:t>
      </w:r>
      <w:bookmarkEnd w:id="21"/>
    </w:p>
    <w:p w14:paraId="1C61FD9B">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Microsoft SQL Server是有着全面功能、卓越性能的关系型数据库管理系统，它拥有强大的数据存储、处理、分析和安全管理方面的能力，被广泛应用到企业级应用和关键业务系统之处，SQL Server对事务处理、复杂查询、存储过程、触发器等高级数据库功能予以支持，也有着良好的可扩展性和可靠性，在本系统相关方面而言，实验数据拥有结构规整、关系清晰、要长久保存和严格追溯的特点</w:t>
      </w:r>
      <w:r>
        <w:rPr>
          <w:rFonts w:hint="eastAsia" w:ascii="宋体" w:hAnsi="宋体" w:cs="宋体"/>
          <w:b w:val="0"/>
          <w:kern w:val="2"/>
          <w:sz w:val="24"/>
          <w:szCs w:val="24"/>
          <w:lang w:val="en-US" w:eastAsia="zh-CN" w:bidi="ar-SA"/>
        </w:rPr>
        <w:t>。</w:t>
      </w:r>
    </w:p>
    <w:p w14:paraId="0C601F4C">
      <w:pPr>
        <w:pStyle w:val="3"/>
        <w:shd w:val="clear"/>
        <w:bidi w:val="0"/>
        <w:rPr>
          <w:rFonts w:hint="eastAsia" w:ascii="宋体" w:hAnsi="宋体" w:eastAsia="宋体" w:cs="宋体"/>
          <w:lang w:val="en-US" w:eastAsia="zh-CN"/>
        </w:rPr>
      </w:pPr>
      <w:bookmarkStart w:id="22" w:name="_Toc20097"/>
      <w:r>
        <w:rPr>
          <w:rFonts w:hint="eastAsia" w:ascii="宋体" w:hAnsi="宋体" w:eastAsia="宋体" w:cs="宋体"/>
          <w:lang w:val="en-US" w:eastAsia="zh-CN"/>
        </w:rPr>
        <w:t>2.3本章小结</w:t>
      </w:r>
      <w:bookmarkEnd w:id="22"/>
    </w:p>
    <w:p w14:paraId="1F5496D2">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b w:val="0"/>
          <w:kern w:val="2"/>
          <w:sz w:val="24"/>
          <w:szCs w:val="24"/>
          <w:lang w:val="en-US" w:eastAsia="zh-CN" w:bidi="ar-SA"/>
        </w:rPr>
        <w:t>本章说明了搭建建筑材料不燃性试验自动化测控系统的核心技术体系，系统凭借C#语言和.NET 6框架来做开发，采用Windows Forms (WinForms)搭建出用户界面，核心设计拿状态机模式精确管理试验安排，还运用Modbus RTU协议跟硬件设备进行通信，做到对数据采集和控制。系统把MathNe.Numerics数值库集成好实现温度稳定性自动判断算法，把Entity Framework Core作为数据访问层来用，把试验数据进行持久化存于SQL Server数据库，也运用内存缓存策略对性能加以优化，这些技术一块儿搭建起一个稳定、高效且符合ISO 11820标准的全自动化测控平台的技术根本。</w:t>
      </w:r>
      <w:r>
        <w:rPr>
          <w:rFonts w:hint="eastAsia" w:ascii="宋体" w:hAnsi="宋体" w:eastAsia="宋体" w:cs="宋体"/>
          <w:sz w:val="24"/>
          <w:szCs w:val="24"/>
          <w:lang w:val="en-US" w:eastAsia="zh-CN"/>
        </w:rPr>
        <w:br w:type="page"/>
      </w:r>
    </w:p>
    <w:p w14:paraId="0B05D407">
      <w:pPr>
        <w:pStyle w:val="2"/>
        <w:shd w:val="clear"/>
        <w:bidi w:val="0"/>
        <w:rPr>
          <w:rFonts w:hint="eastAsia" w:ascii="宋体" w:hAnsi="宋体" w:eastAsia="宋体" w:cs="宋体"/>
          <w:lang w:val="en-US" w:eastAsia="zh-CN"/>
        </w:rPr>
      </w:pPr>
      <w:bookmarkStart w:id="23" w:name="_Toc30300"/>
      <w:r>
        <w:rPr>
          <w:rFonts w:hint="eastAsia" w:ascii="宋体" w:hAnsi="宋体" w:eastAsia="宋体" w:cs="宋体"/>
          <w:lang w:val="en-US" w:eastAsia="zh-CN"/>
        </w:rPr>
        <w:t>3 系统分析</w:t>
      </w:r>
      <w:bookmarkEnd w:id="23"/>
    </w:p>
    <w:p w14:paraId="00A43B18">
      <w:pPr>
        <w:pStyle w:val="3"/>
        <w:shd w:val="clear"/>
        <w:bidi w:val="0"/>
        <w:rPr>
          <w:rFonts w:hint="eastAsia" w:ascii="宋体" w:hAnsi="宋体" w:eastAsia="宋体" w:cs="宋体"/>
          <w:lang w:val="en-US" w:eastAsia="zh-CN"/>
        </w:rPr>
      </w:pPr>
      <w:bookmarkStart w:id="24" w:name="_Toc2920"/>
      <w:r>
        <w:rPr>
          <w:rFonts w:hint="eastAsia" w:ascii="宋体" w:hAnsi="宋体" w:eastAsia="宋体" w:cs="宋体"/>
          <w:lang w:val="en-US" w:eastAsia="zh-CN"/>
        </w:rPr>
        <w:t>3.1 可行性分析</w:t>
      </w:r>
      <w:bookmarkEnd w:id="24"/>
    </w:p>
    <w:p w14:paraId="100BED8F">
      <w:pPr>
        <w:pStyle w:val="4"/>
        <w:shd w:val="clear"/>
        <w:bidi w:val="0"/>
        <w:rPr>
          <w:rStyle w:val="18"/>
          <w:rFonts w:hint="eastAsia" w:ascii="宋体" w:hAnsi="宋体" w:eastAsia="宋体" w:cs="宋体"/>
          <w:b/>
          <w:lang w:val="en-US" w:eastAsia="zh-CN"/>
        </w:rPr>
      </w:pPr>
      <w:bookmarkStart w:id="25" w:name="_Toc31836"/>
      <w:r>
        <w:rPr>
          <w:rStyle w:val="18"/>
          <w:rFonts w:hint="eastAsia" w:ascii="宋体" w:hAnsi="宋体" w:eastAsia="宋体" w:cs="宋体"/>
          <w:b/>
          <w:lang w:val="en-US" w:eastAsia="zh-CN"/>
        </w:rPr>
        <w:t>3.1.1 技术可行性</w:t>
      </w:r>
      <w:bookmarkEnd w:id="25"/>
    </w:p>
    <w:p w14:paraId="4A80AF6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本系统技术可行性的基础十分坚实，运用成熟且高效的技术栈来开展搭建工作，系统基于.NET 6跟WinForms平台来做开发，达成了跨平台能力和高性能确保，在通信层面来讲，采用Modbus RTU工业标准协议和FluentModbus库开展工作，做到了跟PID温度控制器及Adam 4018+模块等硬件的稳定、高效数据流通，达成了重点控制需求。Microsoft SQL Server关系型数据库承担起数据持久化的工作，保障海量试验数据的可靠存储以及快速检索，系统设计的时候使用了“多阶段自适应+PID”智能复合控温策略以及基于MathNe.Numerics库的线性拟合温度漂移分析算法，很好地攻克了升温过程及温度稳定性判断的技术难关，系统全流程自动化控制以状态机模式来达成，业务逻辑结构清晰，易于维护与扩展。系统开发过程中，还可通过虚拟串口与Modbus Slave软件构建无硬件仿真测试环境，极大地降低了技术验证与调试风险，为实施提供了有力的技术保障</w:t>
      </w:r>
      <w:r>
        <w:rPr>
          <w:rFonts w:hint="eastAsia" w:ascii="宋体" w:hAnsi="宋体" w:eastAsia="宋体" w:cs="宋体"/>
          <w:sz w:val="24"/>
          <w:szCs w:val="24"/>
          <w:lang w:val="en-US" w:eastAsia="zh-CN"/>
        </w:rPr>
        <w:t>。</w:t>
      </w:r>
    </w:p>
    <w:p w14:paraId="3D38E354">
      <w:pPr>
        <w:pStyle w:val="4"/>
        <w:shd w:val="clear"/>
        <w:bidi w:val="0"/>
        <w:rPr>
          <w:rStyle w:val="18"/>
          <w:rFonts w:hint="eastAsia" w:ascii="宋体" w:hAnsi="宋体" w:eastAsia="宋体" w:cs="宋体"/>
          <w:b/>
          <w:lang w:val="en-US" w:eastAsia="zh-CN"/>
        </w:rPr>
      </w:pPr>
      <w:bookmarkStart w:id="26" w:name="_Toc22372"/>
      <w:r>
        <w:rPr>
          <w:rStyle w:val="18"/>
          <w:rFonts w:hint="eastAsia" w:ascii="宋体" w:hAnsi="宋体" w:eastAsia="宋体" w:cs="宋体"/>
          <w:b/>
          <w:lang w:val="en-US" w:eastAsia="zh-CN"/>
        </w:rPr>
        <w:t>3.1.2 数据可行性</w:t>
      </w:r>
      <w:bookmarkEnd w:id="26"/>
    </w:p>
    <w:p w14:paraId="0CAF0EC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数据可行性是项目成功不可或缺的方面，系统核心数据来源于试验进行的过程，系统以固定800ms的时间间隔来，以Modbus RTU协议自动、高频率地采集炉内温度、试样表面和中心温度、PID输出功率等多路过程数据，该数据流于整个自动化流程当中贯穿，从实时控制、算法计算（类似温度漂移分析）到最终报表做出来咯，数据格式规范、齐全、可追踪，直接满足标准规定的结果分析以及报告制作需求，这些有着高质量的原始数据是后续分析、优化和决策的直接依托，项目实施所必要的软件技术框架、硬件通讯协议规范都已明确，行业标准及市场信息有相关依据可查，信息获取通道畅通，进一步为数据层面的可行性予以支撑。</w:t>
      </w:r>
    </w:p>
    <w:p w14:paraId="08B06B98">
      <w:pPr>
        <w:pStyle w:val="4"/>
        <w:shd w:val="clear"/>
        <w:bidi w:val="0"/>
        <w:rPr>
          <w:rStyle w:val="18"/>
          <w:rFonts w:hint="eastAsia" w:ascii="宋体" w:hAnsi="宋体" w:eastAsia="宋体" w:cs="宋体"/>
          <w:b/>
          <w:lang w:val="en-US" w:eastAsia="zh-CN"/>
        </w:rPr>
      </w:pPr>
      <w:bookmarkStart w:id="27" w:name="_Toc16916"/>
      <w:r>
        <w:rPr>
          <w:rStyle w:val="18"/>
          <w:rFonts w:hint="eastAsia" w:ascii="宋体" w:hAnsi="宋体" w:eastAsia="宋体" w:cs="宋体"/>
          <w:b/>
          <w:lang w:val="en-US" w:eastAsia="zh-CN"/>
        </w:rPr>
        <w:t>3.1.3 经济可行性</w:t>
      </w:r>
      <w:bookmarkEnd w:id="27"/>
      <w:r>
        <w:rPr>
          <w:rStyle w:val="18"/>
          <w:rFonts w:hint="eastAsia" w:ascii="宋体" w:hAnsi="宋体" w:eastAsia="宋体" w:cs="宋体"/>
          <w:b/>
          <w:lang w:val="en-US" w:eastAsia="zh-CN"/>
        </w:rPr>
        <w:t xml:space="preserve"> </w:t>
      </w:r>
    </w:p>
    <w:p w14:paraId="42B1546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系统的核心价值展现出生产效率有极大幅度的提高，利用整个流程自动化，将传统靠人工操作3至4小时的试验，大幅缩短为系统主导把试验完成，人工干预的时间减少到大概10分钟上下，试验整体效率差不多可以提高3到5倍，系统自动化地采集、处理数据，降低了人工记录及计算的主观差错，数据的准确性可得到比较高的保障。对检测实验室跟生产企业而言，这不仅意味着实验室运营成本以及人力成本直接降低，更意味着数据精确可靠带来了产品公信力的上升和市场风险的降低，系统基于主流成熟技术栈来做开发，供应链及生态达到完善水平，开发及后期维护成本的可预测性和可控性较高，该自动化系统的应用可带来一目了然的经济效益，有着较高的经济可行性。</w:t>
      </w:r>
    </w:p>
    <w:p w14:paraId="56FE96C7">
      <w:pPr>
        <w:pStyle w:val="4"/>
        <w:shd w:val="clear"/>
        <w:bidi w:val="0"/>
        <w:rPr>
          <w:rStyle w:val="18"/>
          <w:rFonts w:hint="eastAsia" w:ascii="宋体" w:hAnsi="宋体" w:eastAsia="宋体" w:cs="宋体"/>
          <w:b/>
          <w:lang w:val="en-US" w:eastAsia="zh-CN"/>
        </w:rPr>
      </w:pPr>
      <w:bookmarkStart w:id="28" w:name="_Toc15964"/>
      <w:r>
        <w:rPr>
          <w:rStyle w:val="18"/>
          <w:rFonts w:hint="eastAsia" w:ascii="宋体" w:hAnsi="宋体" w:eastAsia="宋体" w:cs="宋体"/>
          <w:b/>
          <w:lang w:val="en-US" w:eastAsia="zh-CN"/>
        </w:rPr>
        <w:t>3.1.4 法律可行性</w:t>
      </w:r>
      <w:bookmarkEnd w:id="28"/>
    </w:p>
    <w:p w14:paraId="3448126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 xml:space="preserve"> 本项目设计与实施严格依据有关法律法规与技术标准，合规于法律的情况明确，系统的试验流程、判定依据和输出报告完全以最新的ISO 11820 - 2020《建筑材料不燃性试验方法》国际标准来参照，炉内目标温度（750±5℃）、稳定判定有关的条件（范围、漂移、偏差）以及试验规程，均严格按标准要求来做。在消防安全法规不断变严格的环境下，采用完全符合国际与国家相关标准的高度自动化测试系统，是提高合规程度的必要举措</w:t>
      </w:r>
      <w:r>
        <w:rPr>
          <w:rFonts w:hint="eastAsia" w:ascii="宋体" w:hAnsi="宋体" w:eastAsia="宋体" w:cs="宋体"/>
          <w:b w:val="0"/>
          <w:kern w:val="2"/>
          <w:sz w:val="24"/>
          <w:szCs w:val="24"/>
          <w:lang w:val="en-US" w:eastAsia="zh-CN" w:bidi="ar-SA"/>
        </w:rPr>
        <w:t>。</w:t>
      </w:r>
    </w:p>
    <w:p w14:paraId="05C17B83">
      <w:pPr>
        <w:pStyle w:val="3"/>
        <w:shd w:val="clear"/>
        <w:bidi w:val="0"/>
        <w:rPr>
          <w:rFonts w:hint="eastAsia" w:ascii="宋体" w:hAnsi="宋体" w:eastAsia="宋体" w:cs="宋体"/>
          <w:lang w:val="en-US" w:eastAsia="zh-CN"/>
        </w:rPr>
      </w:pPr>
      <w:bookmarkStart w:id="29" w:name="_Toc17774"/>
      <w:r>
        <w:rPr>
          <w:rFonts w:hint="eastAsia" w:ascii="宋体" w:hAnsi="宋体" w:eastAsia="宋体" w:cs="宋体"/>
          <w:lang w:val="en-US" w:eastAsia="zh-CN"/>
        </w:rPr>
        <w:t>3.2业务需求分析</w:t>
      </w:r>
      <w:bookmarkEnd w:id="29"/>
    </w:p>
    <w:p w14:paraId="0CBD19D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本系统想要构建一套标准化、智能化、自动化的建筑材料不燃性试验解决途径，其业务需求核心功能是解决传统人工操作模式的一些痛点，首要需求是开展整个试验流程全生命周期的自动化管理工作，涵盖“新建试验→智能升温并使温度恒定不变→自动采集和处理试验里的数据→自动判定试验结果是否符合要求→自动生成标准报告”的完整流程。系统要可以完全取代人工频繁对电力功率进行调整的操作，以状态机确切导向流程，并根据标准要求自动判断、计算炉温的漂移和偏差，自动判定试验开启的时间点，业务想要系统提供一个直观的、能实时把数据实现可视化展现的操作界面，利于试验员开展状态的监控。系统也应拥有高效的数据管理相关的性能，做到试验记录的集中收集、历史数据查找与结构化报表拿出，以满足检测机构质量追溯以及报告管理的业务需求，更根本的需求是，以业务流程数字化的方式，使操作员从繁杂的体力及脑力劳动中释放出来，使操作员着重于价值更高的研究分析工作</w:t>
      </w:r>
      <w:r>
        <w:rPr>
          <w:rFonts w:hint="eastAsia" w:ascii="宋体" w:hAnsi="宋体" w:eastAsia="宋体" w:cs="宋体"/>
          <w:sz w:val="24"/>
          <w:szCs w:val="24"/>
          <w:lang w:val="en-US" w:eastAsia="zh-CN"/>
        </w:rPr>
        <w:t>。</w:t>
      </w:r>
    </w:p>
    <w:p w14:paraId="11AFD6DA">
      <w:pPr>
        <w:pStyle w:val="3"/>
        <w:shd w:val="clear"/>
        <w:bidi w:val="0"/>
        <w:rPr>
          <w:rFonts w:hint="eastAsia" w:ascii="宋体" w:hAnsi="宋体" w:eastAsia="宋体" w:cs="宋体"/>
          <w:sz w:val="28"/>
          <w:szCs w:val="28"/>
          <w:lang w:val="en-US" w:eastAsia="zh-CN"/>
        </w:rPr>
      </w:pPr>
      <w:bookmarkStart w:id="30" w:name="_Toc27052"/>
      <w:r>
        <w:rPr>
          <w:rFonts w:hint="eastAsia" w:ascii="宋体" w:hAnsi="宋体" w:eastAsia="宋体" w:cs="宋体"/>
          <w:sz w:val="28"/>
          <w:szCs w:val="28"/>
          <w:lang w:val="en-US" w:eastAsia="zh-CN"/>
        </w:rPr>
        <w:t>3.3 非功能需求分析</w:t>
      </w:r>
      <w:bookmarkEnd w:id="30"/>
    </w:p>
    <w:p w14:paraId="7A15B76B">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非功能需求当作系统质量属性的基本约束，直接对系统于实际运行环境里的可用性、稳定性和安全性有着决定性影响，就建筑材料不燃性实验自动化测控系统来讲，它所部署的环境是专业检测实验室，实验任务带有连续性，数据带有严肃性，故而要从性能、可靠性、安全性这三个方面明确清晰的质量要求，以保证系统可以长期稳定地助力实验检测工作</w:t>
      </w:r>
      <w:r>
        <w:rPr>
          <w:rFonts w:hint="eastAsia" w:ascii="宋体" w:hAnsi="宋体" w:eastAsia="宋体" w:cs="宋体"/>
          <w:sz w:val="24"/>
          <w:szCs w:val="24"/>
          <w:lang w:val="en-US" w:eastAsia="zh-CN"/>
        </w:rPr>
        <w:t>。</w:t>
      </w:r>
    </w:p>
    <w:p w14:paraId="06526DF7">
      <w:pPr>
        <w:pStyle w:val="4"/>
        <w:shd w:val="clear"/>
        <w:bidi w:val="0"/>
        <w:rPr>
          <w:rStyle w:val="18"/>
          <w:rFonts w:hint="eastAsia" w:ascii="宋体" w:hAnsi="宋体" w:eastAsia="宋体" w:cs="宋体"/>
          <w:b/>
          <w:lang w:val="en-US" w:eastAsia="zh-CN"/>
        </w:rPr>
      </w:pPr>
      <w:bookmarkStart w:id="31" w:name="_Toc2311"/>
      <w:r>
        <w:rPr>
          <w:rStyle w:val="18"/>
          <w:rFonts w:hint="eastAsia" w:ascii="宋体" w:hAnsi="宋体" w:eastAsia="宋体" w:cs="宋体"/>
          <w:b/>
          <w:lang w:val="en-US" w:eastAsia="zh-CN"/>
        </w:rPr>
        <w:t>3.3.1 性能需求分析</w:t>
      </w:r>
      <w:bookmarkEnd w:id="31"/>
    </w:p>
    <w:p w14:paraId="3A375898">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系统性能需求主要体现在实时响应、数据处理能力跟资源消耗之处，作为自动化的试验设备，该自动化设备数据采集实时性是至关重要的，要实现以800ms的固定时间间隔稳定采集各个传感器的相关数据，以保障绘制准确温度曲线的标准，特别是温度曲线的更新跟数据的显示，应当做到近乎即时，界面响应的延迟要小于100毫秒才可以。在计算性能的相关方面，系统后台要高效地开展高频采集实时数据的处理，尤其每10分钟做一回的线性拟合算法计算，要在秒级这个时间完成，不造成对主数据采集线程的影响，系统应具备支撑大量历史试验数据管理和查询的功能，在生成有着数万数据点和图表的标准试验报告时，整体生成时间要保证在合理范围当中，为使系统长期运行稳定不出问题，系统要做到资源占用处于较低且稳定的境地，尤其是在不断运行的负载情况之下，应让CPU和内存占用处在较低的水平，不会对同一计算机上其他必要的并行作业造成影响</w:t>
      </w:r>
      <w:r>
        <w:rPr>
          <w:rFonts w:hint="default" w:ascii="宋体" w:hAnsi="宋体" w:eastAsia="宋体" w:cs="宋体"/>
          <w:sz w:val="24"/>
          <w:szCs w:val="24"/>
          <w:lang w:val="en-US" w:eastAsia="zh-CN"/>
        </w:rPr>
        <w:t>。</w:t>
      </w:r>
    </w:p>
    <w:p w14:paraId="02E739BA">
      <w:pPr>
        <w:pStyle w:val="4"/>
        <w:shd w:val="clear"/>
        <w:bidi w:val="0"/>
        <w:rPr>
          <w:rStyle w:val="18"/>
          <w:rFonts w:hint="default" w:ascii="宋体" w:hAnsi="宋体" w:eastAsia="宋体" w:cs="宋体"/>
          <w:b/>
          <w:lang w:val="en-US" w:eastAsia="zh-CN"/>
        </w:rPr>
      </w:pPr>
      <w:bookmarkStart w:id="32" w:name="_Toc7524"/>
      <w:r>
        <w:rPr>
          <w:rStyle w:val="18"/>
          <w:rFonts w:hint="default" w:ascii="宋体" w:hAnsi="宋体" w:eastAsia="宋体" w:cs="宋体"/>
          <w:b/>
          <w:lang w:val="en-US" w:eastAsia="zh-CN"/>
        </w:rPr>
        <w:t>3.3.2 可靠性需求分析</w:t>
      </w:r>
      <w:bookmarkEnd w:id="32"/>
    </w:p>
    <w:p w14:paraId="4DB6CC0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的高可靠性是长时间、无人值守自动运行得以实现的基础保障，硬件与核心控制系统要具备7×24小时一直不间断运行的能力，平均无故障运行时间要达到行业较高的水平，就试验过程而言的核心业务逻辑，好似数据采集及温度管理，一定要有有效的容错办法，应该检测硬件通信中断、电源异常、传感器失效等情况，且有相应的恢复或安全处理逻辑。系统价值最直接的呈现为数据的可靠性，系统一定要采用内存缓存、数据库持久化和定期文件备份联合的多层保护办法，保证不管是何种工况下，已采集到的关键试验数据不会丢失或出错，而且可从意外造成的系统中断中恢复至最近的有效状态，与外部硬件装置的通信链路要十分健壮，要采用超时重试机制以及完备的异常日志记录功能，以便在通信有故障出现时可快速诊断并使之恢复</w:t>
      </w:r>
      <w:r>
        <w:rPr>
          <w:rFonts w:hint="default" w:ascii="宋体" w:hAnsi="宋体" w:eastAsia="宋体" w:cs="宋体"/>
          <w:sz w:val="24"/>
          <w:szCs w:val="24"/>
          <w:lang w:val="en-US" w:eastAsia="zh-CN"/>
        </w:rPr>
        <w:t>。</w:t>
      </w:r>
    </w:p>
    <w:p w14:paraId="6201B4E3">
      <w:pPr>
        <w:pStyle w:val="4"/>
        <w:shd w:val="clear"/>
        <w:bidi w:val="0"/>
        <w:rPr>
          <w:rStyle w:val="18"/>
          <w:rFonts w:hint="eastAsia" w:ascii="宋体" w:hAnsi="宋体" w:eastAsia="宋体" w:cs="宋体"/>
          <w:b/>
          <w:lang w:val="en-US" w:eastAsia="zh-CN"/>
        </w:rPr>
      </w:pPr>
      <w:bookmarkStart w:id="33" w:name="_Toc1265"/>
      <w:r>
        <w:rPr>
          <w:rStyle w:val="18"/>
          <w:rFonts w:hint="default" w:ascii="宋体" w:hAnsi="宋体" w:eastAsia="宋体" w:cs="宋体"/>
          <w:b/>
          <w:lang w:val="en-US" w:eastAsia="zh-CN"/>
        </w:rPr>
        <w:t>3.3.3 安全性需求分析</w:t>
      </w:r>
      <w:bookmarkEnd w:id="33"/>
    </w:p>
    <w:p w14:paraId="3A61AC7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系统安全性需求主要围绕着功能操作、数据资产和物理环境这三方面开展有关工作，从功能这个层面讲，系统应拥有完善的用户身份认证跟基于角色的权限控制，保证只有经过授权的操作员方可进行启动试验、修改核心参数等有高风险的操作，全部重大操作，尤其是对设备参数跟历史记录的变动，应当有详细的、不能篡改的操作日志记录。在数据安全有关的方面，系统要让本地存储的数据库和报表文件的数据完整性不被破坏掉，可抵挡未获许可的改动，同时可做到定期或者手动实施的数据备份与灾难恢复，在物理环境的安全相关方面，软件方面应可在试验设备处于加热或高温运行情形时，给出突出的警示信号和安全告知，系统对试验整个进程的完整记录（囊括关键时间点的视频影像）还形成了一种安全追溯机制，给潜在异常事件提供分析和明确责任的相关依据</w:t>
      </w:r>
      <w:r>
        <w:rPr>
          <w:rFonts w:hint="default" w:ascii="宋体" w:hAnsi="宋体" w:eastAsia="宋体" w:cs="宋体"/>
          <w:sz w:val="24"/>
          <w:szCs w:val="24"/>
          <w:lang w:val="en-US" w:eastAsia="zh-CN"/>
        </w:rPr>
        <w:t>。</w:t>
      </w:r>
    </w:p>
    <w:p w14:paraId="3822DCB4">
      <w:pPr>
        <w:pStyle w:val="3"/>
        <w:shd w:val="clear"/>
        <w:bidi w:val="0"/>
        <w:rPr>
          <w:rFonts w:hint="default" w:ascii="宋体" w:hAnsi="宋体" w:eastAsia="宋体" w:cs="宋体"/>
          <w:lang w:val="en-US" w:eastAsia="zh-CN"/>
        </w:rPr>
      </w:pPr>
      <w:bookmarkStart w:id="34" w:name="_Toc11402"/>
      <w:r>
        <w:rPr>
          <w:rFonts w:hint="default" w:ascii="宋体" w:hAnsi="宋体" w:eastAsia="宋体" w:cs="宋体"/>
          <w:lang w:val="en-US" w:eastAsia="zh-CN"/>
        </w:rPr>
        <w:t>3.4 本章小结</w:t>
      </w:r>
      <w:bookmarkEnd w:id="34"/>
    </w:p>
    <w:p w14:paraId="6EB55A3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归纳以上分析，对技术、数据、经济和法律这四方面整体审查，“ISO 11820建筑材料不燃性试验自动化系统”项目有着扎实的落地基础，具有一定程度的综合高可行性，系统业务需求的目标很明确，直接针对当前行业所面对的效率不好、精度不够、操作麻烦的核心痛点。所规定的非功能需求，有800ms高频数据采集的性能约束的相关情况、7×24小时持续运行的可靠性方面的要求，以及贯穿操作、数据和物理各层面的安全保障的相关内容，共同构成衡量系统成功交付与运维的关键质量指标，本章分析得到的结果明白地画出项目的价值蓝图及技术架构，为后续系统的详细设计、开发执行、测试校验以及最终顺利部署明确了方向和提供了依据</w:t>
      </w:r>
      <w:r>
        <w:rPr>
          <w:rFonts w:hint="default" w:ascii="宋体" w:hAnsi="宋体" w:eastAsia="宋体" w:cs="宋体"/>
          <w:sz w:val="24"/>
          <w:szCs w:val="24"/>
          <w:lang w:val="en-US" w:eastAsia="zh-CN"/>
        </w:rPr>
        <w:t>。</w:t>
      </w:r>
    </w:p>
    <w:p w14:paraId="59AEE468">
      <w:pPr>
        <w:shd w:val="clea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7ECBE7D2">
      <w:pPr>
        <w:pStyle w:val="2"/>
        <w:shd w:val="clear"/>
        <w:bidi w:val="0"/>
        <w:rPr>
          <w:rFonts w:hint="eastAsia" w:ascii="宋体" w:hAnsi="宋体" w:eastAsia="宋体" w:cs="宋体"/>
          <w:lang w:val="en-US" w:eastAsia="zh-CN"/>
        </w:rPr>
      </w:pPr>
      <w:bookmarkStart w:id="35" w:name="_Toc30318"/>
      <w:r>
        <w:rPr>
          <w:rFonts w:hint="eastAsia" w:ascii="宋体" w:hAnsi="宋体" w:eastAsia="宋体" w:cs="宋体"/>
          <w:lang w:val="en-US" w:eastAsia="zh-CN"/>
        </w:rPr>
        <w:t>4 系统设计</w:t>
      </w:r>
      <w:bookmarkEnd w:id="35"/>
    </w:p>
    <w:p w14:paraId="59177765">
      <w:pPr>
        <w:keepNext/>
        <w:keepLines/>
        <w:pageBreakBefore w:val="0"/>
        <w:widowControl w:val="0"/>
        <w:shd w:val="clear"/>
        <w:kinsoku/>
        <w:wordWrap/>
        <w:overflowPunct/>
        <w:topLinePunct w:val="0"/>
        <w:autoSpaceDE/>
        <w:autoSpaceDN/>
        <w:bidi w:val="0"/>
        <w:adjustRightInd/>
        <w:snapToGrid/>
        <w:spacing w:line="360" w:lineRule="auto"/>
        <w:ind w:firstLine="480" w:firstLineChars="200"/>
        <w:jc w:val="both"/>
        <w:textAlignment w:val="auto"/>
        <w:outlineLvl w:val="9"/>
        <w:rPr>
          <w:rFonts w:hint="default" w:ascii="宋体" w:hAnsi="宋体" w:eastAsia="宋体" w:cs="宋体"/>
          <w:b w:val="0"/>
          <w:kern w:val="2"/>
          <w:sz w:val="24"/>
          <w:szCs w:val="24"/>
          <w:lang w:val="en-US" w:eastAsia="zh-CN" w:bidi="ar-SA"/>
        </w:rPr>
      </w:pPr>
      <w:r>
        <w:rPr>
          <w:rFonts w:hint="default" w:ascii="宋体" w:hAnsi="宋体" w:eastAsia="宋体" w:cs="宋体"/>
          <w:b w:val="0"/>
          <w:kern w:val="2"/>
          <w:sz w:val="24"/>
          <w:szCs w:val="24"/>
          <w:lang w:val="en-US" w:eastAsia="zh-CN" w:bidi="ar-SA"/>
        </w:rPr>
        <w:t>系统设计阶段是要根据系统分析阶段明确好的需求，敲定系统的整体框架、技术选定、数据库模样和各模块的具体实施办法，本章会对建筑材料不燃性实验自动化测控系统的技术架构、数据库、功能模块和非功能模块的设计做详细阐述，给后续编码实行提供完整的对策</w:t>
      </w:r>
      <w:r>
        <w:rPr>
          <w:rFonts w:hint="eastAsia" w:ascii="宋体" w:hAnsi="宋体" w:cs="宋体"/>
          <w:b w:val="0"/>
          <w:kern w:val="2"/>
          <w:sz w:val="24"/>
          <w:szCs w:val="24"/>
          <w:lang w:val="en-US" w:eastAsia="zh-CN" w:bidi="ar-SA"/>
        </w:rPr>
        <w:t>。</w:t>
      </w:r>
    </w:p>
    <w:p w14:paraId="01B8A382">
      <w:pPr>
        <w:pStyle w:val="3"/>
        <w:shd w:val="clear"/>
        <w:bidi w:val="0"/>
        <w:rPr>
          <w:rFonts w:hint="default" w:ascii="宋体" w:hAnsi="宋体" w:eastAsia="宋体" w:cs="宋体"/>
          <w:lang w:val="en-US" w:eastAsia="zh-CN"/>
        </w:rPr>
      </w:pPr>
      <w:bookmarkStart w:id="36" w:name="_Toc1123"/>
      <w:r>
        <w:rPr>
          <w:rFonts w:hint="default" w:ascii="宋体" w:hAnsi="宋体" w:eastAsia="宋体" w:cs="宋体"/>
          <w:lang w:val="en-US" w:eastAsia="zh-CN"/>
        </w:rPr>
        <w:t>4.1 系统技术架构设计</w:t>
      </w:r>
      <w:bookmarkEnd w:id="36"/>
    </w:p>
    <w:p w14:paraId="5014D1B1">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ISO 11820建筑材料不燃性试验自动化系统运用基于.NET 6的四层技术架构来实现，以让系统的可靠性、可维护性得以保证，符合国际标准，此架构清楚地给出了层次状的职责</w:t>
      </w:r>
      <w:r>
        <w:rPr>
          <w:rFonts w:hint="default" w:ascii="宋体" w:hAnsi="宋体" w:eastAsia="宋体" w:cs="宋体"/>
          <w:sz w:val="24"/>
          <w:szCs w:val="24"/>
          <w:lang w:val="en-US" w:eastAsia="zh-CN"/>
        </w:rPr>
        <w:t xml:space="preserve">。 </w:t>
      </w:r>
    </w:p>
    <w:p w14:paraId="68130755">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硬件层凭借工业标准的Modbus RTU协议跟物理设备交互，一个专门的硬件通信层，在系统当中由ApparatusManipulator类达成实现，负责对与PID温控器和Adam 4018+热电偶采集模块的串行通信进行管理，它对底层Modbus读写指令加以封装，像读取温度数据（地址0x0102）和写入控制方面的指令，为上层呈上标准化的设备控制接口</w:t>
      </w:r>
      <w:r>
        <w:rPr>
          <w:rFonts w:hint="default" w:ascii="宋体" w:hAnsi="宋体" w:eastAsia="宋体" w:cs="宋体"/>
          <w:sz w:val="24"/>
          <w:szCs w:val="24"/>
          <w:lang w:val="en-US" w:eastAsia="zh-CN"/>
        </w:rPr>
        <w:t xml:space="preserve">。 </w:t>
      </w:r>
    </w:p>
    <w:p w14:paraId="0CD738D1">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数据访问与持久化层把Microsoft SQL Server关系型数据库作为核心，担负存储系统当中所有核心数据的事务，以Entity Framework Core（EF Core）这一对象关系映射（ORM）框架为途径，系统使业务实体（像试验、产品）和数据库表实现无缝相连，数据采集服务（DaqWorker）以800毫秒这样的高频率去获取原始数据，并且使用“异步批处理写入数据库”的办法，很好地兼顾了实时性要求与数据库性能方面压力</w:t>
      </w:r>
      <w:r>
        <w:rPr>
          <w:rFonts w:hint="default" w:ascii="宋体" w:hAnsi="宋体" w:eastAsia="宋体" w:cs="宋体"/>
          <w:sz w:val="24"/>
          <w:szCs w:val="24"/>
          <w:lang w:val="en-US" w:eastAsia="zh-CN"/>
        </w:rPr>
        <w:t xml:space="preserve">。 </w:t>
      </w:r>
    </w:p>
    <w:p w14:paraId="2A3B7D7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核心智能位于业务逻辑这一层，试验流程由叫TestMaster1的状态机精确地管理，它规划了Idle（空闲）、Preparing（准备升温）、Ready（就绪待命）、Recording（记录数据）、Complete（完成）等离散状态及转换方面的规则，保证试验严格依照ISO 11820标准的步骤去开展。为了做到高精度控温的标准，系统用“多阶段自适应 + PID自整定”复合温控算法来予以实现，升温刚开始的时段，用分阶段功率控制保护试样，当温度临近目标值750℃的时候，然后切换到硬件PID开展精确的闭环控制，相当关键的是，系统把MathNe.Numerics数学库予以整合，借助线性拟合算法对近10分钟炉温数据做回归分析，用以科学计算温度的漂移，并且联合温度范围与偏差开展三重判断，达成了对标准要求的自动化高规格精准判断</w:t>
      </w:r>
      <w:r>
        <w:rPr>
          <w:rFonts w:hint="eastAsia" w:ascii="宋体" w:hAnsi="宋体" w:eastAsia="宋体" w:cs="宋体"/>
          <w:sz w:val="24"/>
          <w:szCs w:val="24"/>
          <w:lang w:val="en-US" w:eastAsia="zh-CN"/>
        </w:rPr>
        <w:t>。</w:t>
      </w:r>
    </w:p>
    <w:p w14:paraId="193775D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居于最顶层的是表示层，用WinForms技术搭建起图形化用户界面，它主要承担起试验参数配置的任务、做好启动流程的交互事宜，以及达成多通道温度数据的实时可视化，基于状态机所具备的清晰逻辑，界面可动态反映与控制试验的所有进程。整个技术架构开展合理的层次划分并进行模块化整合，使系统在数据处理、设备控制、流程自动化还有用户交互方面稳定高效地运作工作流程，还天然支持借助虚拟串口和Modbus Slave软件搭建起来的无硬件仿真测试环境，给开发和验证带来了极大方便</w:t>
      </w:r>
      <w:r>
        <w:rPr>
          <w:rFonts w:hint="default" w:ascii="宋体" w:hAnsi="宋体" w:eastAsia="宋体" w:cs="宋体"/>
          <w:sz w:val="24"/>
          <w:szCs w:val="24"/>
          <w:lang w:val="en-US" w:eastAsia="zh-CN"/>
        </w:rPr>
        <w:t>。</w:t>
      </w:r>
    </w:p>
    <w:p w14:paraId="470AD580">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4044950" cy="3569970"/>
            <wp:effectExtent l="0" t="0" r="635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4044950" cy="3569970"/>
                    </a:xfrm>
                    <a:prstGeom prst="rect">
                      <a:avLst/>
                    </a:prstGeom>
                    <a:noFill/>
                    <a:ln>
                      <a:noFill/>
                    </a:ln>
                  </pic:spPr>
                </pic:pic>
              </a:graphicData>
            </a:graphic>
          </wp:inline>
        </w:drawing>
      </w:r>
    </w:p>
    <w:p w14:paraId="60CAE1C7">
      <w:pPr>
        <w:pStyle w:val="6"/>
        <w:shd w:val="clear"/>
        <w:bidi w:val="0"/>
        <w:rPr>
          <w:rFonts w:hint="eastAsia"/>
          <w:lang w:val="en-US" w:eastAsia="zh-CN"/>
        </w:rPr>
      </w:pPr>
      <w:r>
        <w:rPr>
          <w:rFonts w:hint="eastAsia"/>
        </w:rPr>
        <w:t>图</w:t>
      </w:r>
      <w:r>
        <w:rPr>
          <w:rFonts w:hint="eastAsia"/>
          <w:lang w:val="en-US" w:eastAsia="zh-CN"/>
        </w:rPr>
        <w:t>4-</w:t>
      </w:r>
      <w:r>
        <w:rPr>
          <w:rFonts w:hint="eastAsia"/>
        </w:rPr>
        <w:fldChar w:fldCharType="begin"/>
      </w:r>
      <w:r>
        <w:rPr>
          <w:rFonts w:hint="eastAsia"/>
        </w:rPr>
        <w:instrText xml:space="preserve"> SEQ 图 \* ARABIC </w:instrText>
      </w:r>
      <w:r>
        <w:rPr>
          <w:rFonts w:hint="eastAsia"/>
        </w:rPr>
        <w:fldChar w:fldCharType="separate"/>
      </w:r>
      <w:r>
        <w:rPr>
          <w:rFonts w:hint="eastAsia"/>
        </w:rPr>
        <w:t>1</w:t>
      </w:r>
      <w:r>
        <w:rPr>
          <w:rFonts w:hint="eastAsia"/>
        </w:rPr>
        <w:fldChar w:fldCharType="end"/>
      </w:r>
      <w:r>
        <w:rPr>
          <w:rFonts w:hint="eastAsia"/>
          <w:lang w:eastAsia="zh-CN"/>
        </w:rPr>
        <w:t xml:space="preserve"> 系统架构图</w:t>
      </w:r>
    </w:p>
    <w:p w14:paraId="01B8A752">
      <w:pPr>
        <w:pStyle w:val="3"/>
        <w:shd w:val="clear"/>
        <w:bidi w:val="0"/>
        <w:rPr>
          <w:rFonts w:hint="default" w:ascii="宋体" w:hAnsi="宋体" w:eastAsia="宋体" w:cs="宋体"/>
          <w:lang w:val="en-US" w:eastAsia="zh-CN"/>
        </w:rPr>
      </w:pPr>
      <w:bookmarkStart w:id="37" w:name="_Toc20114"/>
      <w:r>
        <w:rPr>
          <w:rFonts w:hint="default" w:ascii="宋体" w:hAnsi="宋体" w:eastAsia="宋体" w:cs="宋体"/>
          <w:lang w:val="en-US" w:eastAsia="zh-CN"/>
        </w:rPr>
        <w:t>4.2 数据库设计</w:t>
      </w:r>
      <w:bookmarkEnd w:id="37"/>
    </w:p>
    <w:p w14:paraId="190B83BE">
      <w:pPr>
        <w:pStyle w:val="4"/>
        <w:shd w:val="clear"/>
        <w:bidi w:val="0"/>
        <w:rPr>
          <w:rStyle w:val="18"/>
          <w:rFonts w:hint="default" w:ascii="宋体" w:hAnsi="宋体" w:eastAsia="宋体" w:cs="宋体"/>
          <w:b/>
          <w:lang w:val="en-US" w:eastAsia="zh-CN"/>
        </w:rPr>
      </w:pPr>
      <w:bookmarkStart w:id="38" w:name="_Toc12046"/>
      <w:r>
        <w:rPr>
          <w:rStyle w:val="18"/>
          <w:rFonts w:hint="default" w:ascii="宋体" w:hAnsi="宋体" w:eastAsia="宋体" w:cs="宋体"/>
          <w:b/>
          <w:lang w:val="en-US" w:eastAsia="zh-CN"/>
        </w:rPr>
        <w:t>4.2.1 整体设计</w:t>
      </w:r>
      <w:bookmarkEnd w:id="38"/>
    </w:p>
    <w:p w14:paraId="78E38CE6">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本系统采用Microsoft SQL Server数据库，作为核心数据存储中枢。设计遵循关系型数据库范式原则，重点保障数据的完整性、一致性和可追溯性。数据库结构紧密围绕试验过程展开，设计了多个互相关联的表，用以存储产品信息、用户信息、设备配置、实时传感器数据、试验记录和校准信息。所有CRUD（增删改查）操作通过Entity Framework Core进行封装，实现了数据库的高效访问。</w:t>
      </w:r>
    </w:p>
    <w:p w14:paraId="0BFE7D6C">
      <w:pPr>
        <w:pStyle w:val="4"/>
        <w:shd w:val="clear"/>
        <w:bidi w:val="0"/>
        <w:rPr>
          <w:rStyle w:val="18"/>
          <w:rFonts w:hint="default" w:ascii="宋体" w:hAnsi="宋体" w:eastAsia="宋体" w:cs="宋体"/>
          <w:b/>
          <w:lang w:val="en-US" w:eastAsia="zh-CN"/>
        </w:rPr>
      </w:pPr>
      <w:bookmarkStart w:id="39" w:name="_Toc16112"/>
      <w:r>
        <w:rPr>
          <w:rStyle w:val="18"/>
          <w:rFonts w:hint="default" w:ascii="宋体" w:hAnsi="宋体" w:eastAsia="宋体" w:cs="宋体"/>
          <w:b/>
          <w:lang w:val="en-US" w:eastAsia="zh-CN"/>
        </w:rPr>
        <w:t>4.2.2 ER 图说明</w:t>
      </w:r>
      <w:bookmarkEnd w:id="39"/>
    </w:p>
    <w:p w14:paraId="7175B6FA">
      <w:pPr>
        <w:keepNext w:val="0"/>
        <w:keepLines w:val="0"/>
        <w:pageBreakBefore w:val="0"/>
        <w:widowControl w:val="0"/>
        <w:numPr>
          <w:ilvl w:val="0"/>
          <w:numId w:val="0"/>
        </w:numPr>
        <w:shd w:val="clea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‌Operator（操作员）‌：存储系统操作员的身份信息，是试验操作的主体记录</w:t>
      </w:r>
      <w:r>
        <w:rPr>
          <w:rFonts w:hint="eastAsia" w:ascii="宋体" w:hAnsi="宋体" w:eastAsia="宋体" w:cs="宋体"/>
          <w:sz w:val="24"/>
          <w:szCs w:val="24"/>
          <w:lang w:val="en-US" w:eastAsia="zh-CN"/>
        </w:rPr>
        <w:t>。</w:t>
      </w:r>
    </w:p>
    <w:p w14:paraId="722045E5">
      <w:pPr>
        <w:keepNext w:val="0"/>
        <w:keepLines w:val="0"/>
        <w:pageBreakBefore w:val="0"/>
        <w:widowControl w:val="0"/>
        <w:numPr>
          <w:ilvl w:val="0"/>
          <w:numId w:val="0"/>
        </w:numPr>
        <w:shd w:val="clea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 xml:space="preserve">‌Productmaster（产品主表）‌：存储待测试建筑材料的核心信息，是试验的对象基础。 </w:t>
      </w:r>
    </w:p>
    <w:p w14:paraId="732B9025">
      <w:pPr>
        <w:keepNext w:val="0"/>
        <w:keepLines w:val="0"/>
        <w:pageBreakBefore w:val="0"/>
        <w:widowControl w:val="0"/>
        <w:numPr>
          <w:ilvl w:val="0"/>
          <w:numId w:val="0"/>
        </w:numPr>
        <w:shd w:val="clea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 xml:space="preserve">‌Testmaster（试验主表）‌：记录每一次试验的全流程关键数据，是系统的核心业务表。 </w:t>
      </w:r>
    </w:p>
    <w:p w14:paraId="0D8FE719">
      <w:pPr>
        <w:keepNext w:val="0"/>
        <w:keepLines w:val="0"/>
        <w:pageBreakBefore w:val="0"/>
        <w:widowControl w:val="0"/>
        <w:numPr>
          <w:ilvl w:val="0"/>
          <w:numId w:val="0"/>
        </w:numPr>
        <w:shd w:val="clear"/>
        <w:kinsoku/>
        <w:wordWrap/>
        <w:overflowPunct/>
        <w:topLinePunct w:val="0"/>
        <w:autoSpaceDE/>
        <w:autoSpaceDN/>
        <w:bidi w:val="0"/>
        <w:adjustRightInd/>
        <w:snapToGrid/>
        <w:spacing w:line="360" w:lineRule="auto"/>
        <w:ind w:lef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‌关联关系‌：Testmaster与Productmaster为一对多关系，一个产品可对应多次试验，Testmaster通过ProductId外键关联Productmaster的主键ProductId，实现试验与产品的绑定。</w:t>
      </w:r>
    </w:p>
    <w:p w14:paraId="139B0747">
      <w:pPr>
        <w:shd w:val="clear"/>
        <w:jc w:val="center"/>
      </w:pPr>
      <w:r>
        <w:drawing>
          <wp:inline distT="0" distB="0" distL="114300" distR="114300">
            <wp:extent cx="4765040" cy="4061460"/>
            <wp:effectExtent l="0" t="0" r="1016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4765040" cy="4061460"/>
                    </a:xfrm>
                    <a:prstGeom prst="rect">
                      <a:avLst/>
                    </a:prstGeom>
                    <a:noFill/>
                    <a:ln>
                      <a:noFill/>
                    </a:ln>
                  </pic:spPr>
                </pic:pic>
              </a:graphicData>
            </a:graphic>
          </wp:inline>
        </w:drawing>
      </w:r>
    </w:p>
    <w:p w14:paraId="141BD7DE">
      <w:pPr>
        <w:pStyle w:val="6"/>
        <w:shd w:val="clear"/>
        <w:bidi w:val="0"/>
        <w:rPr>
          <w:rFonts w:hint="default"/>
          <w:lang w:val="en-US" w:eastAsia="zh-CN"/>
        </w:rPr>
      </w:pPr>
      <w:r>
        <w:rPr>
          <w:rFonts w:hint="eastAsia"/>
        </w:rPr>
        <w:t xml:space="preserve">图 </w:t>
      </w:r>
      <w:r>
        <w:rPr>
          <w:rFonts w:hint="eastAsia"/>
          <w:lang w:val="en-US" w:eastAsia="zh-CN"/>
        </w:rPr>
        <w:t>4-2</w:t>
      </w:r>
      <w:r>
        <w:rPr>
          <w:rFonts w:hint="eastAsia"/>
          <w:lang w:eastAsia="zh-CN"/>
        </w:rPr>
        <w:t xml:space="preserve"> ER图说明</w:t>
      </w:r>
    </w:p>
    <w:p w14:paraId="7F03C735">
      <w:pPr>
        <w:pStyle w:val="4"/>
        <w:shd w:val="clear"/>
        <w:bidi w:val="0"/>
        <w:rPr>
          <w:rStyle w:val="18"/>
          <w:rFonts w:hint="default" w:ascii="宋体" w:hAnsi="宋体" w:eastAsia="宋体" w:cs="宋体"/>
          <w:b/>
          <w:lang w:val="en-US" w:eastAsia="zh-CN"/>
        </w:rPr>
      </w:pPr>
      <w:bookmarkStart w:id="40" w:name="_Toc28664"/>
      <w:r>
        <w:rPr>
          <w:rStyle w:val="18"/>
          <w:rFonts w:hint="default" w:ascii="宋体" w:hAnsi="宋体" w:eastAsia="宋体" w:cs="宋体"/>
          <w:b/>
          <w:lang w:val="en-US" w:eastAsia="zh-CN"/>
        </w:rPr>
        <w:t>4.2.3 表字段设计</w:t>
      </w:r>
      <w:bookmarkEnd w:id="40"/>
    </w:p>
    <w:p w14:paraId="7937FB27">
      <w:pPr>
        <w:shd w:val="clear"/>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主要数据表的关键字段及其数据类型设计如下</w:t>
      </w:r>
      <w:r>
        <w:rPr>
          <w:rFonts w:hint="eastAsia" w:ascii="宋体" w:hAnsi="宋体" w:eastAsia="宋体" w:cs="宋体"/>
          <w:kern w:val="2"/>
          <w:sz w:val="24"/>
          <w:szCs w:val="24"/>
          <w:lang w:val="en-US" w:eastAsia="zh-CN" w:bidi="ar-SA"/>
        </w:rPr>
        <w:t>:</w:t>
      </w:r>
    </w:p>
    <w:p w14:paraId="631BBC2F">
      <w:pPr>
        <w:shd w:val="clear"/>
        <w:rPr>
          <w:rFonts w:hint="eastAsia" w:ascii="宋体" w:hAnsi="宋体" w:eastAsia="宋体" w:cs="宋体"/>
          <w:kern w:val="2"/>
          <w:sz w:val="24"/>
          <w:szCs w:val="24"/>
          <w:lang w:val="en-US" w:eastAsia="zh-CN" w:bidi="ar-SA"/>
        </w:rPr>
      </w:pPr>
    </w:p>
    <w:p w14:paraId="582BCB38">
      <w:pPr>
        <w:pStyle w:val="6"/>
        <w:shd w:val="clear"/>
        <w:bidi w:val="0"/>
        <w:rPr>
          <w:rFonts w:hint="eastAsia"/>
          <w:lang w:val="en-US" w:eastAsia="zh-CN"/>
        </w:rPr>
      </w:pPr>
      <w:r>
        <w:rPr>
          <w:rFonts w:hint="eastAsia"/>
        </w:rPr>
        <w:t>表</w:t>
      </w:r>
      <w:r>
        <w:rPr>
          <w:rFonts w:hint="eastAsia"/>
          <w:lang w:val="en-US" w:eastAsia="zh-CN"/>
        </w:rPr>
        <w:t>4-</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lang w:eastAsia="zh-CN"/>
        </w:rPr>
        <w:t xml:space="preserve"> testmaster（试验主表）</w:t>
      </w:r>
    </w:p>
    <w:tbl>
      <w:tblPr>
        <w:tblStyle w:val="1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22"/>
        <w:gridCol w:w="2595"/>
        <w:gridCol w:w="2605"/>
      </w:tblGrid>
      <w:tr w14:paraId="71520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single" w:color="000000" w:sz="12" w:space="0"/>
              <w:left w:val="nil"/>
              <w:bottom w:val="single" w:color="000000" w:sz="4" w:space="0"/>
              <w:right w:val="nil"/>
              <w:tl2br w:val="nil"/>
            </w:tcBorders>
            <w:shd w:val="clear" w:color="auto" w:fill="auto"/>
            <w:noWrap/>
            <w:vAlign w:val="center"/>
          </w:tcPr>
          <w:p w14:paraId="3522E174">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字段</w:t>
            </w:r>
          </w:p>
        </w:tc>
        <w:tc>
          <w:tcPr>
            <w:tcW w:w="2870" w:type="dxa"/>
            <w:tcBorders>
              <w:top w:val="single" w:color="000000" w:sz="12" w:space="0"/>
              <w:left w:val="nil"/>
              <w:bottom w:val="single" w:color="000000" w:sz="4" w:space="0"/>
              <w:right w:val="nil"/>
            </w:tcBorders>
            <w:shd w:val="clear" w:color="auto" w:fill="auto"/>
            <w:noWrap/>
            <w:vAlign w:val="center"/>
          </w:tcPr>
          <w:p w14:paraId="49520AFC">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类型</w:t>
            </w:r>
          </w:p>
        </w:tc>
        <w:tc>
          <w:tcPr>
            <w:tcW w:w="2880" w:type="dxa"/>
            <w:tcBorders>
              <w:top w:val="single" w:color="000000" w:sz="12" w:space="0"/>
              <w:left w:val="nil"/>
              <w:bottom w:val="single" w:color="000000" w:sz="4" w:space="0"/>
              <w:right w:val="nil"/>
            </w:tcBorders>
            <w:shd w:val="clear" w:color="auto" w:fill="auto"/>
            <w:noWrap/>
            <w:vAlign w:val="center"/>
          </w:tcPr>
          <w:p w14:paraId="007A5F4E">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说明</w:t>
            </w:r>
          </w:p>
        </w:tc>
      </w:tr>
      <w:tr w14:paraId="0D9EE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2" w:hRule="atLeast"/>
          <w:jc w:val="center"/>
        </w:trPr>
        <w:tc>
          <w:tcPr>
            <w:tcW w:w="0" w:type="auto"/>
            <w:tcBorders>
              <w:top w:val="single" w:color="000000" w:sz="4" w:space="0"/>
              <w:left w:val="nil"/>
              <w:bottom w:val="nil"/>
              <w:right w:val="nil"/>
            </w:tcBorders>
            <w:shd w:val="clear" w:color="auto" w:fill="auto"/>
            <w:noWrap/>
            <w:vAlign w:val="center"/>
          </w:tcPr>
          <w:p w14:paraId="3AC3BBD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productid</w:t>
            </w:r>
          </w:p>
        </w:tc>
        <w:tc>
          <w:tcPr>
            <w:tcW w:w="0" w:type="auto"/>
            <w:tcBorders>
              <w:top w:val="single" w:color="000000" w:sz="4" w:space="0"/>
              <w:left w:val="nil"/>
              <w:bottom w:val="nil"/>
              <w:right w:val="nil"/>
            </w:tcBorders>
            <w:shd w:val="clear" w:color="auto" w:fill="auto"/>
            <w:noWrap/>
            <w:vAlign w:val="center"/>
          </w:tcPr>
          <w:p w14:paraId="5E49748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0" w:type="auto"/>
            <w:tcBorders>
              <w:top w:val="single" w:color="000000" w:sz="4" w:space="0"/>
              <w:left w:val="nil"/>
              <w:bottom w:val="nil"/>
              <w:right w:val="nil"/>
            </w:tcBorders>
            <w:shd w:val="clear" w:color="auto" w:fill="auto"/>
            <w:noWrap/>
            <w:vAlign w:val="center"/>
          </w:tcPr>
          <w:p w14:paraId="6E0ABDB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产品ID</w:t>
            </w:r>
          </w:p>
        </w:tc>
      </w:tr>
      <w:tr w14:paraId="5B1D0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auto"/>
            <w:noWrap/>
            <w:vAlign w:val="center"/>
          </w:tcPr>
          <w:p w14:paraId="5AB3F8E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testid</w:t>
            </w:r>
          </w:p>
        </w:tc>
        <w:tc>
          <w:tcPr>
            <w:tcW w:w="0" w:type="auto"/>
            <w:tcBorders>
              <w:top w:val="nil"/>
              <w:left w:val="nil"/>
              <w:bottom w:val="nil"/>
              <w:right w:val="nil"/>
            </w:tcBorders>
            <w:shd w:val="clear" w:color="auto" w:fill="auto"/>
            <w:noWrap/>
            <w:vAlign w:val="center"/>
          </w:tcPr>
          <w:p w14:paraId="50FC1FB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0" w:type="auto"/>
            <w:tcBorders>
              <w:top w:val="nil"/>
              <w:left w:val="nil"/>
              <w:bottom w:val="nil"/>
              <w:right w:val="nil"/>
            </w:tcBorders>
            <w:shd w:val="clear" w:color="auto" w:fill="auto"/>
            <w:noWrap/>
            <w:vAlign w:val="center"/>
          </w:tcPr>
          <w:p w14:paraId="4426AD8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测试ID（主键）</w:t>
            </w:r>
          </w:p>
        </w:tc>
      </w:tr>
      <w:tr w14:paraId="353BC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238102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ambtemp</w:t>
            </w:r>
          </w:p>
        </w:tc>
        <w:tc>
          <w:tcPr>
            <w:tcW w:w="0" w:type="auto"/>
            <w:tcBorders>
              <w:top w:val="nil"/>
              <w:left w:val="nil"/>
              <w:bottom w:val="nil"/>
              <w:right w:val="nil"/>
            </w:tcBorders>
            <w:shd w:val="clear" w:color="auto" w:fill="auto"/>
            <w:noWrap/>
            <w:vAlign w:val="center"/>
          </w:tcPr>
          <w:p w14:paraId="5DBE453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6BEE8A5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环境温度</w:t>
            </w:r>
          </w:p>
        </w:tc>
      </w:tr>
      <w:tr w14:paraId="78104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52627ED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ambhumi</w:t>
            </w:r>
          </w:p>
        </w:tc>
        <w:tc>
          <w:tcPr>
            <w:tcW w:w="0" w:type="auto"/>
            <w:tcBorders>
              <w:top w:val="nil"/>
              <w:left w:val="nil"/>
              <w:bottom w:val="nil"/>
              <w:right w:val="nil"/>
            </w:tcBorders>
            <w:shd w:val="clear" w:color="auto" w:fill="auto"/>
            <w:noWrap/>
            <w:vAlign w:val="center"/>
          </w:tcPr>
          <w:p w14:paraId="361446E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63DF47C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环境湿度</w:t>
            </w:r>
          </w:p>
        </w:tc>
      </w:tr>
      <w:tr w14:paraId="49ED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29AC88A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testdate</w:t>
            </w:r>
          </w:p>
        </w:tc>
        <w:tc>
          <w:tcPr>
            <w:tcW w:w="0" w:type="auto"/>
            <w:tcBorders>
              <w:top w:val="nil"/>
              <w:left w:val="nil"/>
              <w:bottom w:val="nil"/>
              <w:right w:val="nil"/>
            </w:tcBorders>
            <w:shd w:val="clear" w:color="auto" w:fill="auto"/>
            <w:noWrap/>
            <w:vAlign w:val="center"/>
          </w:tcPr>
          <w:p w14:paraId="05CB940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date</w:t>
            </w:r>
          </w:p>
        </w:tc>
        <w:tc>
          <w:tcPr>
            <w:tcW w:w="0" w:type="auto"/>
            <w:tcBorders>
              <w:top w:val="nil"/>
              <w:left w:val="nil"/>
              <w:bottom w:val="nil"/>
              <w:right w:val="nil"/>
            </w:tcBorders>
            <w:shd w:val="clear" w:color="auto" w:fill="auto"/>
            <w:noWrap/>
            <w:vAlign w:val="center"/>
          </w:tcPr>
          <w:p w14:paraId="34129F5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测试日期</w:t>
            </w:r>
          </w:p>
        </w:tc>
      </w:tr>
      <w:tr w14:paraId="3A49E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4B957B0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totaltesttime</w:t>
            </w:r>
          </w:p>
        </w:tc>
        <w:tc>
          <w:tcPr>
            <w:tcW w:w="0" w:type="auto"/>
            <w:tcBorders>
              <w:top w:val="nil"/>
              <w:left w:val="nil"/>
              <w:bottom w:val="nil"/>
              <w:right w:val="nil"/>
            </w:tcBorders>
            <w:shd w:val="clear" w:color="auto" w:fill="auto"/>
            <w:noWrap/>
            <w:vAlign w:val="center"/>
          </w:tcPr>
          <w:p w14:paraId="76208DD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int</w:t>
            </w:r>
          </w:p>
        </w:tc>
        <w:tc>
          <w:tcPr>
            <w:tcW w:w="0" w:type="auto"/>
            <w:tcBorders>
              <w:top w:val="nil"/>
              <w:left w:val="nil"/>
              <w:bottom w:val="nil"/>
              <w:right w:val="nil"/>
            </w:tcBorders>
            <w:shd w:val="clear" w:color="auto" w:fill="auto"/>
            <w:noWrap/>
            <w:vAlign w:val="center"/>
          </w:tcPr>
          <w:p w14:paraId="5C00922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总测试时间</w:t>
            </w:r>
          </w:p>
        </w:tc>
      </w:tr>
      <w:tr w14:paraId="5660B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6BF286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according</w:t>
            </w:r>
          </w:p>
        </w:tc>
        <w:tc>
          <w:tcPr>
            <w:tcW w:w="0" w:type="auto"/>
            <w:tcBorders>
              <w:top w:val="nil"/>
              <w:left w:val="nil"/>
              <w:bottom w:val="nil"/>
              <w:right w:val="nil"/>
            </w:tcBorders>
            <w:shd w:val="clear" w:color="auto" w:fill="auto"/>
            <w:noWrap/>
            <w:vAlign w:val="center"/>
          </w:tcPr>
          <w:p w14:paraId="65435BF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varchar(1024)</w:t>
            </w:r>
          </w:p>
        </w:tc>
        <w:tc>
          <w:tcPr>
            <w:tcW w:w="0" w:type="auto"/>
            <w:tcBorders>
              <w:top w:val="nil"/>
              <w:left w:val="nil"/>
              <w:bottom w:val="nil"/>
              <w:right w:val="nil"/>
            </w:tcBorders>
            <w:shd w:val="clear" w:color="auto" w:fill="auto"/>
            <w:noWrap/>
            <w:vAlign w:val="center"/>
          </w:tcPr>
          <w:p w14:paraId="41343AA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依据标准</w:t>
            </w:r>
          </w:p>
        </w:tc>
      </w:tr>
      <w:tr w14:paraId="3164C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4ED2FC4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operator</w:t>
            </w:r>
          </w:p>
        </w:tc>
        <w:tc>
          <w:tcPr>
            <w:tcW w:w="0" w:type="auto"/>
            <w:tcBorders>
              <w:top w:val="nil"/>
              <w:left w:val="nil"/>
              <w:bottom w:val="nil"/>
              <w:right w:val="nil"/>
            </w:tcBorders>
            <w:shd w:val="clear" w:color="auto" w:fill="auto"/>
            <w:noWrap/>
            <w:vAlign w:val="center"/>
          </w:tcPr>
          <w:p w14:paraId="6748827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0" w:type="auto"/>
            <w:tcBorders>
              <w:top w:val="nil"/>
              <w:left w:val="nil"/>
              <w:bottom w:val="nil"/>
              <w:right w:val="nil"/>
            </w:tcBorders>
            <w:shd w:val="clear" w:color="auto" w:fill="auto"/>
            <w:noWrap/>
            <w:vAlign w:val="center"/>
          </w:tcPr>
          <w:p w14:paraId="7C2EBCB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操作员</w:t>
            </w:r>
          </w:p>
        </w:tc>
      </w:tr>
      <w:tr w14:paraId="2A827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14A0F0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apparatusid</w:t>
            </w:r>
          </w:p>
        </w:tc>
        <w:tc>
          <w:tcPr>
            <w:tcW w:w="0" w:type="auto"/>
            <w:tcBorders>
              <w:top w:val="nil"/>
              <w:left w:val="nil"/>
              <w:bottom w:val="nil"/>
              <w:right w:val="nil"/>
            </w:tcBorders>
            <w:shd w:val="clear" w:color="auto" w:fill="auto"/>
            <w:noWrap/>
            <w:vAlign w:val="center"/>
          </w:tcPr>
          <w:p w14:paraId="7ED115D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varchar(16)</w:t>
            </w:r>
          </w:p>
        </w:tc>
        <w:tc>
          <w:tcPr>
            <w:tcW w:w="0" w:type="auto"/>
            <w:tcBorders>
              <w:top w:val="nil"/>
              <w:left w:val="nil"/>
              <w:bottom w:val="nil"/>
              <w:right w:val="nil"/>
            </w:tcBorders>
            <w:shd w:val="clear" w:color="auto" w:fill="auto"/>
            <w:noWrap/>
            <w:vAlign w:val="center"/>
          </w:tcPr>
          <w:p w14:paraId="448D248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设备ID</w:t>
            </w:r>
          </w:p>
        </w:tc>
      </w:tr>
      <w:tr w14:paraId="0FD1C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0365DBB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apparatusname</w:t>
            </w:r>
          </w:p>
        </w:tc>
        <w:tc>
          <w:tcPr>
            <w:tcW w:w="0" w:type="auto"/>
            <w:tcBorders>
              <w:top w:val="nil"/>
              <w:left w:val="nil"/>
              <w:bottom w:val="nil"/>
              <w:right w:val="nil"/>
            </w:tcBorders>
            <w:shd w:val="clear" w:color="auto" w:fill="auto"/>
            <w:noWrap/>
            <w:vAlign w:val="center"/>
          </w:tcPr>
          <w:p w14:paraId="4FE5C05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0" w:type="auto"/>
            <w:tcBorders>
              <w:top w:val="nil"/>
              <w:left w:val="nil"/>
              <w:bottom w:val="nil"/>
              <w:right w:val="nil"/>
            </w:tcBorders>
            <w:shd w:val="clear" w:color="auto" w:fill="auto"/>
            <w:noWrap/>
            <w:vAlign w:val="center"/>
          </w:tcPr>
          <w:p w14:paraId="52A77CB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设备名称</w:t>
            </w:r>
          </w:p>
        </w:tc>
      </w:tr>
      <w:tr w14:paraId="33229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A9585D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apparatuschkdate</w:t>
            </w:r>
          </w:p>
        </w:tc>
        <w:tc>
          <w:tcPr>
            <w:tcW w:w="0" w:type="auto"/>
            <w:tcBorders>
              <w:top w:val="nil"/>
              <w:left w:val="nil"/>
              <w:bottom w:val="nil"/>
              <w:right w:val="nil"/>
            </w:tcBorders>
            <w:shd w:val="clear" w:color="auto" w:fill="auto"/>
            <w:noWrap/>
            <w:vAlign w:val="center"/>
          </w:tcPr>
          <w:p w14:paraId="48ADC75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date</w:t>
            </w:r>
          </w:p>
        </w:tc>
        <w:tc>
          <w:tcPr>
            <w:tcW w:w="0" w:type="auto"/>
            <w:tcBorders>
              <w:top w:val="nil"/>
              <w:left w:val="nil"/>
              <w:bottom w:val="nil"/>
              <w:right w:val="nil"/>
            </w:tcBorders>
            <w:shd w:val="clear" w:color="auto" w:fill="auto"/>
            <w:noWrap/>
            <w:vAlign w:val="center"/>
          </w:tcPr>
          <w:p w14:paraId="4D8CDEC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设备检定日期</w:t>
            </w:r>
          </w:p>
        </w:tc>
      </w:tr>
      <w:tr w14:paraId="6613B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D4A3BA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constpower</w:t>
            </w:r>
          </w:p>
        </w:tc>
        <w:tc>
          <w:tcPr>
            <w:tcW w:w="0" w:type="auto"/>
            <w:tcBorders>
              <w:top w:val="nil"/>
              <w:left w:val="nil"/>
              <w:bottom w:val="nil"/>
              <w:right w:val="nil"/>
            </w:tcBorders>
            <w:shd w:val="clear" w:color="auto" w:fill="auto"/>
            <w:noWrap/>
            <w:vAlign w:val="center"/>
          </w:tcPr>
          <w:p w14:paraId="0D7D6E5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int</w:t>
            </w:r>
          </w:p>
        </w:tc>
        <w:tc>
          <w:tcPr>
            <w:tcW w:w="0" w:type="auto"/>
            <w:tcBorders>
              <w:top w:val="nil"/>
              <w:left w:val="nil"/>
              <w:bottom w:val="nil"/>
              <w:right w:val="nil"/>
            </w:tcBorders>
            <w:shd w:val="clear" w:color="auto" w:fill="auto"/>
            <w:noWrap/>
            <w:vAlign w:val="center"/>
          </w:tcPr>
          <w:p w14:paraId="31707A2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恒定功率</w:t>
            </w:r>
          </w:p>
        </w:tc>
      </w:tr>
      <w:tr w14:paraId="5AE70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5A10ADE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rptno</w:t>
            </w:r>
          </w:p>
        </w:tc>
        <w:tc>
          <w:tcPr>
            <w:tcW w:w="0" w:type="auto"/>
            <w:tcBorders>
              <w:top w:val="nil"/>
              <w:left w:val="nil"/>
              <w:bottom w:val="nil"/>
              <w:right w:val="nil"/>
            </w:tcBorders>
            <w:shd w:val="clear" w:color="auto" w:fill="auto"/>
            <w:noWrap/>
            <w:vAlign w:val="center"/>
          </w:tcPr>
          <w:p w14:paraId="1789136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0" w:type="auto"/>
            <w:tcBorders>
              <w:top w:val="nil"/>
              <w:left w:val="nil"/>
              <w:bottom w:val="nil"/>
              <w:right w:val="nil"/>
            </w:tcBorders>
            <w:shd w:val="clear" w:color="auto" w:fill="auto"/>
            <w:noWrap/>
            <w:vAlign w:val="center"/>
          </w:tcPr>
          <w:p w14:paraId="0B08957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报告编号</w:t>
            </w:r>
          </w:p>
        </w:tc>
      </w:tr>
      <w:tr w14:paraId="036A1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0C78ABF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preweight</w:t>
            </w:r>
          </w:p>
        </w:tc>
        <w:tc>
          <w:tcPr>
            <w:tcW w:w="0" w:type="auto"/>
            <w:tcBorders>
              <w:top w:val="nil"/>
              <w:left w:val="nil"/>
              <w:bottom w:val="nil"/>
              <w:right w:val="nil"/>
            </w:tcBorders>
            <w:shd w:val="clear" w:color="auto" w:fill="auto"/>
            <w:noWrap/>
            <w:vAlign w:val="center"/>
          </w:tcPr>
          <w:p w14:paraId="3281F38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47F5555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试验前重量</w:t>
            </w:r>
          </w:p>
        </w:tc>
      </w:tr>
      <w:tr w14:paraId="2C021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7AD749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postweight</w:t>
            </w:r>
          </w:p>
        </w:tc>
        <w:tc>
          <w:tcPr>
            <w:tcW w:w="0" w:type="auto"/>
            <w:tcBorders>
              <w:top w:val="nil"/>
              <w:left w:val="nil"/>
              <w:bottom w:val="nil"/>
              <w:right w:val="nil"/>
            </w:tcBorders>
            <w:shd w:val="clear" w:color="auto" w:fill="auto"/>
            <w:noWrap/>
            <w:vAlign w:val="center"/>
          </w:tcPr>
          <w:p w14:paraId="43884A6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0F10E50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试验后重量</w:t>
            </w:r>
          </w:p>
        </w:tc>
      </w:tr>
      <w:tr w14:paraId="74CA5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2196A2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lostweight</w:t>
            </w:r>
          </w:p>
        </w:tc>
        <w:tc>
          <w:tcPr>
            <w:tcW w:w="0" w:type="auto"/>
            <w:tcBorders>
              <w:top w:val="nil"/>
              <w:left w:val="nil"/>
              <w:bottom w:val="nil"/>
              <w:right w:val="nil"/>
            </w:tcBorders>
            <w:shd w:val="clear" w:color="auto" w:fill="auto"/>
            <w:noWrap/>
            <w:vAlign w:val="center"/>
          </w:tcPr>
          <w:p w14:paraId="73F83AC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22F0178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失重</w:t>
            </w:r>
          </w:p>
        </w:tc>
      </w:tr>
      <w:tr w14:paraId="0D732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4AFBFB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lostweight_per</w:t>
            </w:r>
          </w:p>
        </w:tc>
        <w:tc>
          <w:tcPr>
            <w:tcW w:w="0" w:type="auto"/>
            <w:tcBorders>
              <w:top w:val="nil"/>
              <w:left w:val="nil"/>
              <w:bottom w:val="nil"/>
              <w:right w:val="nil"/>
            </w:tcBorders>
            <w:shd w:val="clear" w:color="auto" w:fill="auto"/>
            <w:noWrap/>
            <w:vAlign w:val="center"/>
          </w:tcPr>
          <w:p w14:paraId="31E2A5B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4F4BD1A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失重百分比</w:t>
            </w:r>
          </w:p>
        </w:tc>
      </w:tr>
      <w:tr w14:paraId="17FA7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5F4360D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phenocode</w:t>
            </w:r>
          </w:p>
        </w:tc>
        <w:tc>
          <w:tcPr>
            <w:tcW w:w="0" w:type="auto"/>
            <w:tcBorders>
              <w:top w:val="nil"/>
              <w:left w:val="nil"/>
              <w:bottom w:val="nil"/>
              <w:right w:val="nil"/>
            </w:tcBorders>
            <w:shd w:val="clear" w:color="auto" w:fill="auto"/>
            <w:noWrap/>
            <w:vAlign w:val="center"/>
          </w:tcPr>
          <w:p w14:paraId="33FDBBD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varchar(12)</w:t>
            </w:r>
          </w:p>
        </w:tc>
        <w:tc>
          <w:tcPr>
            <w:tcW w:w="0" w:type="auto"/>
            <w:tcBorders>
              <w:top w:val="nil"/>
              <w:left w:val="nil"/>
              <w:bottom w:val="nil"/>
              <w:right w:val="nil"/>
            </w:tcBorders>
            <w:shd w:val="clear" w:color="auto" w:fill="auto"/>
            <w:noWrap/>
            <w:vAlign w:val="center"/>
          </w:tcPr>
          <w:p w14:paraId="6A63ECA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现象代码</w:t>
            </w:r>
          </w:p>
        </w:tc>
      </w:tr>
      <w:tr w14:paraId="5241A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422958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flametime</w:t>
            </w:r>
          </w:p>
        </w:tc>
        <w:tc>
          <w:tcPr>
            <w:tcW w:w="0" w:type="auto"/>
            <w:tcBorders>
              <w:top w:val="nil"/>
              <w:left w:val="nil"/>
              <w:bottom w:val="nil"/>
              <w:right w:val="nil"/>
            </w:tcBorders>
            <w:shd w:val="clear" w:color="auto" w:fill="auto"/>
            <w:noWrap/>
            <w:vAlign w:val="center"/>
          </w:tcPr>
          <w:p w14:paraId="145BA05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int</w:t>
            </w:r>
          </w:p>
        </w:tc>
        <w:tc>
          <w:tcPr>
            <w:tcW w:w="0" w:type="auto"/>
            <w:tcBorders>
              <w:top w:val="nil"/>
              <w:left w:val="nil"/>
              <w:bottom w:val="nil"/>
              <w:right w:val="nil"/>
            </w:tcBorders>
            <w:shd w:val="clear" w:color="auto" w:fill="auto"/>
            <w:noWrap/>
            <w:vAlign w:val="center"/>
          </w:tcPr>
          <w:p w14:paraId="70A9597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火焰时间</w:t>
            </w:r>
          </w:p>
        </w:tc>
      </w:tr>
      <w:tr w14:paraId="117E0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6F2E42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flameduration</w:t>
            </w:r>
          </w:p>
        </w:tc>
        <w:tc>
          <w:tcPr>
            <w:tcW w:w="0" w:type="auto"/>
            <w:tcBorders>
              <w:top w:val="nil"/>
              <w:left w:val="nil"/>
              <w:bottom w:val="nil"/>
              <w:right w:val="nil"/>
            </w:tcBorders>
            <w:shd w:val="clear" w:color="auto" w:fill="auto"/>
            <w:noWrap/>
            <w:vAlign w:val="center"/>
          </w:tcPr>
          <w:p w14:paraId="14CEDA5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int</w:t>
            </w:r>
          </w:p>
        </w:tc>
        <w:tc>
          <w:tcPr>
            <w:tcW w:w="0" w:type="auto"/>
            <w:tcBorders>
              <w:top w:val="nil"/>
              <w:left w:val="nil"/>
              <w:bottom w:val="nil"/>
              <w:right w:val="nil"/>
            </w:tcBorders>
            <w:shd w:val="clear" w:color="auto" w:fill="auto"/>
            <w:noWrap/>
            <w:vAlign w:val="center"/>
          </w:tcPr>
          <w:p w14:paraId="7D9E969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火焰持续时间</w:t>
            </w:r>
          </w:p>
        </w:tc>
      </w:tr>
      <w:tr w14:paraId="1AFEC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AE27F3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maxtf1/maxtf2</w:t>
            </w:r>
          </w:p>
        </w:tc>
        <w:tc>
          <w:tcPr>
            <w:tcW w:w="0" w:type="auto"/>
            <w:tcBorders>
              <w:top w:val="nil"/>
              <w:left w:val="nil"/>
              <w:bottom w:val="nil"/>
              <w:right w:val="nil"/>
            </w:tcBorders>
            <w:shd w:val="clear" w:color="auto" w:fill="auto"/>
            <w:noWrap/>
            <w:vAlign w:val="center"/>
          </w:tcPr>
          <w:p w14:paraId="3B3E889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0FB136C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炉温最大值的两个测点</w:t>
            </w:r>
          </w:p>
        </w:tc>
      </w:tr>
      <w:tr w14:paraId="36981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BC469E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maxts</w:t>
            </w:r>
          </w:p>
        </w:tc>
        <w:tc>
          <w:tcPr>
            <w:tcW w:w="0" w:type="auto"/>
            <w:tcBorders>
              <w:top w:val="nil"/>
              <w:left w:val="nil"/>
              <w:bottom w:val="nil"/>
              <w:right w:val="nil"/>
            </w:tcBorders>
            <w:shd w:val="clear" w:color="auto" w:fill="auto"/>
            <w:noWrap/>
            <w:vAlign w:val="center"/>
          </w:tcPr>
          <w:p w14:paraId="35CF0D8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045F75F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表面温度最大值</w:t>
            </w:r>
          </w:p>
        </w:tc>
      </w:tr>
      <w:tr w14:paraId="35B70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5B47F96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maxtc</w:t>
            </w:r>
          </w:p>
        </w:tc>
        <w:tc>
          <w:tcPr>
            <w:tcW w:w="0" w:type="auto"/>
            <w:tcBorders>
              <w:top w:val="nil"/>
              <w:left w:val="nil"/>
              <w:bottom w:val="nil"/>
              <w:right w:val="nil"/>
            </w:tcBorders>
            <w:shd w:val="clear" w:color="auto" w:fill="auto"/>
            <w:noWrap/>
            <w:vAlign w:val="center"/>
          </w:tcPr>
          <w:p w14:paraId="75A9B35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5D02C68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中心温度最大值</w:t>
            </w:r>
          </w:p>
        </w:tc>
      </w:tr>
      <w:tr w14:paraId="6F03C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7A502D2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maxtf1_time等</w:t>
            </w:r>
          </w:p>
        </w:tc>
        <w:tc>
          <w:tcPr>
            <w:tcW w:w="0" w:type="auto"/>
            <w:tcBorders>
              <w:top w:val="nil"/>
              <w:left w:val="nil"/>
              <w:bottom w:val="nil"/>
              <w:right w:val="nil"/>
            </w:tcBorders>
            <w:shd w:val="clear" w:color="auto" w:fill="auto"/>
            <w:noWrap/>
            <w:vAlign w:val="center"/>
          </w:tcPr>
          <w:p w14:paraId="06852F0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int</w:t>
            </w:r>
          </w:p>
        </w:tc>
        <w:tc>
          <w:tcPr>
            <w:tcW w:w="0" w:type="auto"/>
            <w:tcBorders>
              <w:top w:val="nil"/>
              <w:left w:val="nil"/>
              <w:bottom w:val="nil"/>
              <w:right w:val="nil"/>
            </w:tcBorders>
            <w:shd w:val="clear" w:color="auto" w:fill="auto"/>
            <w:noWrap/>
            <w:vAlign w:val="center"/>
          </w:tcPr>
          <w:p w14:paraId="7E994C6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对应温度达最大值的时间</w:t>
            </w:r>
          </w:p>
        </w:tc>
      </w:tr>
      <w:tr w14:paraId="0119E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277989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finaltf1/finalts/finaltc</w:t>
            </w:r>
          </w:p>
        </w:tc>
        <w:tc>
          <w:tcPr>
            <w:tcW w:w="0" w:type="auto"/>
            <w:tcBorders>
              <w:top w:val="nil"/>
              <w:left w:val="nil"/>
              <w:bottom w:val="nil"/>
              <w:right w:val="nil"/>
            </w:tcBorders>
            <w:shd w:val="clear" w:color="auto" w:fill="auto"/>
            <w:noWrap/>
            <w:vAlign w:val="center"/>
          </w:tcPr>
          <w:p w14:paraId="672C402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096988D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最终温度值</w:t>
            </w:r>
          </w:p>
        </w:tc>
      </w:tr>
      <w:tr w14:paraId="53444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6CE178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deltatf1/deltatf2/deltats/deltatc</w:t>
            </w:r>
          </w:p>
        </w:tc>
        <w:tc>
          <w:tcPr>
            <w:tcW w:w="0" w:type="auto"/>
            <w:tcBorders>
              <w:top w:val="nil"/>
              <w:left w:val="nil"/>
              <w:bottom w:val="nil"/>
              <w:right w:val="nil"/>
            </w:tcBorders>
            <w:shd w:val="clear" w:color="auto" w:fill="auto"/>
            <w:noWrap/>
            <w:vAlign w:val="center"/>
          </w:tcPr>
          <w:p w14:paraId="4E39F75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3AAA52A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温度变化量</w:t>
            </w:r>
          </w:p>
        </w:tc>
      </w:tr>
      <w:tr w14:paraId="460B5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552C77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memo</w:t>
            </w:r>
          </w:p>
        </w:tc>
        <w:tc>
          <w:tcPr>
            <w:tcW w:w="0" w:type="auto"/>
            <w:tcBorders>
              <w:top w:val="nil"/>
              <w:left w:val="nil"/>
              <w:bottom w:val="nil"/>
              <w:right w:val="nil"/>
            </w:tcBorders>
            <w:shd w:val="clear" w:color="auto" w:fill="auto"/>
            <w:noWrap/>
            <w:vAlign w:val="center"/>
          </w:tcPr>
          <w:p w14:paraId="068EE0B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varchar(max)</w:t>
            </w:r>
          </w:p>
        </w:tc>
        <w:tc>
          <w:tcPr>
            <w:tcW w:w="0" w:type="auto"/>
            <w:tcBorders>
              <w:top w:val="nil"/>
              <w:left w:val="nil"/>
              <w:bottom w:val="nil"/>
              <w:right w:val="nil"/>
            </w:tcBorders>
            <w:shd w:val="clear" w:color="auto" w:fill="auto"/>
            <w:noWrap/>
            <w:vAlign w:val="center"/>
          </w:tcPr>
          <w:p w14:paraId="0924E18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备注</w:t>
            </w:r>
          </w:p>
        </w:tc>
      </w:tr>
      <w:tr w14:paraId="0D837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single" w:color="000000" w:sz="12" w:space="0"/>
              <w:right w:val="nil"/>
            </w:tcBorders>
            <w:shd w:val="clear" w:color="auto" w:fill="auto"/>
            <w:noWrap/>
            <w:vAlign w:val="center"/>
          </w:tcPr>
          <w:p w14:paraId="25ED98F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flag</w:t>
            </w:r>
          </w:p>
        </w:tc>
        <w:tc>
          <w:tcPr>
            <w:tcW w:w="0" w:type="auto"/>
            <w:tcBorders>
              <w:top w:val="nil"/>
              <w:left w:val="nil"/>
              <w:bottom w:val="single" w:color="000000" w:sz="12" w:space="0"/>
              <w:right w:val="nil"/>
            </w:tcBorders>
            <w:shd w:val="clear" w:color="auto" w:fill="auto"/>
            <w:noWrap/>
            <w:vAlign w:val="center"/>
          </w:tcPr>
          <w:p w14:paraId="6F52ABD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nvarchar(max)</w:t>
            </w:r>
          </w:p>
        </w:tc>
        <w:tc>
          <w:tcPr>
            <w:tcW w:w="0" w:type="auto"/>
            <w:tcBorders>
              <w:top w:val="nil"/>
              <w:left w:val="nil"/>
              <w:bottom w:val="single" w:color="000000" w:sz="12" w:space="0"/>
              <w:right w:val="nil"/>
            </w:tcBorders>
            <w:shd w:val="clear" w:color="auto" w:fill="auto"/>
            <w:noWrap/>
            <w:vAlign w:val="center"/>
          </w:tcPr>
          <w:p w14:paraId="5DDCF05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标识</w:t>
            </w:r>
          </w:p>
        </w:tc>
      </w:tr>
    </w:tbl>
    <w:p w14:paraId="587333ED">
      <w:pPr>
        <w:shd w:val="clear"/>
        <w:rPr>
          <w:rFonts w:hint="eastAsia"/>
        </w:rPr>
      </w:pPr>
    </w:p>
    <w:p w14:paraId="011B1E57">
      <w:pPr>
        <w:shd w:val="clear"/>
        <w:rPr>
          <w:rFonts w:hint="eastAsia"/>
        </w:rPr>
      </w:pPr>
    </w:p>
    <w:p w14:paraId="2066F68E">
      <w:pPr>
        <w:shd w:val="clear"/>
        <w:rPr>
          <w:rFonts w:hint="eastAsia"/>
        </w:rPr>
      </w:pPr>
    </w:p>
    <w:p w14:paraId="52A3B028">
      <w:pPr>
        <w:shd w:val="clear"/>
        <w:rPr>
          <w:rFonts w:hint="eastAsia"/>
        </w:rPr>
      </w:pPr>
    </w:p>
    <w:p w14:paraId="2A44DAE2">
      <w:pPr>
        <w:shd w:val="clear"/>
        <w:rPr>
          <w:rFonts w:hint="eastAsia"/>
        </w:rPr>
      </w:pPr>
    </w:p>
    <w:p w14:paraId="52D0616B">
      <w:pPr>
        <w:shd w:val="clear"/>
        <w:rPr>
          <w:rFonts w:hint="eastAsia"/>
        </w:rPr>
      </w:pPr>
    </w:p>
    <w:p w14:paraId="5D20E9EA">
      <w:pPr>
        <w:shd w:val="clear"/>
        <w:rPr>
          <w:rFonts w:hint="eastAsia"/>
        </w:rPr>
      </w:pPr>
    </w:p>
    <w:p w14:paraId="347868BD">
      <w:pPr>
        <w:shd w:val="clear"/>
        <w:rPr>
          <w:rFonts w:hint="eastAsia"/>
        </w:rPr>
      </w:pPr>
    </w:p>
    <w:p w14:paraId="7DE38372">
      <w:pPr>
        <w:pStyle w:val="6"/>
        <w:shd w:val="clear"/>
        <w:bidi w:val="0"/>
        <w:rPr>
          <w:rFonts w:hint="eastAsia"/>
          <w:lang w:val="en-US" w:eastAsia="zh-CN"/>
        </w:rPr>
      </w:pPr>
      <w:r>
        <w:rPr>
          <w:rFonts w:hint="eastAsia"/>
        </w:rPr>
        <w:t xml:space="preserve">表 </w:t>
      </w:r>
      <w:r>
        <w:rPr>
          <w:rFonts w:hint="eastAsia"/>
          <w:lang w:val="en-US" w:eastAsia="zh-CN"/>
        </w:rPr>
        <w:t>4-</w:t>
      </w:r>
      <w:r>
        <w:rPr>
          <w:rFonts w:hint="eastAsia"/>
        </w:rPr>
        <w:fldChar w:fldCharType="begin"/>
      </w:r>
      <w:r>
        <w:rPr>
          <w:rFonts w:hint="eastAsia"/>
        </w:rPr>
        <w:instrText xml:space="preserve"> SEQ 表 \* ARABIC </w:instrText>
      </w:r>
      <w:r>
        <w:rPr>
          <w:rFonts w:hint="eastAsia"/>
        </w:rPr>
        <w:fldChar w:fldCharType="separate"/>
      </w:r>
      <w:r>
        <w:rPr>
          <w:rFonts w:hint="eastAsia"/>
        </w:rPr>
        <w:t>3</w:t>
      </w:r>
      <w:r>
        <w:rPr>
          <w:rFonts w:hint="eastAsia"/>
        </w:rPr>
        <w:fldChar w:fldCharType="end"/>
      </w:r>
      <w:r>
        <w:rPr>
          <w:rFonts w:hint="eastAsia"/>
          <w:lang w:eastAsia="zh-CN"/>
        </w:rPr>
        <w:t xml:space="preserve"> productmaster（产品主表）</w:t>
      </w:r>
    </w:p>
    <w:tbl>
      <w:tblPr>
        <w:tblStyle w:val="1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5"/>
        <w:gridCol w:w="3339"/>
        <w:gridCol w:w="3350"/>
      </w:tblGrid>
      <w:tr w14:paraId="4ED8C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single" w:color="000000" w:sz="12" w:space="0"/>
              <w:left w:val="nil"/>
              <w:bottom w:val="single" w:color="000000" w:sz="4" w:space="0"/>
              <w:right w:val="nil"/>
              <w:tl2br w:val="nil"/>
            </w:tcBorders>
            <w:shd w:val="clear" w:color="auto" w:fill="auto"/>
            <w:noWrap/>
            <w:vAlign w:val="center"/>
          </w:tcPr>
          <w:p w14:paraId="35C4B30A">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字段</w:t>
            </w:r>
          </w:p>
        </w:tc>
        <w:tc>
          <w:tcPr>
            <w:tcW w:w="2870" w:type="dxa"/>
            <w:tcBorders>
              <w:top w:val="single" w:color="000000" w:sz="12" w:space="0"/>
              <w:left w:val="nil"/>
              <w:bottom w:val="single" w:color="000000" w:sz="4" w:space="0"/>
              <w:right w:val="nil"/>
            </w:tcBorders>
            <w:shd w:val="clear" w:color="auto" w:fill="auto"/>
            <w:noWrap/>
            <w:vAlign w:val="center"/>
          </w:tcPr>
          <w:p w14:paraId="3A2666F1">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类型</w:t>
            </w:r>
          </w:p>
        </w:tc>
        <w:tc>
          <w:tcPr>
            <w:tcW w:w="2880" w:type="dxa"/>
            <w:tcBorders>
              <w:top w:val="single" w:color="000000" w:sz="12" w:space="0"/>
              <w:left w:val="nil"/>
              <w:bottom w:val="single" w:color="000000" w:sz="4" w:space="0"/>
              <w:right w:val="nil"/>
            </w:tcBorders>
            <w:shd w:val="clear" w:color="auto" w:fill="auto"/>
            <w:noWrap/>
            <w:vAlign w:val="center"/>
          </w:tcPr>
          <w:p w14:paraId="27B443A5">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说明</w:t>
            </w:r>
          </w:p>
        </w:tc>
      </w:tr>
      <w:tr w14:paraId="674B0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single" w:color="000000" w:sz="4" w:space="0"/>
              <w:left w:val="nil"/>
              <w:bottom w:val="nil"/>
              <w:right w:val="nil"/>
            </w:tcBorders>
            <w:shd w:val="clear" w:color="auto" w:fill="auto"/>
            <w:noWrap/>
            <w:vAlign w:val="center"/>
          </w:tcPr>
          <w:p w14:paraId="4BAC22A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productid</w:t>
            </w:r>
          </w:p>
        </w:tc>
        <w:tc>
          <w:tcPr>
            <w:tcW w:w="0" w:type="auto"/>
            <w:tcBorders>
              <w:top w:val="single" w:color="000000" w:sz="4" w:space="0"/>
              <w:left w:val="nil"/>
              <w:bottom w:val="nil"/>
              <w:right w:val="nil"/>
            </w:tcBorders>
            <w:shd w:val="clear" w:color="auto" w:fill="auto"/>
            <w:noWrap/>
            <w:vAlign w:val="center"/>
          </w:tcPr>
          <w:p w14:paraId="2530756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0" w:type="auto"/>
            <w:tcBorders>
              <w:top w:val="single" w:color="000000" w:sz="4" w:space="0"/>
              <w:left w:val="nil"/>
              <w:bottom w:val="nil"/>
              <w:right w:val="nil"/>
            </w:tcBorders>
            <w:shd w:val="clear" w:color="auto" w:fill="auto"/>
            <w:noWrap/>
            <w:vAlign w:val="center"/>
          </w:tcPr>
          <w:p w14:paraId="45FA8C8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产品ID（主键）</w:t>
            </w:r>
          </w:p>
        </w:tc>
      </w:tr>
      <w:tr w14:paraId="59404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2478CF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productname</w:t>
            </w:r>
          </w:p>
        </w:tc>
        <w:tc>
          <w:tcPr>
            <w:tcW w:w="0" w:type="auto"/>
            <w:tcBorders>
              <w:top w:val="nil"/>
              <w:left w:val="nil"/>
              <w:bottom w:val="nil"/>
              <w:right w:val="nil"/>
            </w:tcBorders>
            <w:shd w:val="clear" w:color="auto" w:fill="auto"/>
            <w:noWrap/>
            <w:vAlign w:val="center"/>
          </w:tcPr>
          <w:p w14:paraId="55A87EF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varchar(1024)</w:t>
            </w:r>
          </w:p>
        </w:tc>
        <w:tc>
          <w:tcPr>
            <w:tcW w:w="0" w:type="auto"/>
            <w:tcBorders>
              <w:top w:val="nil"/>
              <w:left w:val="nil"/>
              <w:bottom w:val="nil"/>
              <w:right w:val="nil"/>
            </w:tcBorders>
            <w:shd w:val="clear" w:color="auto" w:fill="auto"/>
            <w:noWrap/>
            <w:vAlign w:val="center"/>
          </w:tcPr>
          <w:p w14:paraId="705F07D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产品名称</w:t>
            </w:r>
          </w:p>
        </w:tc>
      </w:tr>
      <w:tr w14:paraId="1BDA4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E96140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specific</w:t>
            </w:r>
          </w:p>
        </w:tc>
        <w:tc>
          <w:tcPr>
            <w:tcW w:w="0" w:type="auto"/>
            <w:tcBorders>
              <w:top w:val="nil"/>
              <w:left w:val="nil"/>
              <w:bottom w:val="nil"/>
              <w:right w:val="nil"/>
            </w:tcBorders>
            <w:shd w:val="clear" w:color="auto" w:fill="auto"/>
            <w:noWrap/>
            <w:vAlign w:val="center"/>
          </w:tcPr>
          <w:p w14:paraId="0F43152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varchar(1024)</w:t>
            </w:r>
          </w:p>
        </w:tc>
        <w:tc>
          <w:tcPr>
            <w:tcW w:w="0" w:type="auto"/>
            <w:tcBorders>
              <w:top w:val="nil"/>
              <w:left w:val="nil"/>
              <w:bottom w:val="nil"/>
              <w:right w:val="nil"/>
            </w:tcBorders>
            <w:shd w:val="clear" w:color="auto" w:fill="auto"/>
            <w:noWrap/>
            <w:vAlign w:val="center"/>
          </w:tcPr>
          <w:p w14:paraId="144F38D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规格</w:t>
            </w:r>
          </w:p>
        </w:tc>
      </w:tr>
      <w:tr w14:paraId="39D79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0871DAC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diameter</w:t>
            </w:r>
          </w:p>
        </w:tc>
        <w:tc>
          <w:tcPr>
            <w:tcW w:w="0" w:type="auto"/>
            <w:tcBorders>
              <w:top w:val="nil"/>
              <w:left w:val="nil"/>
              <w:bottom w:val="nil"/>
              <w:right w:val="nil"/>
            </w:tcBorders>
            <w:shd w:val="clear" w:color="auto" w:fill="auto"/>
            <w:noWrap/>
            <w:vAlign w:val="center"/>
          </w:tcPr>
          <w:p w14:paraId="643852D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43630ED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直径</w:t>
            </w:r>
          </w:p>
        </w:tc>
      </w:tr>
      <w:tr w14:paraId="257C8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54F6DF3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height</w:t>
            </w:r>
          </w:p>
        </w:tc>
        <w:tc>
          <w:tcPr>
            <w:tcW w:w="0" w:type="auto"/>
            <w:tcBorders>
              <w:top w:val="nil"/>
              <w:left w:val="nil"/>
              <w:bottom w:val="nil"/>
              <w:right w:val="nil"/>
            </w:tcBorders>
            <w:shd w:val="clear" w:color="auto" w:fill="auto"/>
            <w:noWrap/>
            <w:vAlign w:val="center"/>
          </w:tcPr>
          <w:p w14:paraId="5CC5779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0" w:type="auto"/>
            <w:tcBorders>
              <w:top w:val="nil"/>
              <w:left w:val="nil"/>
              <w:bottom w:val="nil"/>
              <w:right w:val="nil"/>
            </w:tcBorders>
            <w:shd w:val="clear" w:color="auto" w:fill="auto"/>
            <w:noWrap/>
            <w:vAlign w:val="center"/>
          </w:tcPr>
          <w:p w14:paraId="26A572F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高度</w:t>
            </w:r>
          </w:p>
        </w:tc>
      </w:tr>
      <w:tr w14:paraId="56917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single" w:color="000000" w:sz="12" w:space="0"/>
              <w:right w:val="nil"/>
            </w:tcBorders>
            <w:shd w:val="clear" w:color="auto" w:fill="auto"/>
            <w:noWrap/>
            <w:vAlign w:val="center"/>
          </w:tcPr>
          <w:p w14:paraId="27CF253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flag</w:t>
            </w:r>
          </w:p>
        </w:tc>
        <w:tc>
          <w:tcPr>
            <w:tcW w:w="0" w:type="auto"/>
            <w:tcBorders>
              <w:top w:val="nil"/>
              <w:left w:val="nil"/>
              <w:bottom w:val="single" w:color="000000" w:sz="12" w:space="0"/>
              <w:right w:val="nil"/>
            </w:tcBorders>
            <w:shd w:val="clear" w:color="auto" w:fill="auto"/>
            <w:noWrap/>
            <w:vAlign w:val="center"/>
          </w:tcPr>
          <w:p w14:paraId="57957B2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nvarchar(max)</w:t>
            </w:r>
          </w:p>
        </w:tc>
        <w:tc>
          <w:tcPr>
            <w:tcW w:w="0" w:type="auto"/>
            <w:tcBorders>
              <w:top w:val="nil"/>
              <w:left w:val="nil"/>
              <w:bottom w:val="single" w:color="000000" w:sz="12" w:space="0"/>
              <w:right w:val="nil"/>
            </w:tcBorders>
            <w:shd w:val="clear" w:color="auto" w:fill="auto"/>
            <w:noWrap/>
            <w:vAlign w:val="center"/>
          </w:tcPr>
          <w:p w14:paraId="40BDBB5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标识</w:t>
            </w:r>
          </w:p>
        </w:tc>
      </w:tr>
    </w:tbl>
    <w:p w14:paraId="52E99062">
      <w:pPr>
        <w:pStyle w:val="6"/>
        <w:shd w:val="clear"/>
        <w:bidi w:val="0"/>
        <w:rPr>
          <w:rFonts w:hint="eastAsia"/>
        </w:rPr>
      </w:pPr>
    </w:p>
    <w:p w14:paraId="4EF9740E">
      <w:pPr>
        <w:pStyle w:val="6"/>
        <w:shd w:val="clear"/>
        <w:bidi w:val="0"/>
        <w:rPr>
          <w:rFonts w:hint="eastAsia"/>
          <w:lang w:val="en-US" w:eastAsia="zh-CN"/>
        </w:rPr>
      </w:pPr>
      <w:r>
        <w:rPr>
          <w:rFonts w:hint="eastAsia"/>
        </w:rPr>
        <w:t xml:space="preserve">表 </w:t>
      </w:r>
      <w:r>
        <w:rPr>
          <w:rFonts w:hint="eastAsia"/>
          <w:lang w:val="en-US" w:eastAsia="zh-CN"/>
        </w:rPr>
        <w:t>4-</w:t>
      </w:r>
      <w:r>
        <w:rPr>
          <w:rFonts w:hint="eastAsia"/>
        </w:rPr>
        <w:fldChar w:fldCharType="begin"/>
      </w:r>
      <w:r>
        <w:rPr>
          <w:rFonts w:hint="eastAsia"/>
        </w:rPr>
        <w:instrText xml:space="preserve"> SEQ 表 \* ARABIC </w:instrText>
      </w:r>
      <w:r>
        <w:rPr>
          <w:rFonts w:hint="eastAsia"/>
        </w:rPr>
        <w:fldChar w:fldCharType="separate"/>
      </w:r>
      <w:r>
        <w:rPr>
          <w:rFonts w:hint="eastAsia"/>
        </w:rPr>
        <w:t>4</w:t>
      </w:r>
      <w:r>
        <w:rPr>
          <w:rFonts w:hint="eastAsia"/>
        </w:rPr>
        <w:fldChar w:fldCharType="end"/>
      </w:r>
      <w:r>
        <w:rPr>
          <w:rFonts w:hint="eastAsia"/>
          <w:lang w:eastAsia="zh-CN"/>
        </w:rPr>
        <w:t xml:space="preserve"> Operator（操作员表）</w:t>
      </w:r>
    </w:p>
    <w:tbl>
      <w:tblPr>
        <w:tblStyle w:val="1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5"/>
        <w:gridCol w:w="3339"/>
        <w:gridCol w:w="3350"/>
      </w:tblGrid>
      <w:tr w14:paraId="3453D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single" w:color="000000" w:sz="12" w:space="0"/>
              <w:left w:val="nil"/>
              <w:bottom w:val="single" w:color="000000" w:sz="4" w:space="0"/>
              <w:right w:val="nil"/>
              <w:tl2br w:val="nil"/>
            </w:tcBorders>
            <w:shd w:val="clear" w:color="auto" w:fill="auto"/>
            <w:noWrap/>
            <w:vAlign w:val="center"/>
          </w:tcPr>
          <w:p w14:paraId="7A841006">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字段</w:t>
            </w:r>
          </w:p>
        </w:tc>
        <w:tc>
          <w:tcPr>
            <w:tcW w:w="2870" w:type="dxa"/>
            <w:tcBorders>
              <w:top w:val="single" w:color="000000" w:sz="12" w:space="0"/>
              <w:left w:val="nil"/>
              <w:bottom w:val="single" w:color="000000" w:sz="4" w:space="0"/>
              <w:right w:val="nil"/>
            </w:tcBorders>
            <w:shd w:val="clear" w:color="auto" w:fill="auto"/>
            <w:noWrap/>
            <w:vAlign w:val="center"/>
          </w:tcPr>
          <w:p w14:paraId="3C7A1D78">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类型</w:t>
            </w:r>
          </w:p>
        </w:tc>
        <w:tc>
          <w:tcPr>
            <w:tcW w:w="2880" w:type="dxa"/>
            <w:tcBorders>
              <w:top w:val="single" w:color="000000" w:sz="12" w:space="0"/>
              <w:left w:val="nil"/>
              <w:bottom w:val="single" w:color="000000" w:sz="4" w:space="0"/>
              <w:right w:val="nil"/>
            </w:tcBorders>
            <w:shd w:val="clear" w:color="auto" w:fill="auto"/>
            <w:noWrap/>
            <w:vAlign w:val="center"/>
          </w:tcPr>
          <w:p w14:paraId="38E773BF">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说明</w:t>
            </w:r>
          </w:p>
        </w:tc>
      </w:tr>
      <w:tr w14:paraId="6D077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560" w:type="dxa"/>
            <w:tcBorders>
              <w:top w:val="single" w:color="000000" w:sz="4" w:space="0"/>
              <w:left w:val="nil"/>
              <w:bottom w:val="nil"/>
              <w:right w:val="nil"/>
            </w:tcBorders>
            <w:shd w:val="clear" w:color="auto" w:fill="auto"/>
            <w:noWrap/>
            <w:vAlign w:val="center"/>
          </w:tcPr>
          <w:p w14:paraId="735B393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userid</w:t>
            </w:r>
          </w:p>
        </w:tc>
        <w:tc>
          <w:tcPr>
            <w:tcW w:w="2870" w:type="dxa"/>
            <w:tcBorders>
              <w:top w:val="single" w:color="000000" w:sz="4" w:space="0"/>
              <w:left w:val="nil"/>
              <w:bottom w:val="nil"/>
              <w:right w:val="nil"/>
            </w:tcBorders>
            <w:shd w:val="clear" w:color="auto" w:fill="auto"/>
            <w:noWrap/>
            <w:vAlign w:val="center"/>
          </w:tcPr>
          <w:p w14:paraId="564E2D7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varchar(16)</w:t>
            </w:r>
          </w:p>
        </w:tc>
        <w:tc>
          <w:tcPr>
            <w:tcW w:w="0" w:type="auto"/>
            <w:tcBorders>
              <w:top w:val="single" w:color="000000" w:sz="4" w:space="0"/>
              <w:left w:val="nil"/>
              <w:bottom w:val="nil"/>
              <w:right w:val="nil"/>
            </w:tcBorders>
            <w:shd w:val="clear" w:color="auto" w:fill="auto"/>
            <w:noWrap/>
            <w:vAlign w:val="center"/>
          </w:tcPr>
          <w:p w14:paraId="6B0AAC11">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用户ID（主键）</w:t>
            </w:r>
          </w:p>
        </w:tc>
      </w:tr>
      <w:tr w14:paraId="1CC0F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2EC7B750">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username</w:t>
            </w:r>
          </w:p>
        </w:tc>
        <w:tc>
          <w:tcPr>
            <w:tcW w:w="2870" w:type="dxa"/>
            <w:tcBorders>
              <w:top w:val="nil"/>
              <w:left w:val="nil"/>
              <w:bottom w:val="nil"/>
              <w:right w:val="nil"/>
            </w:tcBorders>
            <w:shd w:val="clear" w:color="auto" w:fill="auto"/>
            <w:noWrap/>
            <w:vAlign w:val="center"/>
          </w:tcPr>
          <w:p w14:paraId="62C070A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varchar(64)</w:t>
            </w:r>
          </w:p>
        </w:tc>
        <w:tc>
          <w:tcPr>
            <w:tcW w:w="0" w:type="auto"/>
            <w:tcBorders>
              <w:top w:val="nil"/>
              <w:left w:val="nil"/>
              <w:bottom w:val="nil"/>
              <w:right w:val="nil"/>
            </w:tcBorders>
            <w:shd w:val="clear" w:color="auto" w:fill="auto"/>
            <w:noWrap/>
            <w:vAlign w:val="center"/>
          </w:tcPr>
          <w:p w14:paraId="1B7108C0">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用户名</w:t>
            </w:r>
          </w:p>
        </w:tc>
      </w:tr>
      <w:tr w14:paraId="20B4C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4B0B05BF">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pwd</w:t>
            </w:r>
          </w:p>
        </w:tc>
        <w:tc>
          <w:tcPr>
            <w:tcW w:w="2870" w:type="dxa"/>
            <w:tcBorders>
              <w:top w:val="nil"/>
              <w:left w:val="nil"/>
              <w:bottom w:val="nil"/>
              <w:right w:val="nil"/>
            </w:tcBorders>
            <w:shd w:val="clear" w:color="auto" w:fill="auto"/>
            <w:noWrap/>
            <w:vAlign w:val="center"/>
          </w:tcPr>
          <w:p w14:paraId="4A96E69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varchar(128)</w:t>
            </w:r>
          </w:p>
        </w:tc>
        <w:tc>
          <w:tcPr>
            <w:tcW w:w="0" w:type="auto"/>
            <w:tcBorders>
              <w:top w:val="nil"/>
              <w:left w:val="nil"/>
              <w:bottom w:val="nil"/>
              <w:right w:val="nil"/>
            </w:tcBorders>
            <w:shd w:val="clear" w:color="auto" w:fill="auto"/>
            <w:noWrap/>
            <w:vAlign w:val="center"/>
          </w:tcPr>
          <w:p w14:paraId="4404B64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密码</w:t>
            </w:r>
          </w:p>
        </w:tc>
      </w:tr>
      <w:tr w14:paraId="0729B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single" w:color="000000" w:sz="12" w:space="0"/>
              <w:right w:val="nil"/>
            </w:tcBorders>
            <w:shd w:val="clear" w:color="auto" w:fill="auto"/>
            <w:noWrap/>
            <w:vAlign w:val="center"/>
          </w:tcPr>
          <w:p w14:paraId="23CD164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usertype</w:t>
            </w:r>
          </w:p>
        </w:tc>
        <w:tc>
          <w:tcPr>
            <w:tcW w:w="2870" w:type="dxa"/>
            <w:tcBorders>
              <w:top w:val="nil"/>
              <w:left w:val="nil"/>
              <w:bottom w:val="single" w:color="000000" w:sz="12" w:space="0"/>
              <w:right w:val="nil"/>
            </w:tcBorders>
            <w:shd w:val="clear" w:color="auto" w:fill="auto"/>
            <w:noWrap/>
            <w:vAlign w:val="center"/>
          </w:tcPr>
          <w:p w14:paraId="4E4F61E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varchar(8)</w:t>
            </w:r>
          </w:p>
        </w:tc>
        <w:tc>
          <w:tcPr>
            <w:tcW w:w="0" w:type="auto"/>
            <w:tcBorders>
              <w:top w:val="nil"/>
              <w:left w:val="nil"/>
              <w:bottom w:val="single" w:color="000000" w:sz="12" w:space="0"/>
              <w:right w:val="nil"/>
            </w:tcBorders>
            <w:shd w:val="clear" w:color="auto" w:fill="auto"/>
            <w:noWrap/>
            <w:vAlign w:val="center"/>
          </w:tcPr>
          <w:p w14:paraId="4FE09AF0">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用户类型</w:t>
            </w:r>
          </w:p>
        </w:tc>
      </w:tr>
    </w:tbl>
    <w:p w14:paraId="10B06924">
      <w:pPr>
        <w:keepNext w:val="0"/>
        <w:keepLines w:val="0"/>
        <w:widowControl/>
        <w:suppressLineNumbers w:val="0"/>
        <w:shd w:val="clear"/>
        <w:jc w:val="center"/>
        <w:textAlignment w:val="center"/>
        <w:rPr>
          <w:rFonts w:hint="default" w:ascii="宋体" w:hAnsi="宋体" w:eastAsia="宋体" w:cs="宋体"/>
          <w:b w:val="0"/>
          <w:i w:val="0"/>
          <w:iCs w:val="0"/>
          <w:color w:val="000000"/>
          <w:kern w:val="0"/>
          <w:sz w:val="21"/>
          <w:szCs w:val="21"/>
          <w:u w:val="none"/>
          <w:lang w:val="en-US" w:eastAsia="zh-CN" w:bidi="ar"/>
        </w:rPr>
      </w:pPr>
    </w:p>
    <w:p w14:paraId="68F28A0F">
      <w:pPr>
        <w:pStyle w:val="6"/>
        <w:shd w:val="clear"/>
        <w:bidi w:val="0"/>
        <w:rPr>
          <w:rFonts w:hint="eastAsia"/>
          <w:lang w:val="en-US" w:eastAsia="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5</w:t>
      </w:r>
      <w:r>
        <w:rPr>
          <w:rFonts w:hint="eastAsia"/>
        </w:rPr>
        <w:fldChar w:fldCharType="end"/>
      </w:r>
      <w:r>
        <w:rPr>
          <w:rFonts w:hint="eastAsia"/>
          <w:lang w:eastAsia="zh-CN"/>
        </w:rPr>
        <w:t>-</w:t>
      </w:r>
      <w:r>
        <w:rPr>
          <w:rFonts w:hint="eastAsia"/>
          <w:lang w:val="en-US" w:eastAsia="zh-CN"/>
        </w:rPr>
        <w:t xml:space="preserve">4 </w:t>
      </w:r>
      <w:r>
        <w:rPr>
          <w:rFonts w:hint="default"/>
          <w:lang w:val="en-US" w:eastAsia="zh-CN"/>
        </w:rPr>
        <w:t>apparatus（设备表）</w:t>
      </w:r>
    </w:p>
    <w:tbl>
      <w:tblPr>
        <w:tblStyle w:val="1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34"/>
        <w:gridCol w:w="3329"/>
        <w:gridCol w:w="3341"/>
      </w:tblGrid>
      <w:tr w14:paraId="4D000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single" w:color="000000" w:sz="12" w:space="0"/>
              <w:left w:val="nil"/>
              <w:bottom w:val="single" w:color="000000" w:sz="4" w:space="0"/>
              <w:right w:val="nil"/>
              <w:tl2br w:val="nil"/>
            </w:tcBorders>
            <w:shd w:val="clear" w:color="auto" w:fill="auto"/>
            <w:noWrap/>
            <w:vAlign w:val="center"/>
          </w:tcPr>
          <w:p w14:paraId="0963630D">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字段</w:t>
            </w:r>
          </w:p>
        </w:tc>
        <w:tc>
          <w:tcPr>
            <w:tcW w:w="2870" w:type="dxa"/>
            <w:tcBorders>
              <w:top w:val="single" w:color="000000" w:sz="12" w:space="0"/>
              <w:left w:val="nil"/>
              <w:bottom w:val="single" w:color="000000" w:sz="4" w:space="0"/>
              <w:right w:val="nil"/>
            </w:tcBorders>
            <w:shd w:val="clear" w:color="auto" w:fill="auto"/>
            <w:noWrap/>
            <w:vAlign w:val="center"/>
          </w:tcPr>
          <w:p w14:paraId="467CD1BA">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类型</w:t>
            </w:r>
          </w:p>
        </w:tc>
        <w:tc>
          <w:tcPr>
            <w:tcW w:w="2880" w:type="dxa"/>
            <w:tcBorders>
              <w:top w:val="single" w:color="000000" w:sz="12" w:space="0"/>
              <w:left w:val="nil"/>
              <w:bottom w:val="single" w:color="000000" w:sz="4" w:space="0"/>
              <w:right w:val="nil"/>
            </w:tcBorders>
            <w:shd w:val="clear" w:color="auto" w:fill="auto"/>
            <w:noWrap/>
            <w:vAlign w:val="center"/>
          </w:tcPr>
          <w:p w14:paraId="0A71409F">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说明</w:t>
            </w:r>
          </w:p>
        </w:tc>
      </w:tr>
      <w:tr w14:paraId="577A8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single" w:color="000000" w:sz="4" w:space="0"/>
              <w:left w:val="nil"/>
              <w:bottom w:val="nil"/>
              <w:right w:val="nil"/>
            </w:tcBorders>
            <w:shd w:val="clear" w:color="auto" w:fill="auto"/>
            <w:noWrap/>
            <w:vAlign w:val="center"/>
          </w:tcPr>
          <w:p w14:paraId="173E131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apparatusid</w:t>
            </w:r>
          </w:p>
        </w:tc>
        <w:tc>
          <w:tcPr>
            <w:tcW w:w="2870" w:type="dxa"/>
            <w:tcBorders>
              <w:top w:val="single" w:color="000000" w:sz="4" w:space="0"/>
              <w:left w:val="nil"/>
              <w:bottom w:val="nil"/>
              <w:right w:val="nil"/>
            </w:tcBorders>
            <w:shd w:val="clear" w:color="auto" w:fill="auto"/>
            <w:noWrap/>
            <w:vAlign w:val="center"/>
          </w:tcPr>
          <w:p w14:paraId="74083ED2">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int</w:t>
            </w:r>
          </w:p>
        </w:tc>
        <w:tc>
          <w:tcPr>
            <w:tcW w:w="2880" w:type="dxa"/>
            <w:tcBorders>
              <w:top w:val="single" w:color="000000" w:sz="4" w:space="0"/>
              <w:left w:val="nil"/>
              <w:bottom w:val="nil"/>
              <w:right w:val="nil"/>
            </w:tcBorders>
            <w:shd w:val="clear" w:color="auto" w:fill="auto"/>
            <w:noWrap/>
            <w:vAlign w:val="center"/>
          </w:tcPr>
          <w:p w14:paraId="508B99AE">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设备ID（主键）</w:t>
            </w:r>
          </w:p>
        </w:tc>
      </w:tr>
      <w:tr w14:paraId="4BC5C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1522678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innernumber</w:t>
            </w:r>
          </w:p>
        </w:tc>
        <w:tc>
          <w:tcPr>
            <w:tcW w:w="2870" w:type="dxa"/>
            <w:tcBorders>
              <w:top w:val="nil"/>
              <w:left w:val="nil"/>
              <w:bottom w:val="nil"/>
              <w:right w:val="nil"/>
            </w:tcBorders>
            <w:shd w:val="clear" w:color="auto" w:fill="auto"/>
            <w:noWrap/>
            <w:vAlign w:val="center"/>
          </w:tcPr>
          <w:p w14:paraId="0688558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noWrap/>
            <w:vAlign w:val="center"/>
          </w:tcPr>
          <w:p w14:paraId="226311F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内部编号</w:t>
            </w:r>
          </w:p>
        </w:tc>
      </w:tr>
      <w:tr w14:paraId="58AE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49B6C3D2">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apparatusname</w:t>
            </w:r>
          </w:p>
        </w:tc>
        <w:tc>
          <w:tcPr>
            <w:tcW w:w="2870" w:type="dxa"/>
            <w:tcBorders>
              <w:top w:val="nil"/>
              <w:left w:val="nil"/>
              <w:bottom w:val="nil"/>
              <w:right w:val="nil"/>
            </w:tcBorders>
            <w:shd w:val="clear" w:color="auto" w:fill="auto"/>
            <w:noWrap/>
            <w:vAlign w:val="center"/>
          </w:tcPr>
          <w:p w14:paraId="1EC9659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varchar(512)</w:t>
            </w:r>
          </w:p>
        </w:tc>
        <w:tc>
          <w:tcPr>
            <w:tcW w:w="2880" w:type="dxa"/>
            <w:tcBorders>
              <w:top w:val="nil"/>
              <w:left w:val="nil"/>
              <w:bottom w:val="nil"/>
              <w:right w:val="nil"/>
            </w:tcBorders>
            <w:shd w:val="clear" w:color="auto" w:fill="auto"/>
            <w:noWrap/>
            <w:vAlign w:val="center"/>
          </w:tcPr>
          <w:p w14:paraId="1EB3CE7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设备名称</w:t>
            </w:r>
          </w:p>
        </w:tc>
      </w:tr>
      <w:tr w14:paraId="28FA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568D9EE1">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checkdatef</w:t>
            </w:r>
          </w:p>
        </w:tc>
        <w:tc>
          <w:tcPr>
            <w:tcW w:w="2870" w:type="dxa"/>
            <w:tcBorders>
              <w:top w:val="nil"/>
              <w:left w:val="nil"/>
              <w:bottom w:val="nil"/>
              <w:right w:val="nil"/>
            </w:tcBorders>
            <w:shd w:val="clear" w:color="auto" w:fill="auto"/>
            <w:noWrap/>
            <w:vAlign w:val="center"/>
          </w:tcPr>
          <w:p w14:paraId="5891AB9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date</w:t>
            </w:r>
          </w:p>
        </w:tc>
        <w:tc>
          <w:tcPr>
            <w:tcW w:w="2880" w:type="dxa"/>
            <w:tcBorders>
              <w:top w:val="nil"/>
              <w:left w:val="nil"/>
              <w:bottom w:val="nil"/>
              <w:right w:val="nil"/>
            </w:tcBorders>
            <w:shd w:val="clear" w:color="auto" w:fill="auto"/>
            <w:noWrap/>
            <w:vAlign w:val="center"/>
          </w:tcPr>
          <w:p w14:paraId="3D5625B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检定日期（起始）</w:t>
            </w:r>
          </w:p>
        </w:tc>
      </w:tr>
      <w:tr w14:paraId="7EC1D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539ABDE1">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checkdatet</w:t>
            </w:r>
          </w:p>
        </w:tc>
        <w:tc>
          <w:tcPr>
            <w:tcW w:w="2870" w:type="dxa"/>
            <w:tcBorders>
              <w:top w:val="nil"/>
              <w:left w:val="nil"/>
              <w:bottom w:val="nil"/>
              <w:right w:val="nil"/>
            </w:tcBorders>
            <w:shd w:val="clear" w:color="auto" w:fill="auto"/>
            <w:noWrap/>
            <w:vAlign w:val="center"/>
          </w:tcPr>
          <w:p w14:paraId="60F1331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date</w:t>
            </w:r>
          </w:p>
        </w:tc>
        <w:tc>
          <w:tcPr>
            <w:tcW w:w="2880" w:type="dxa"/>
            <w:tcBorders>
              <w:top w:val="nil"/>
              <w:left w:val="nil"/>
              <w:bottom w:val="nil"/>
              <w:right w:val="nil"/>
            </w:tcBorders>
            <w:shd w:val="clear" w:color="auto" w:fill="auto"/>
            <w:noWrap/>
            <w:vAlign w:val="center"/>
          </w:tcPr>
          <w:p w14:paraId="5C6D97C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检定日期（截止）</w:t>
            </w:r>
          </w:p>
        </w:tc>
      </w:tr>
      <w:tr w14:paraId="5B979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1BE0567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pidport</w:t>
            </w:r>
          </w:p>
        </w:tc>
        <w:tc>
          <w:tcPr>
            <w:tcW w:w="2870" w:type="dxa"/>
            <w:tcBorders>
              <w:top w:val="nil"/>
              <w:left w:val="nil"/>
              <w:bottom w:val="nil"/>
              <w:right w:val="nil"/>
            </w:tcBorders>
            <w:shd w:val="clear" w:color="auto" w:fill="auto"/>
            <w:noWrap/>
            <w:vAlign w:val="center"/>
          </w:tcPr>
          <w:p w14:paraId="767D5DBE">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noWrap/>
            <w:vAlign w:val="center"/>
          </w:tcPr>
          <w:p w14:paraId="5CA3B54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PID端口</w:t>
            </w:r>
          </w:p>
        </w:tc>
      </w:tr>
      <w:tr w14:paraId="07F9C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nil"/>
              <w:right w:val="nil"/>
            </w:tcBorders>
            <w:shd w:val="clear" w:color="auto" w:fill="auto"/>
            <w:noWrap/>
            <w:vAlign w:val="center"/>
          </w:tcPr>
          <w:p w14:paraId="4154CC4E">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powerport</w:t>
            </w:r>
          </w:p>
        </w:tc>
        <w:tc>
          <w:tcPr>
            <w:tcW w:w="2870" w:type="dxa"/>
            <w:tcBorders>
              <w:top w:val="nil"/>
              <w:left w:val="nil"/>
              <w:bottom w:val="nil"/>
              <w:right w:val="nil"/>
            </w:tcBorders>
            <w:shd w:val="clear" w:color="auto" w:fill="auto"/>
            <w:noWrap/>
            <w:vAlign w:val="center"/>
          </w:tcPr>
          <w:p w14:paraId="42983FEC">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noWrap/>
            <w:vAlign w:val="center"/>
          </w:tcPr>
          <w:p w14:paraId="1681620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电源端口</w:t>
            </w:r>
          </w:p>
        </w:tc>
      </w:tr>
      <w:tr w14:paraId="4D1F8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1560" w:type="dxa"/>
            <w:tcBorders>
              <w:top w:val="nil"/>
              <w:left w:val="nil"/>
              <w:bottom w:val="single" w:color="000000" w:sz="12" w:space="0"/>
              <w:right w:val="nil"/>
            </w:tcBorders>
            <w:shd w:val="clear" w:color="auto" w:fill="auto"/>
            <w:noWrap/>
            <w:vAlign w:val="center"/>
          </w:tcPr>
          <w:p w14:paraId="761DE93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constpower</w:t>
            </w:r>
          </w:p>
        </w:tc>
        <w:tc>
          <w:tcPr>
            <w:tcW w:w="2870" w:type="dxa"/>
            <w:tcBorders>
              <w:top w:val="nil"/>
              <w:left w:val="nil"/>
              <w:bottom w:val="single" w:color="000000" w:sz="12" w:space="0"/>
              <w:right w:val="nil"/>
            </w:tcBorders>
            <w:shd w:val="clear" w:color="auto" w:fill="auto"/>
            <w:noWrap/>
            <w:vAlign w:val="center"/>
          </w:tcPr>
          <w:p w14:paraId="7597E78A">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int</w:t>
            </w:r>
          </w:p>
        </w:tc>
        <w:tc>
          <w:tcPr>
            <w:tcW w:w="2880" w:type="dxa"/>
            <w:tcBorders>
              <w:top w:val="nil"/>
              <w:left w:val="nil"/>
              <w:bottom w:val="single" w:color="000000" w:sz="12" w:space="0"/>
              <w:right w:val="nil"/>
            </w:tcBorders>
            <w:shd w:val="clear" w:color="auto" w:fill="auto"/>
            <w:noWrap/>
            <w:vAlign w:val="center"/>
          </w:tcPr>
          <w:p w14:paraId="4AC4386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恒定功率</w:t>
            </w:r>
          </w:p>
        </w:tc>
      </w:tr>
    </w:tbl>
    <w:p w14:paraId="5D739975">
      <w:pPr>
        <w:shd w:val="clear"/>
        <w:bidi w:val="0"/>
        <w:jc w:val="center"/>
      </w:pPr>
    </w:p>
    <w:p w14:paraId="07236CEE">
      <w:pPr>
        <w:pStyle w:val="6"/>
        <w:shd w:val="clear"/>
        <w:bidi w:val="0"/>
        <w:rPr>
          <w:rFonts w:hint="eastAsia"/>
          <w:lang w:val="en-US" w:eastAsia="zh-CN"/>
        </w:rPr>
      </w:pPr>
      <w:r>
        <w:rPr>
          <w:rFonts w:hint="eastAsia"/>
        </w:rPr>
        <w:t>表</w:t>
      </w:r>
      <w:r>
        <w:rPr>
          <w:rFonts w:hint="eastAsia"/>
          <w:lang w:val="en-US" w:eastAsia="zh-CN"/>
        </w:rPr>
        <w:t xml:space="preserve">4-5 </w:t>
      </w:r>
      <w:r>
        <w:rPr>
          <w:rFonts w:hint="eastAsia"/>
          <w:lang w:eastAsia="zh-CN"/>
        </w:rPr>
        <w:t>CalibrationRecords（校准记录表）</w:t>
      </w:r>
    </w:p>
    <w:tbl>
      <w:tblPr>
        <w:tblStyle w:val="1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79"/>
        <w:gridCol w:w="3107"/>
        <w:gridCol w:w="3118"/>
      </w:tblGrid>
      <w:tr w14:paraId="2173B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560" w:type="dxa"/>
            <w:tcBorders>
              <w:top w:val="single" w:color="000000" w:sz="12" w:space="0"/>
              <w:left w:val="nil"/>
              <w:bottom w:val="single" w:color="000000" w:sz="4" w:space="0"/>
              <w:right w:val="nil"/>
              <w:tl2br w:val="nil"/>
            </w:tcBorders>
            <w:shd w:val="clear" w:color="auto" w:fill="auto"/>
            <w:vAlign w:val="center"/>
          </w:tcPr>
          <w:p w14:paraId="454FE741">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字段</w:t>
            </w:r>
          </w:p>
        </w:tc>
        <w:tc>
          <w:tcPr>
            <w:tcW w:w="2870" w:type="dxa"/>
            <w:tcBorders>
              <w:top w:val="single" w:color="000000" w:sz="12" w:space="0"/>
              <w:left w:val="nil"/>
              <w:bottom w:val="single" w:color="000000" w:sz="4" w:space="0"/>
              <w:right w:val="nil"/>
            </w:tcBorders>
            <w:shd w:val="clear" w:color="auto" w:fill="auto"/>
            <w:vAlign w:val="center"/>
          </w:tcPr>
          <w:p w14:paraId="49F6E12D">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类型</w:t>
            </w:r>
          </w:p>
        </w:tc>
        <w:tc>
          <w:tcPr>
            <w:tcW w:w="2880" w:type="dxa"/>
            <w:tcBorders>
              <w:top w:val="single" w:color="000000" w:sz="12" w:space="0"/>
              <w:left w:val="nil"/>
              <w:bottom w:val="single" w:color="000000" w:sz="4" w:space="0"/>
              <w:right w:val="nil"/>
            </w:tcBorders>
            <w:shd w:val="clear" w:color="auto" w:fill="auto"/>
            <w:vAlign w:val="center"/>
          </w:tcPr>
          <w:p w14:paraId="4588FFB2">
            <w:pPr>
              <w:keepNext w:val="0"/>
              <w:keepLines w:val="0"/>
              <w:widowControl/>
              <w:suppressLineNumbers w:val="0"/>
              <w:shd w:val="clear"/>
              <w:jc w:val="center"/>
              <w:textAlignment w:val="center"/>
              <w:rPr>
                <w:rFonts w:hint="eastAsia" w:ascii="黑体" w:hAnsi="黑体" w:eastAsia="黑体" w:cs="黑体"/>
                <w:b w:val="0"/>
                <w:i w:val="0"/>
                <w:iCs w:val="0"/>
                <w:color w:val="000000"/>
                <w:kern w:val="0"/>
                <w:sz w:val="21"/>
                <w:szCs w:val="21"/>
                <w:u w:val="none"/>
                <w:lang w:val="en-US" w:eastAsia="zh-CN" w:bidi="ar"/>
              </w:rPr>
            </w:pPr>
            <w:r>
              <w:rPr>
                <w:rFonts w:hint="eastAsia" w:ascii="黑体" w:hAnsi="黑体" w:eastAsia="黑体" w:cs="黑体"/>
                <w:b w:val="0"/>
                <w:i w:val="0"/>
                <w:iCs w:val="0"/>
                <w:color w:val="000000"/>
                <w:kern w:val="0"/>
                <w:sz w:val="21"/>
                <w:szCs w:val="21"/>
                <w:u w:val="none"/>
                <w:lang w:val="en-US" w:eastAsia="zh-CN" w:bidi="ar"/>
              </w:rPr>
              <w:t>说明</w:t>
            </w:r>
          </w:p>
        </w:tc>
      </w:tr>
      <w:tr w14:paraId="03002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single" w:color="000000" w:sz="4" w:space="0"/>
              <w:left w:val="nil"/>
              <w:bottom w:val="nil"/>
              <w:right w:val="nil"/>
            </w:tcBorders>
            <w:shd w:val="clear" w:color="auto" w:fill="auto"/>
            <w:vAlign w:val="center"/>
          </w:tcPr>
          <w:p w14:paraId="3342BE2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Id</w:t>
            </w:r>
          </w:p>
        </w:tc>
        <w:tc>
          <w:tcPr>
            <w:tcW w:w="2870" w:type="dxa"/>
            <w:tcBorders>
              <w:top w:val="single" w:color="000000" w:sz="4" w:space="0"/>
              <w:left w:val="nil"/>
              <w:bottom w:val="nil"/>
              <w:right w:val="nil"/>
            </w:tcBorders>
            <w:shd w:val="clear" w:color="auto" w:fill="auto"/>
            <w:vAlign w:val="center"/>
          </w:tcPr>
          <w:p w14:paraId="37ADF3AD">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nvarchar(450)</w:t>
            </w:r>
          </w:p>
        </w:tc>
        <w:tc>
          <w:tcPr>
            <w:tcW w:w="2880" w:type="dxa"/>
            <w:tcBorders>
              <w:top w:val="single" w:color="000000" w:sz="4" w:space="0"/>
              <w:left w:val="nil"/>
              <w:bottom w:val="nil"/>
              <w:right w:val="nil"/>
            </w:tcBorders>
            <w:shd w:val="clear" w:color="auto" w:fill="auto"/>
            <w:vAlign w:val="center"/>
          </w:tcPr>
          <w:p w14:paraId="40C0D0B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校准记录ID（主键）</w:t>
            </w:r>
          </w:p>
        </w:tc>
      </w:tr>
      <w:tr w14:paraId="0DEFD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2957755F">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CalibrationDate</w:t>
            </w:r>
          </w:p>
        </w:tc>
        <w:tc>
          <w:tcPr>
            <w:tcW w:w="2870" w:type="dxa"/>
            <w:tcBorders>
              <w:top w:val="nil"/>
              <w:left w:val="nil"/>
              <w:bottom w:val="nil"/>
              <w:right w:val="nil"/>
            </w:tcBorders>
            <w:shd w:val="clear" w:color="auto" w:fill="auto"/>
            <w:vAlign w:val="center"/>
          </w:tcPr>
          <w:p w14:paraId="13A23DE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datetime2(7)</w:t>
            </w:r>
          </w:p>
        </w:tc>
        <w:tc>
          <w:tcPr>
            <w:tcW w:w="2880" w:type="dxa"/>
            <w:tcBorders>
              <w:top w:val="nil"/>
              <w:left w:val="nil"/>
              <w:bottom w:val="nil"/>
              <w:right w:val="nil"/>
            </w:tcBorders>
            <w:shd w:val="clear" w:color="auto" w:fill="auto"/>
            <w:vAlign w:val="center"/>
          </w:tcPr>
          <w:p w14:paraId="2574F43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校准日期</w:t>
            </w:r>
          </w:p>
        </w:tc>
      </w:tr>
      <w:tr w14:paraId="5F9AC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600A355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CalibrationType</w:t>
            </w:r>
          </w:p>
        </w:tc>
        <w:tc>
          <w:tcPr>
            <w:tcW w:w="2870" w:type="dxa"/>
            <w:tcBorders>
              <w:top w:val="nil"/>
              <w:left w:val="nil"/>
              <w:bottom w:val="nil"/>
              <w:right w:val="nil"/>
            </w:tcBorders>
            <w:shd w:val="clear" w:color="auto" w:fill="auto"/>
            <w:vAlign w:val="center"/>
          </w:tcPr>
          <w:p w14:paraId="6C04D7AF">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nvarchar(50)</w:t>
            </w:r>
          </w:p>
        </w:tc>
        <w:tc>
          <w:tcPr>
            <w:tcW w:w="2880" w:type="dxa"/>
            <w:tcBorders>
              <w:top w:val="nil"/>
              <w:left w:val="nil"/>
              <w:bottom w:val="nil"/>
              <w:right w:val="nil"/>
            </w:tcBorders>
            <w:shd w:val="clear" w:color="auto" w:fill="auto"/>
            <w:vAlign w:val="center"/>
          </w:tcPr>
          <w:p w14:paraId="78ECC13B">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校准类型</w:t>
            </w:r>
          </w:p>
        </w:tc>
      </w:tr>
      <w:tr w14:paraId="23319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5DC81F3D">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ApparatusId</w:t>
            </w:r>
          </w:p>
        </w:tc>
        <w:tc>
          <w:tcPr>
            <w:tcW w:w="2870" w:type="dxa"/>
            <w:tcBorders>
              <w:top w:val="nil"/>
              <w:left w:val="nil"/>
              <w:bottom w:val="nil"/>
              <w:right w:val="nil"/>
            </w:tcBorders>
            <w:shd w:val="clear" w:color="auto" w:fill="auto"/>
            <w:vAlign w:val="center"/>
          </w:tcPr>
          <w:p w14:paraId="3AC9433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int</w:t>
            </w:r>
          </w:p>
        </w:tc>
        <w:tc>
          <w:tcPr>
            <w:tcW w:w="2880" w:type="dxa"/>
            <w:tcBorders>
              <w:top w:val="nil"/>
              <w:left w:val="nil"/>
              <w:bottom w:val="nil"/>
              <w:right w:val="nil"/>
            </w:tcBorders>
            <w:shd w:val="clear" w:color="auto" w:fill="auto"/>
            <w:vAlign w:val="center"/>
          </w:tcPr>
          <w:p w14:paraId="16A6FD1C">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设备ID</w:t>
            </w:r>
          </w:p>
        </w:tc>
      </w:tr>
      <w:tr w14:paraId="57610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7C6EF7F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Operator</w:t>
            </w:r>
          </w:p>
        </w:tc>
        <w:tc>
          <w:tcPr>
            <w:tcW w:w="2870" w:type="dxa"/>
            <w:tcBorders>
              <w:top w:val="nil"/>
              <w:left w:val="nil"/>
              <w:bottom w:val="nil"/>
              <w:right w:val="nil"/>
            </w:tcBorders>
            <w:shd w:val="clear" w:color="auto" w:fill="auto"/>
            <w:vAlign w:val="center"/>
          </w:tcPr>
          <w:p w14:paraId="3709DA9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nvarchar(100)</w:t>
            </w:r>
          </w:p>
        </w:tc>
        <w:tc>
          <w:tcPr>
            <w:tcW w:w="2880" w:type="dxa"/>
            <w:tcBorders>
              <w:top w:val="nil"/>
              <w:left w:val="nil"/>
              <w:bottom w:val="nil"/>
              <w:right w:val="nil"/>
            </w:tcBorders>
            <w:shd w:val="clear" w:color="auto" w:fill="auto"/>
            <w:vAlign w:val="center"/>
          </w:tcPr>
          <w:p w14:paraId="1C3D899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操作员</w:t>
            </w:r>
          </w:p>
        </w:tc>
      </w:tr>
      <w:tr w14:paraId="04429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77DC0832">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TemperatureData</w:t>
            </w:r>
          </w:p>
        </w:tc>
        <w:tc>
          <w:tcPr>
            <w:tcW w:w="2870" w:type="dxa"/>
            <w:tcBorders>
              <w:top w:val="nil"/>
              <w:left w:val="nil"/>
              <w:bottom w:val="nil"/>
              <w:right w:val="nil"/>
            </w:tcBorders>
            <w:shd w:val="clear" w:color="auto" w:fill="auto"/>
            <w:vAlign w:val="center"/>
          </w:tcPr>
          <w:p w14:paraId="32C460A2">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nvarchar(max)</w:t>
            </w:r>
          </w:p>
        </w:tc>
        <w:tc>
          <w:tcPr>
            <w:tcW w:w="2880" w:type="dxa"/>
            <w:tcBorders>
              <w:top w:val="nil"/>
              <w:left w:val="nil"/>
              <w:bottom w:val="nil"/>
              <w:right w:val="nil"/>
            </w:tcBorders>
            <w:shd w:val="clear" w:color="auto" w:fill="auto"/>
            <w:vAlign w:val="center"/>
          </w:tcPr>
          <w:p w14:paraId="35897A2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温度数据（JSON）</w:t>
            </w:r>
          </w:p>
        </w:tc>
      </w:tr>
      <w:tr w14:paraId="2DA34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4721BC1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UniformityResult</w:t>
            </w:r>
          </w:p>
        </w:tc>
        <w:tc>
          <w:tcPr>
            <w:tcW w:w="2870" w:type="dxa"/>
            <w:tcBorders>
              <w:top w:val="nil"/>
              <w:left w:val="nil"/>
              <w:bottom w:val="nil"/>
              <w:right w:val="nil"/>
            </w:tcBorders>
            <w:shd w:val="clear" w:color="auto" w:fill="auto"/>
            <w:vAlign w:val="center"/>
          </w:tcPr>
          <w:p w14:paraId="39B6E1C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0B95DE9C">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均匀性结果</w:t>
            </w:r>
          </w:p>
        </w:tc>
      </w:tr>
      <w:tr w14:paraId="0574B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560" w:type="dxa"/>
            <w:tcBorders>
              <w:top w:val="nil"/>
              <w:left w:val="nil"/>
              <w:bottom w:val="nil"/>
              <w:right w:val="nil"/>
            </w:tcBorders>
            <w:shd w:val="clear" w:color="auto" w:fill="auto"/>
            <w:vAlign w:val="center"/>
          </w:tcPr>
          <w:p w14:paraId="6AB8213F">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MaxDeviation</w:t>
            </w:r>
          </w:p>
        </w:tc>
        <w:tc>
          <w:tcPr>
            <w:tcW w:w="2870" w:type="dxa"/>
            <w:tcBorders>
              <w:top w:val="nil"/>
              <w:left w:val="nil"/>
              <w:bottom w:val="nil"/>
              <w:right w:val="nil"/>
            </w:tcBorders>
            <w:shd w:val="clear" w:color="auto" w:fill="auto"/>
            <w:vAlign w:val="center"/>
          </w:tcPr>
          <w:p w14:paraId="1D19AFA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647E4ACA">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最大偏差</w:t>
            </w:r>
          </w:p>
        </w:tc>
      </w:tr>
      <w:tr w14:paraId="1867D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6783700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AverageTemperature</w:t>
            </w:r>
          </w:p>
        </w:tc>
        <w:tc>
          <w:tcPr>
            <w:tcW w:w="2870" w:type="dxa"/>
            <w:tcBorders>
              <w:top w:val="nil"/>
              <w:left w:val="nil"/>
              <w:bottom w:val="nil"/>
              <w:right w:val="nil"/>
            </w:tcBorders>
            <w:shd w:val="clear" w:color="auto" w:fill="auto"/>
            <w:vAlign w:val="center"/>
          </w:tcPr>
          <w:p w14:paraId="0639B3B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724C592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平均温度</w:t>
            </w:r>
          </w:p>
        </w:tc>
      </w:tr>
      <w:tr w14:paraId="14B55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68BD1A0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PassedCriteria</w:t>
            </w:r>
          </w:p>
        </w:tc>
        <w:tc>
          <w:tcPr>
            <w:tcW w:w="2870" w:type="dxa"/>
            <w:tcBorders>
              <w:top w:val="nil"/>
              <w:left w:val="nil"/>
              <w:bottom w:val="nil"/>
              <w:right w:val="nil"/>
            </w:tcBorders>
            <w:shd w:val="clear" w:color="auto" w:fill="auto"/>
            <w:vAlign w:val="center"/>
          </w:tcPr>
          <w:p w14:paraId="69061CA7">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bit</w:t>
            </w:r>
          </w:p>
        </w:tc>
        <w:tc>
          <w:tcPr>
            <w:tcW w:w="2880" w:type="dxa"/>
            <w:tcBorders>
              <w:top w:val="nil"/>
              <w:left w:val="nil"/>
              <w:bottom w:val="nil"/>
              <w:right w:val="nil"/>
            </w:tcBorders>
            <w:shd w:val="clear" w:color="auto" w:fill="auto"/>
            <w:vAlign w:val="center"/>
          </w:tcPr>
          <w:p w14:paraId="73456850">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是否通过标准</w:t>
            </w:r>
          </w:p>
        </w:tc>
      </w:tr>
      <w:tr w14:paraId="4D6F2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3230034D">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Remarks</w:t>
            </w:r>
          </w:p>
        </w:tc>
        <w:tc>
          <w:tcPr>
            <w:tcW w:w="2870" w:type="dxa"/>
            <w:tcBorders>
              <w:top w:val="nil"/>
              <w:left w:val="nil"/>
              <w:bottom w:val="nil"/>
              <w:right w:val="nil"/>
            </w:tcBorders>
            <w:shd w:val="clear" w:color="auto" w:fill="auto"/>
            <w:vAlign w:val="center"/>
          </w:tcPr>
          <w:p w14:paraId="399A69AE">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nvarchar(max)</w:t>
            </w:r>
          </w:p>
        </w:tc>
        <w:tc>
          <w:tcPr>
            <w:tcW w:w="2880" w:type="dxa"/>
            <w:tcBorders>
              <w:top w:val="nil"/>
              <w:left w:val="nil"/>
              <w:bottom w:val="nil"/>
              <w:right w:val="nil"/>
            </w:tcBorders>
            <w:shd w:val="clear" w:color="auto" w:fill="auto"/>
            <w:vAlign w:val="center"/>
          </w:tcPr>
          <w:p w14:paraId="7AEDA381">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备注</w:t>
            </w:r>
          </w:p>
        </w:tc>
      </w:tr>
      <w:tr w14:paraId="283F6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32B6330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CreatedAt</w:t>
            </w:r>
          </w:p>
        </w:tc>
        <w:tc>
          <w:tcPr>
            <w:tcW w:w="2870" w:type="dxa"/>
            <w:tcBorders>
              <w:top w:val="nil"/>
              <w:left w:val="nil"/>
              <w:bottom w:val="nil"/>
              <w:right w:val="nil"/>
            </w:tcBorders>
            <w:shd w:val="clear" w:color="auto" w:fill="auto"/>
            <w:vAlign w:val="center"/>
          </w:tcPr>
          <w:p w14:paraId="6312E33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datetime2(7)</w:t>
            </w:r>
          </w:p>
        </w:tc>
        <w:tc>
          <w:tcPr>
            <w:tcW w:w="2880" w:type="dxa"/>
            <w:tcBorders>
              <w:top w:val="nil"/>
              <w:left w:val="nil"/>
              <w:bottom w:val="nil"/>
              <w:right w:val="nil"/>
            </w:tcBorders>
            <w:shd w:val="clear" w:color="auto" w:fill="auto"/>
            <w:vAlign w:val="center"/>
          </w:tcPr>
          <w:p w14:paraId="705205B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创建时间</w:t>
            </w:r>
          </w:p>
        </w:tc>
      </w:tr>
      <w:tr w14:paraId="33AFE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07904EBC">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TempA1~C3</w:t>
            </w:r>
          </w:p>
        </w:tc>
        <w:tc>
          <w:tcPr>
            <w:tcW w:w="2870" w:type="dxa"/>
            <w:tcBorders>
              <w:top w:val="nil"/>
              <w:left w:val="nil"/>
              <w:bottom w:val="nil"/>
              <w:right w:val="nil"/>
            </w:tcBorders>
            <w:shd w:val="clear" w:color="auto" w:fill="auto"/>
            <w:vAlign w:val="center"/>
          </w:tcPr>
          <w:p w14:paraId="07E1B43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38B88896">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三组9点温度值（A/B/C各3点）</w:t>
            </w:r>
          </w:p>
        </w:tc>
      </w:tr>
      <w:tr w14:paraId="0F1C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jc w:val="center"/>
        </w:trPr>
        <w:tc>
          <w:tcPr>
            <w:tcW w:w="1560" w:type="dxa"/>
            <w:tcBorders>
              <w:top w:val="nil"/>
              <w:left w:val="nil"/>
              <w:bottom w:val="nil"/>
              <w:right w:val="nil"/>
            </w:tcBorders>
            <w:shd w:val="clear" w:color="auto" w:fill="auto"/>
            <w:vAlign w:val="center"/>
          </w:tcPr>
          <w:p w14:paraId="748481A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TAvg, TAvgAxis1~3, TAvgLevela~c</w:t>
            </w:r>
          </w:p>
        </w:tc>
        <w:tc>
          <w:tcPr>
            <w:tcW w:w="2870" w:type="dxa"/>
            <w:tcBorders>
              <w:top w:val="nil"/>
              <w:left w:val="nil"/>
              <w:bottom w:val="nil"/>
              <w:right w:val="nil"/>
            </w:tcBorders>
            <w:shd w:val="clear" w:color="auto" w:fill="auto"/>
            <w:vAlign w:val="center"/>
          </w:tcPr>
          <w:p w14:paraId="2311C56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350260C9">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平均温度及轴向/层级平均值</w:t>
            </w:r>
          </w:p>
        </w:tc>
      </w:tr>
      <w:tr w14:paraId="45FF7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1CE235B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TDevAxis1~3, TDevLevela~c</w:t>
            </w:r>
          </w:p>
        </w:tc>
        <w:tc>
          <w:tcPr>
            <w:tcW w:w="2870" w:type="dxa"/>
            <w:tcBorders>
              <w:top w:val="nil"/>
              <w:left w:val="nil"/>
              <w:bottom w:val="nil"/>
              <w:right w:val="nil"/>
            </w:tcBorders>
            <w:shd w:val="clear" w:color="auto" w:fill="auto"/>
            <w:vAlign w:val="center"/>
          </w:tcPr>
          <w:p w14:paraId="33929E2C">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1614E27D">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轴向/层级温度偏差</w:t>
            </w:r>
          </w:p>
        </w:tc>
      </w:tr>
      <w:tr w14:paraId="7D6FD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588E1B80">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TAvgDevAxis, TAvgDevLevel</w:t>
            </w:r>
          </w:p>
        </w:tc>
        <w:tc>
          <w:tcPr>
            <w:tcW w:w="2870" w:type="dxa"/>
            <w:tcBorders>
              <w:top w:val="nil"/>
              <w:left w:val="nil"/>
              <w:bottom w:val="nil"/>
              <w:right w:val="nil"/>
            </w:tcBorders>
            <w:shd w:val="clear" w:color="auto" w:fill="auto"/>
            <w:vAlign w:val="center"/>
          </w:tcPr>
          <w:p w14:paraId="3700F508">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0B09EA65">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平均温度偏差</w:t>
            </w:r>
          </w:p>
        </w:tc>
      </w:tr>
      <w:tr w14:paraId="05678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49AAEA12">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CenterTempData</w:t>
            </w:r>
          </w:p>
        </w:tc>
        <w:tc>
          <w:tcPr>
            <w:tcW w:w="2870" w:type="dxa"/>
            <w:tcBorders>
              <w:top w:val="nil"/>
              <w:left w:val="nil"/>
              <w:bottom w:val="nil"/>
              <w:right w:val="nil"/>
            </w:tcBorders>
            <w:shd w:val="clear" w:color="auto" w:fill="auto"/>
            <w:vAlign w:val="center"/>
          </w:tcPr>
          <w:p w14:paraId="7E1D6674">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nvarchar(max)</w:t>
            </w:r>
          </w:p>
        </w:tc>
        <w:tc>
          <w:tcPr>
            <w:tcW w:w="2880" w:type="dxa"/>
            <w:tcBorders>
              <w:top w:val="nil"/>
              <w:left w:val="nil"/>
              <w:bottom w:val="nil"/>
              <w:right w:val="nil"/>
            </w:tcBorders>
            <w:shd w:val="clear" w:color="auto" w:fill="auto"/>
            <w:vAlign w:val="center"/>
          </w:tcPr>
          <w:p w14:paraId="294051FD">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中心温度数据</w:t>
            </w:r>
          </w:p>
        </w:tc>
      </w:tr>
      <w:tr w14:paraId="77F10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single" w:color="000000" w:sz="12" w:space="0"/>
              <w:right w:val="nil"/>
            </w:tcBorders>
            <w:shd w:val="clear" w:color="auto" w:fill="auto"/>
            <w:vAlign w:val="center"/>
          </w:tcPr>
          <w:p w14:paraId="73393343">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Memo</w:t>
            </w:r>
          </w:p>
        </w:tc>
        <w:tc>
          <w:tcPr>
            <w:tcW w:w="2870" w:type="dxa"/>
            <w:tcBorders>
              <w:top w:val="nil"/>
              <w:left w:val="nil"/>
              <w:bottom w:val="single" w:color="000000" w:sz="12" w:space="0"/>
              <w:right w:val="nil"/>
            </w:tcBorders>
            <w:shd w:val="clear" w:color="auto" w:fill="auto"/>
            <w:vAlign w:val="center"/>
          </w:tcPr>
          <w:p w14:paraId="4C6C1251">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nvarchar(max)</w:t>
            </w:r>
          </w:p>
        </w:tc>
        <w:tc>
          <w:tcPr>
            <w:tcW w:w="2880" w:type="dxa"/>
            <w:tcBorders>
              <w:top w:val="nil"/>
              <w:left w:val="nil"/>
              <w:bottom w:val="single" w:color="000000" w:sz="12" w:space="0"/>
              <w:right w:val="nil"/>
            </w:tcBorders>
            <w:shd w:val="clear" w:color="auto" w:fill="auto"/>
            <w:vAlign w:val="center"/>
          </w:tcPr>
          <w:p w14:paraId="69C3F5CB">
            <w:pPr>
              <w:keepNext w:val="0"/>
              <w:keepLines w:val="0"/>
              <w:widowControl/>
              <w:suppressLineNumbers w:val="0"/>
              <w:shd w:val="clear"/>
              <w:jc w:val="center"/>
              <w:textAlignment w:val="center"/>
              <w:rPr>
                <w:rFonts w:hint="eastAsia" w:ascii="宋体" w:hAnsi="宋体" w:eastAsia="宋体" w:cs="宋体"/>
                <w:b w:val="0"/>
                <w:i w:val="0"/>
                <w:iCs w:val="0"/>
                <w:color w:val="000000"/>
                <w:kern w:val="0"/>
                <w:sz w:val="21"/>
                <w:szCs w:val="21"/>
                <w:u w:val="none"/>
                <w:lang w:val="en-US" w:eastAsia="zh-CN" w:bidi="ar"/>
              </w:rPr>
            </w:pPr>
            <w:r>
              <w:rPr>
                <w:rFonts w:hint="eastAsia" w:ascii="宋体" w:hAnsi="宋体" w:eastAsia="宋体" w:cs="宋体"/>
                <w:b w:val="0"/>
                <w:i w:val="0"/>
                <w:iCs w:val="0"/>
                <w:color w:val="000000"/>
                <w:kern w:val="0"/>
                <w:sz w:val="21"/>
                <w:szCs w:val="21"/>
                <w:u w:val="none"/>
                <w:lang w:val="en-US" w:eastAsia="zh-CN" w:bidi="ar"/>
              </w:rPr>
              <w:t>备忘录</w:t>
            </w:r>
          </w:p>
        </w:tc>
      </w:tr>
    </w:tbl>
    <w:p w14:paraId="713B5FDC">
      <w:pPr>
        <w:shd w:val="clear"/>
        <w:bidi w:val="0"/>
        <w:rPr>
          <w:rFonts w:hint="default"/>
          <w:lang w:val="en-US" w:eastAsia="zh-CN"/>
        </w:rPr>
      </w:pPr>
    </w:p>
    <w:p w14:paraId="16448BD4">
      <w:pPr>
        <w:pStyle w:val="6"/>
        <w:shd w:val="clear"/>
        <w:bidi w:val="0"/>
        <w:rPr>
          <w:rFonts w:hint="eastAsia"/>
          <w:lang w:eastAsia="zh-CN"/>
        </w:rPr>
      </w:pPr>
      <w:r>
        <w:rPr>
          <w:rFonts w:hint="eastAsia"/>
        </w:rPr>
        <w:t xml:space="preserve">表 </w:t>
      </w:r>
      <w:r>
        <w:rPr>
          <w:rFonts w:hint="eastAsia"/>
          <w:lang w:val="en-US" w:eastAsia="zh-CN"/>
        </w:rPr>
        <w:t xml:space="preserve">4-6 </w:t>
      </w:r>
      <w:r>
        <w:rPr>
          <w:rFonts w:hint="eastAsia"/>
          <w:lang w:eastAsia="zh-CN"/>
        </w:rPr>
        <w:t>sensors（传感器表）</w:t>
      </w:r>
    </w:p>
    <w:tbl>
      <w:tblPr>
        <w:tblStyle w:val="1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5"/>
        <w:gridCol w:w="3339"/>
        <w:gridCol w:w="3350"/>
      </w:tblGrid>
      <w:tr w14:paraId="54EA4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560" w:type="dxa"/>
            <w:tcBorders>
              <w:top w:val="single" w:color="000000" w:sz="12" w:space="0"/>
              <w:left w:val="nil"/>
              <w:bottom w:val="single" w:color="000000" w:sz="4" w:space="0"/>
              <w:right w:val="nil"/>
              <w:tl2br w:val="nil"/>
            </w:tcBorders>
            <w:shd w:val="clear" w:color="auto" w:fill="auto"/>
            <w:vAlign w:val="center"/>
          </w:tcPr>
          <w:p w14:paraId="3287B8BE">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字段</w:t>
            </w:r>
          </w:p>
        </w:tc>
        <w:tc>
          <w:tcPr>
            <w:tcW w:w="2870" w:type="dxa"/>
            <w:tcBorders>
              <w:top w:val="single" w:color="000000" w:sz="12" w:space="0"/>
              <w:left w:val="nil"/>
              <w:bottom w:val="single" w:color="000000" w:sz="4" w:space="0"/>
              <w:right w:val="nil"/>
            </w:tcBorders>
            <w:shd w:val="clear" w:color="auto" w:fill="auto"/>
            <w:vAlign w:val="center"/>
          </w:tcPr>
          <w:p w14:paraId="4C40B0B5">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类型</w:t>
            </w:r>
          </w:p>
        </w:tc>
        <w:tc>
          <w:tcPr>
            <w:tcW w:w="2880" w:type="dxa"/>
            <w:tcBorders>
              <w:top w:val="single" w:color="000000" w:sz="12" w:space="0"/>
              <w:left w:val="nil"/>
              <w:bottom w:val="single" w:color="000000" w:sz="4" w:space="0"/>
              <w:right w:val="nil"/>
            </w:tcBorders>
            <w:shd w:val="clear" w:color="auto" w:fill="auto"/>
            <w:vAlign w:val="center"/>
          </w:tcPr>
          <w:p w14:paraId="3CEBF13D">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说明</w:t>
            </w:r>
          </w:p>
        </w:tc>
      </w:tr>
      <w:tr w14:paraId="457AD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single" w:color="000000" w:sz="4" w:space="0"/>
              <w:left w:val="nil"/>
              <w:bottom w:val="nil"/>
              <w:right w:val="nil"/>
            </w:tcBorders>
            <w:shd w:val="clear" w:color="auto" w:fill="auto"/>
            <w:vAlign w:val="center"/>
          </w:tcPr>
          <w:p w14:paraId="1522978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sensorid</w:t>
            </w:r>
          </w:p>
        </w:tc>
        <w:tc>
          <w:tcPr>
            <w:tcW w:w="2870" w:type="dxa"/>
            <w:tcBorders>
              <w:top w:val="single" w:color="000000" w:sz="4" w:space="0"/>
              <w:left w:val="nil"/>
              <w:bottom w:val="nil"/>
              <w:right w:val="nil"/>
            </w:tcBorders>
            <w:shd w:val="clear" w:color="auto" w:fill="auto"/>
            <w:vAlign w:val="center"/>
          </w:tcPr>
          <w:p w14:paraId="55A34F4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int</w:t>
            </w:r>
          </w:p>
        </w:tc>
        <w:tc>
          <w:tcPr>
            <w:tcW w:w="2880" w:type="dxa"/>
            <w:tcBorders>
              <w:top w:val="single" w:color="000000" w:sz="4" w:space="0"/>
              <w:left w:val="nil"/>
              <w:bottom w:val="nil"/>
              <w:right w:val="nil"/>
            </w:tcBorders>
            <w:shd w:val="clear" w:color="auto" w:fill="auto"/>
            <w:vAlign w:val="center"/>
          </w:tcPr>
          <w:p w14:paraId="3833466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传感器ID（主键）</w:t>
            </w:r>
          </w:p>
        </w:tc>
      </w:tr>
      <w:tr w14:paraId="5D9AF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586F99A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sensorname</w:t>
            </w:r>
          </w:p>
        </w:tc>
        <w:tc>
          <w:tcPr>
            <w:tcW w:w="2870" w:type="dxa"/>
            <w:tcBorders>
              <w:top w:val="nil"/>
              <w:left w:val="nil"/>
              <w:bottom w:val="nil"/>
              <w:right w:val="nil"/>
            </w:tcBorders>
            <w:shd w:val="clear" w:color="auto" w:fill="auto"/>
            <w:vAlign w:val="center"/>
          </w:tcPr>
          <w:p w14:paraId="2C23D66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vAlign w:val="center"/>
          </w:tcPr>
          <w:p w14:paraId="2C36C68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传感器名称</w:t>
            </w:r>
          </w:p>
        </w:tc>
      </w:tr>
      <w:tr w14:paraId="10607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27F5ABF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dispname</w:t>
            </w:r>
          </w:p>
        </w:tc>
        <w:tc>
          <w:tcPr>
            <w:tcW w:w="2870" w:type="dxa"/>
            <w:tcBorders>
              <w:top w:val="nil"/>
              <w:left w:val="nil"/>
              <w:bottom w:val="nil"/>
              <w:right w:val="nil"/>
            </w:tcBorders>
            <w:shd w:val="clear" w:color="auto" w:fill="auto"/>
            <w:vAlign w:val="center"/>
          </w:tcPr>
          <w:p w14:paraId="3FFCC82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varchar(100)</w:t>
            </w:r>
          </w:p>
        </w:tc>
        <w:tc>
          <w:tcPr>
            <w:tcW w:w="2880" w:type="dxa"/>
            <w:tcBorders>
              <w:top w:val="nil"/>
              <w:left w:val="nil"/>
              <w:bottom w:val="nil"/>
              <w:right w:val="nil"/>
            </w:tcBorders>
            <w:shd w:val="clear" w:color="auto" w:fill="auto"/>
            <w:vAlign w:val="center"/>
          </w:tcPr>
          <w:p w14:paraId="4C14E96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显示名称</w:t>
            </w:r>
          </w:p>
        </w:tc>
      </w:tr>
      <w:tr w14:paraId="64A8E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jc w:val="center"/>
        </w:trPr>
        <w:tc>
          <w:tcPr>
            <w:tcW w:w="1560" w:type="dxa"/>
            <w:tcBorders>
              <w:top w:val="nil"/>
              <w:left w:val="nil"/>
              <w:bottom w:val="nil"/>
              <w:right w:val="nil"/>
            </w:tcBorders>
            <w:shd w:val="clear" w:color="auto" w:fill="auto"/>
            <w:vAlign w:val="center"/>
          </w:tcPr>
          <w:p w14:paraId="0D66EA9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sensorgroup</w:t>
            </w:r>
          </w:p>
        </w:tc>
        <w:tc>
          <w:tcPr>
            <w:tcW w:w="2870" w:type="dxa"/>
            <w:tcBorders>
              <w:top w:val="nil"/>
              <w:left w:val="nil"/>
              <w:bottom w:val="nil"/>
              <w:right w:val="nil"/>
            </w:tcBorders>
            <w:shd w:val="clear" w:color="auto" w:fill="auto"/>
            <w:vAlign w:val="center"/>
          </w:tcPr>
          <w:p w14:paraId="0DB8183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vAlign w:val="center"/>
          </w:tcPr>
          <w:p w14:paraId="14AB321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传感器分组（如furnace1/2/3）</w:t>
            </w:r>
          </w:p>
        </w:tc>
      </w:tr>
      <w:tr w14:paraId="780FD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62BAC3A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unit</w:t>
            </w:r>
          </w:p>
        </w:tc>
        <w:tc>
          <w:tcPr>
            <w:tcW w:w="2870" w:type="dxa"/>
            <w:tcBorders>
              <w:top w:val="nil"/>
              <w:left w:val="nil"/>
              <w:bottom w:val="nil"/>
              <w:right w:val="nil"/>
            </w:tcBorders>
            <w:shd w:val="clear" w:color="auto" w:fill="auto"/>
            <w:vAlign w:val="center"/>
          </w:tcPr>
          <w:p w14:paraId="650E8A9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vAlign w:val="center"/>
          </w:tcPr>
          <w:p w14:paraId="509FAA5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单位</w:t>
            </w:r>
          </w:p>
        </w:tc>
      </w:tr>
      <w:tr w14:paraId="6F3AF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503DEF9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discription</w:t>
            </w:r>
          </w:p>
        </w:tc>
        <w:tc>
          <w:tcPr>
            <w:tcW w:w="2870" w:type="dxa"/>
            <w:tcBorders>
              <w:top w:val="nil"/>
              <w:left w:val="nil"/>
              <w:bottom w:val="nil"/>
              <w:right w:val="nil"/>
            </w:tcBorders>
            <w:shd w:val="clear" w:color="auto" w:fill="auto"/>
            <w:vAlign w:val="center"/>
          </w:tcPr>
          <w:p w14:paraId="175DAC1E">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varchar(100)</w:t>
            </w:r>
          </w:p>
        </w:tc>
        <w:tc>
          <w:tcPr>
            <w:tcW w:w="2880" w:type="dxa"/>
            <w:tcBorders>
              <w:top w:val="nil"/>
              <w:left w:val="nil"/>
              <w:bottom w:val="nil"/>
              <w:right w:val="nil"/>
            </w:tcBorders>
            <w:shd w:val="clear" w:color="auto" w:fill="auto"/>
            <w:vAlign w:val="center"/>
          </w:tcPr>
          <w:p w14:paraId="0EA78AB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描述</w:t>
            </w:r>
          </w:p>
        </w:tc>
      </w:tr>
      <w:tr w14:paraId="2C3CA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4E47006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flag</w:t>
            </w:r>
          </w:p>
        </w:tc>
        <w:tc>
          <w:tcPr>
            <w:tcW w:w="2870" w:type="dxa"/>
            <w:tcBorders>
              <w:top w:val="nil"/>
              <w:left w:val="nil"/>
              <w:bottom w:val="nil"/>
              <w:right w:val="nil"/>
            </w:tcBorders>
            <w:shd w:val="clear" w:color="auto" w:fill="auto"/>
            <w:vAlign w:val="center"/>
          </w:tcPr>
          <w:p w14:paraId="04870F2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varchar(50)</w:t>
            </w:r>
          </w:p>
        </w:tc>
        <w:tc>
          <w:tcPr>
            <w:tcW w:w="2880" w:type="dxa"/>
            <w:tcBorders>
              <w:top w:val="nil"/>
              <w:left w:val="nil"/>
              <w:bottom w:val="nil"/>
              <w:right w:val="nil"/>
            </w:tcBorders>
            <w:shd w:val="clear" w:color="auto" w:fill="auto"/>
            <w:vAlign w:val="center"/>
          </w:tcPr>
          <w:p w14:paraId="6344EF4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标识</w:t>
            </w:r>
          </w:p>
        </w:tc>
      </w:tr>
      <w:tr w14:paraId="312A1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143C50D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signalzero</w:t>
            </w:r>
          </w:p>
        </w:tc>
        <w:tc>
          <w:tcPr>
            <w:tcW w:w="2870" w:type="dxa"/>
            <w:tcBorders>
              <w:top w:val="nil"/>
              <w:left w:val="nil"/>
              <w:bottom w:val="nil"/>
              <w:right w:val="nil"/>
            </w:tcBorders>
            <w:shd w:val="clear" w:color="auto" w:fill="auto"/>
            <w:vAlign w:val="center"/>
          </w:tcPr>
          <w:p w14:paraId="2750BC7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12ADCFD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信号零点</w:t>
            </w:r>
          </w:p>
        </w:tc>
      </w:tr>
      <w:tr w14:paraId="3AB37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1C4779E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signalspan</w:t>
            </w:r>
          </w:p>
        </w:tc>
        <w:tc>
          <w:tcPr>
            <w:tcW w:w="2870" w:type="dxa"/>
            <w:tcBorders>
              <w:top w:val="nil"/>
              <w:left w:val="nil"/>
              <w:bottom w:val="nil"/>
              <w:right w:val="nil"/>
            </w:tcBorders>
            <w:shd w:val="clear" w:color="auto" w:fill="auto"/>
            <w:vAlign w:val="center"/>
          </w:tcPr>
          <w:p w14:paraId="5ADC64E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36C1EEA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信号量程</w:t>
            </w:r>
          </w:p>
        </w:tc>
      </w:tr>
      <w:tr w14:paraId="1F4FC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69A8D36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outputzero</w:t>
            </w:r>
          </w:p>
        </w:tc>
        <w:tc>
          <w:tcPr>
            <w:tcW w:w="2870" w:type="dxa"/>
            <w:tcBorders>
              <w:top w:val="nil"/>
              <w:left w:val="nil"/>
              <w:bottom w:val="nil"/>
              <w:right w:val="nil"/>
            </w:tcBorders>
            <w:shd w:val="clear" w:color="auto" w:fill="auto"/>
            <w:vAlign w:val="center"/>
          </w:tcPr>
          <w:p w14:paraId="1598FC6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1B50959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输出零点</w:t>
            </w:r>
          </w:p>
        </w:tc>
      </w:tr>
      <w:tr w14:paraId="76A2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6AC87AE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outputspan</w:t>
            </w:r>
          </w:p>
        </w:tc>
        <w:tc>
          <w:tcPr>
            <w:tcW w:w="2870" w:type="dxa"/>
            <w:tcBorders>
              <w:top w:val="nil"/>
              <w:left w:val="nil"/>
              <w:bottom w:val="nil"/>
              <w:right w:val="nil"/>
            </w:tcBorders>
            <w:shd w:val="clear" w:color="auto" w:fill="auto"/>
            <w:vAlign w:val="center"/>
          </w:tcPr>
          <w:p w14:paraId="1BDBB16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655E8BE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输出量程</w:t>
            </w:r>
          </w:p>
        </w:tc>
      </w:tr>
      <w:tr w14:paraId="6C6D2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6F4A76E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outputvalue</w:t>
            </w:r>
          </w:p>
        </w:tc>
        <w:tc>
          <w:tcPr>
            <w:tcW w:w="2870" w:type="dxa"/>
            <w:tcBorders>
              <w:top w:val="nil"/>
              <w:left w:val="nil"/>
              <w:bottom w:val="nil"/>
              <w:right w:val="nil"/>
            </w:tcBorders>
            <w:shd w:val="clear" w:color="auto" w:fill="auto"/>
            <w:vAlign w:val="center"/>
          </w:tcPr>
          <w:p w14:paraId="3BA249B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26FAE61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输出值</w:t>
            </w:r>
          </w:p>
        </w:tc>
      </w:tr>
      <w:tr w14:paraId="455E6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jc w:val="center"/>
        </w:trPr>
        <w:tc>
          <w:tcPr>
            <w:tcW w:w="1560" w:type="dxa"/>
            <w:tcBorders>
              <w:top w:val="nil"/>
              <w:left w:val="nil"/>
              <w:bottom w:val="nil"/>
              <w:right w:val="nil"/>
            </w:tcBorders>
            <w:shd w:val="clear" w:color="auto" w:fill="auto"/>
            <w:vAlign w:val="center"/>
          </w:tcPr>
          <w:p w14:paraId="5ABDAD3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inputvalue</w:t>
            </w:r>
          </w:p>
        </w:tc>
        <w:tc>
          <w:tcPr>
            <w:tcW w:w="2870" w:type="dxa"/>
            <w:tcBorders>
              <w:top w:val="nil"/>
              <w:left w:val="nil"/>
              <w:bottom w:val="nil"/>
              <w:right w:val="nil"/>
            </w:tcBorders>
            <w:shd w:val="clear" w:color="auto" w:fill="auto"/>
            <w:vAlign w:val="center"/>
          </w:tcPr>
          <w:p w14:paraId="2424B65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float</w:t>
            </w:r>
          </w:p>
        </w:tc>
        <w:tc>
          <w:tcPr>
            <w:tcW w:w="2880" w:type="dxa"/>
            <w:tcBorders>
              <w:top w:val="nil"/>
              <w:left w:val="nil"/>
              <w:bottom w:val="nil"/>
              <w:right w:val="nil"/>
            </w:tcBorders>
            <w:shd w:val="clear" w:color="auto" w:fill="auto"/>
            <w:vAlign w:val="center"/>
          </w:tcPr>
          <w:p w14:paraId="5EE9200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输入值</w:t>
            </w:r>
          </w:p>
        </w:tc>
      </w:tr>
      <w:tr w14:paraId="1DBFC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jc w:val="center"/>
        </w:trPr>
        <w:tc>
          <w:tcPr>
            <w:tcW w:w="1560" w:type="dxa"/>
            <w:tcBorders>
              <w:top w:val="nil"/>
              <w:left w:val="nil"/>
              <w:bottom w:val="single" w:color="000000" w:sz="12" w:space="0"/>
              <w:right w:val="nil"/>
            </w:tcBorders>
            <w:shd w:val="clear" w:color="auto" w:fill="auto"/>
            <w:vAlign w:val="center"/>
          </w:tcPr>
          <w:p w14:paraId="4B948AC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signaltype</w:t>
            </w:r>
          </w:p>
        </w:tc>
        <w:tc>
          <w:tcPr>
            <w:tcW w:w="2870" w:type="dxa"/>
            <w:tcBorders>
              <w:top w:val="nil"/>
              <w:left w:val="nil"/>
              <w:bottom w:val="single" w:color="000000" w:sz="12" w:space="0"/>
              <w:right w:val="nil"/>
            </w:tcBorders>
            <w:shd w:val="clear" w:color="auto" w:fill="auto"/>
            <w:vAlign w:val="center"/>
          </w:tcPr>
          <w:p w14:paraId="3683A0C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tinyint</w:t>
            </w:r>
          </w:p>
        </w:tc>
        <w:tc>
          <w:tcPr>
            <w:tcW w:w="2880" w:type="dxa"/>
            <w:tcBorders>
              <w:top w:val="nil"/>
              <w:left w:val="nil"/>
              <w:bottom w:val="single" w:color="000000" w:sz="12" w:space="0"/>
              <w:right w:val="nil"/>
            </w:tcBorders>
            <w:shd w:val="clear" w:color="auto" w:fill="auto"/>
            <w:vAlign w:val="center"/>
          </w:tcPr>
          <w:p w14:paraId="610A96F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信号类型</w:t>
            </w:r>
          </w:p>
        </w:tc>
      </w:tr>
    </w:tbl>
    <w:p w14:paraId="110C2A21">
      <w:pPr>
        <w:shd w:val="clear"/>
        <w:bidi w:val="0"/>
        <w:rPr>
          <w:rFonts w:hint="eastAsia" w:ascii="宋体" w:hAnsi="宋体" w:eastAsia="宋体" w:cs="宋体"/>
          <w:sz w:val="21"/>
          <w:szCs w:val="21"/>
          <w:lang w:val="en-US" w:eastAsia="zh-CN"/>
        </w:rPr>
      </w:pPr>
    </w:p>
    <w:p w14:paraId="7D8EFEDE">
      <w:pPr>
        <w:pStyle w:val="3"/>
        <w:shd w:val="clear"/>
        <w:bidi w:val="0"/>
        <w:rPr>
          <w:rFonts w:hint="default" w:ascii="宋体" w:hAnsi="宋体" w:eastAsia="宋体" w:cs="宋体"/>
          <w:lang w:val="en-US" w:eastAsia="zh-CN"/>
        </w:rPr>
      </w:pPr>
      <w:bookmarkStart w:id="41" w:name="_Toc7361"/>
      <w:r>
        <w:rPr>
          <w:rFonts w:hint="default" w:ascii="宋体" w:hAnsi="宋体" w:eastAsia="宋体" w:cs="宋体"/>
          <w:lang w:val="en-US" w:eastAsia="zh-CN"/>
        </w:rPr>
        <w:t>4.3 功能模块的设计</w:t>
      </w:r>
      <w:bookmarkEnd w:id="41"/>
    </w:p>
    <w:p w14:paraId="323F15F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本节依据系统的总体架构设计，对核心功能模块的实现方案进行详细阐述。本系统被划分为‌试验管理控制、智能温度控制、实时数据采集与处理、用户交互以及报告自动生成‌五个核心功能模块。每个模块承担着从试验流程自动化到数据最终交付的关键职责，它们通过清晰定义的接口和数据流进行协同，共同构成了一套遵循‌ISO 11820-2020‌国际标准、支持</w:t>
      </w:r>
      <w:r>
        <w:rPr>
          <w:rFonts w:hint="eastAsia" w:ascii="宋体" w:hAnsi="宋体" w:eastAsia="宋体" w:cs="宋体"/>
          <w:kern w:val="2"/>
          <w:sz w:val="24"/>
          <w:szCs w:val="24"/>
          <w:lang w:val="en-US" w:eastAsia="zh-CN" w:bidi="ar-SA"/>
        </w:rPr>
        <w:t>建筑</w:t>
      </w:r>
      <w:r>
        <w:rPr>
          <w:rFonts w:hint="default" w:ascii="宋体" w:hAnsi="宋体" w:eastAsia="宋体" w:cs="宋体"/>
          <w:kern w:val="2"/>
          <w:sz w:val="24"/>
          <w:szCs w:val="24"/>
          <w:lang w:val="en-US" w:eastAsia="zh-CN" w:bidi="ar-SA"/>
        </w:rPr>
        <w:t>不燃性试验自动化的有机整体。</w:t>
      </w:r>
    </w:p>
    <w:p w14:paraId="4098B78A">
      <w:pPr>
        <w:keepNext w:val="0"/>
        <w:keepLines w:val="0"/>
        <w:pageBreakBefore w:val="0"/>
        <w:widowControl w:val="0"/>
        <w:shd w:val="clear"/>
        <w:kinsoku/>
        <w:wordWrap/>
        <w:overflowPunct/>
        <w:topLinePunct w:val="0"/>
        <w:autoSpaceDE/>
        <w:autoSpaceDN/>
        <w:bidi w:val="0"/>
        <w:adjustRightInd/>
        <w:snapToGrid/>
        <w:spacing w:line="360" w:lineRule="auto"/>
        <w:textAlignment w:val="auto"/>
      </w:pPr>
      <w:r>
        <w:drawing>
          <wp:inline distT="0" distB="0" distL="114300" distR="114300">
            <wp:extent cx="5272405" cy="1367155"/>
            <wp:effectExtent l="0" t="0" r="10795" b="44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7"/>
                    <a:stretch>
                      <a:fillRect/>
                    </a:stretch>
                  </pic:blipFill>
                  <pic:spPr>
                    <a:xfrm>
                      <a:off x="0" y="0"/>
                      <a:ext cx="5272405" cy="1367155"/>
                    </a:xfrm>
                    <a:prstGeom prst="rect">
                      <a:avLst/>
                    </a:prstGeom>
                    <a:noFill/>
                    <a:ln>
                      <a:noFill/>
                    </a:ln>
                  </pic:spPr>
                </pic:pic>
              </a:graphicData>
            </a:graphic>
          </wp:inline>
        </w:drawing>
      </w:r>
    </w:p>
    <w:p w14:paraId="42B252B8">
      <w:pPr>
        <w:pStyle w:val="6"/>
        <w:keepNext w:val="0"/>
        <w:keepLines w:val="0"/>
        <w:pageBreakBefore w:val="0"/>
        <w:widowControl w:val="0"/>
        <w:shd w:val="clear"/>
        <w:kinsoku/>
        <w:wordWrap/>
        <w:overflowPunct/>
        <w:topLinePunct w:val="0"/>
        <w:autoSpaceDE/>
        <w:autoSpaceDN/>
        <w:bidi w:val="0"/>
        <w:adjustRightInd/>
        <w:snapToGrid/>
        <w:spacing w:line="360" w:lineRule="auto"/>
        <w:textAlignment w:val="auto"/>
        <w:rPr>
          <w:rFonts w:hint="eastAsia" w:eastAsiaTheme="minorEastAsia"/>
          <w:lang w:val="en-US" w:eastAsia="zh-CN"/>
        </w:rPr>
      </w:pPr>
      <w:r>
        <w:t>图</w:t>
      </w:r>
      <w:r>
        <w:rPr>
          <w:rFonts w:hint="eastAsia"/>
          <w:lang w:val="en-US" w:eastAsia="zh-CN"/>
        </w:rPr>
        <w:t>4-3</w:t>
      </w:r>
      <w:r>
        <w:rPr>
          <w:rFonts w:hint="eastAsia"/>
          <w:lang w:eastAsia="zh-CN"/>
        </w:rPr>
        <w:t>功能结构图</w:t>
      </w:r>
    </w:p>
    <w:p w14:paraId="06BB80CC">
      <w:pPr>
        <w:pStyle w:val="4"/>
        <w:shd w:val="clear"/>
        <w:bidi w:val="0"/>
        <w:rPr>
          <w:rStyle w:val="18"/>
          <w:rFonts w:hint="default" w:ascii="宋体" w:hAnsi="宋体" w:eastAsia="宋体" w:cs="宋体"/>
          <w:b/>
          <w:lang w:val="en-US" w:eastAsia="zh-CN"/>
        </w:rPr>
      </w:pPr>
      <w:bookmarkStart w:id="42" w:name="_Toc28917"/>
      <w:r>
        <w:rPr>
          <w:rStyle w:val="18"/>
          <w:rFonts w:hint="default" w:ascii="宋体" w:hAnsi="宋体" w:eastAsia="宋体" w:cs="宋体"/>
          <w:b/>
          <w:lang w:val="en-US" w:eastAsia="zh-CN"/>
        </w:rPr>
        <w:t>4.3.1 试验管理控制模块</w:t>
      </w:r>
      <w:bookmarkEnd w:id="42"/>
    </w:p>
    <w:p w14:paraId="6559D90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该模块的核心是一个基于‌状态机（State Machine）‌ 设计的控制器 (TestMaster1)。它定义了试验从创建到完成的标准流程：Idle (空闲) → Preparing (准备升温) → Ready (温度已稳定，就绪) → Recording (数据记录中) → Complete (完成)。每个状态的转换都依赖于严格的预定义条件，例如从Preparing转换到Ready需要系统连续600秒监测炉内温度，并同时满足“在[745℃, 755℃]范围内”、“每10分钟温漂不超过2℃”以及“10分钟内最高温度与平均温度之差不大于1℃”这三个判定条件。这确保了整个试验过程的自动化与标准化，严格遵循ISO 11820协议要求。</w:t>
      </w:r>
    </w:p>
    <w:p w14:paraId="24ECCE36">
      <w:pPr>
        <w:pStyle w:val="4"/>
        <w:shd w:val="clear"/>
        <w:bidi w:val="0"/>
        <w:rPr>
          <w:rStyle w:val="18"/>
          <w:rFonts w:hint="default" w:ascii="宋体" w:hAnsi="宋体" w:eastAsia="宋体" w:cs="宋体"/>
          <w:b/>
          <w:lang w:val="en-US" w:eastAsia="zh-CN"/>
        </w:rPr>
      </w:pPr>
      <w:bookmarkStart w:id="43" w:name="_Toc22049"/>
      <w:r>
        <w:rPr>
          <w:rStyle w:val="18"/>
          <w:rFonts w:hint="default" w:ascii="宋体" w:hAnsi="宋体" w:eastAsia="宋体" w:cs="宋体"/>
          <w:b/>
          <w:lang w:val="en-US" w:eastAsia="zh-CN"/>
        </w:rPr>
        <w:t>4.3.2 智能温度控制模块</w:t>
      </w:r>
      <w:bookmarkEnd w:id="43"/>
    </w:p>
    <w:p w14:paraId="58975176">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本模块集成了两阶段的温控算法，以满足高效率升温和高精度恒温的双重需求。在升温阶段，采用 ‌“多阶段自适应控制”</w:t>
      </w:r>
      <w:r>
        <w:rPr>
          <w:rFonts w:hint="default" w:ascii="宋体" w:hAnsi="宋体" w:eastAsia="宋体" w:cs="宋体"/>
          <w:kern w:val="2"/>
          <w:sz w:val="24"/>
          <w:szCs w:val="24"/>
          <w:vertAlign w:val="superscript"/>
          <w:lang w:val="en-US" w:eastAsia="zh-CN" w:bidi="ar-SA"/>
        </w:rPr>
        <w:fldChar w:fldCharType="begin"/>
      </w:r>
      <w:r>
        <w:instrText xml:space="preserve"> REF _Ref20728 \r \h  \* MERGEFORMAT</w:instrText>
      </w:r>
      <w:r>
        <w:rPr>
          <w:rFonts w:hint="default" w:ascii="宋体" w:hAnsi="宋体" w:eastAsia="宋体" w:cs="宋体"/>
          <w:kern w:val="2"/>
          <w:sz w:val="24"/>
          <w:szCs w:val="24"/>
          <w:vertAlign w:val="superscript"/>
          <w:lang w:val="en-US" w:eastAsia="zh-CN" w:bidi="ar-SA"/>
        </w:rPr>
        <w:fldChar w:fldCharType="separate"/>
      </w:r>
      <w:r>
        <w:rPr>
          <w:rFonts w:hint="default" w:ascii="宋体" w:hAnsi="宋体" w:eastAsia="宋体" w:cs="宋体"/>
          <w:kern w:val="2"/>
          <w:sz w:val="24"/>
          <w:szCs w:val="24"/>
          <w:vertAlign w:val="superscript"/>
          <w:lang w:val="en-US" w:eastAsia="zh-CN" w:bidi="ar-SA"/>
        </w:rPr>
        <w:t>[9]</w:t>
      </w:r>
      <w:r>
        <w:rPr>
          <w:rFonts w:hint="default" w:ascii="宋体" w:hAnsi="宋体" w:eastAsia="宋体" w:cs="宋体"/>
          <w:kern w:val="2"/>
          <w:sz w:val="24"/>
          <w:szCs w:val="24"/>
          <w:vertAlign w:val="superscript"/>
          <w:lang w:val="en-US" w:eastAsia="zh-CN" w:bidi="ar-SA"/>
        </w:rPr>
        <w:fldChar w:fldCharType="end"/>
      </w:r>
      <w:r>
        <w:rPr>
          <w:rFonts w:hint="default" w:ascii="宋体" w:hAnsi="宋体" w:eastAsia="宋体" w:cs="宋体"/>
          <w:kern w:val="2"/>
          <w:sz w:val="24"/>
          <w:szCs w:val="24"/>
          <w:lang w:val="en-US" w:eastAsia="zh-CN" w:bidi="ar-SA"/>
        </w:rPr>
        <w:t>‌，将升温曲线划分为不同区间：室温-300℃（30%功率）、300℃-500℃（50%功率）、500℃-600℃（70%功率）及600℃-700℃（90%功率）。系统实时读取温度，通过ApparatusManipulator自动调整加热器的功率输出百分比，实现平稳快速的升温。当炉内温度超过约700℃时，系统将无缝切换至‌PID自动控温模式‌。此时，ApparatusManipulator类将通过Modbus协议向PID控制器写入目标温度750.0℃和控制参数，利用硬件PID控制器内置的高精度调节算法维持炉温高度稳定在设定值的±5℃范围内。</w:t>
      </w:r>
    </w:p>
    <w:p w14:paraId="5967F806">
      <w:pPr>
        <w:pStyle w:val="4"/>
        <w:shd w:val="clear"/>
        <w:bidi w:val="0"/>
        <w:rPr>
          <w:rStyle w:val="18"/>
          <w:rFonts w:hint="default" w:ascii="宋体" w:hAnsi="宋体" w:eastAsia="宋体" w:cs="宋体"/>
          <w:b/>
          <w:lang w:val="en-US" w:eastAsia="zh-CN"/>
        </w:rPr>
      </w:pPr>
      <w:bookmarkStart w:id="44" w:name="_Toc27894"/>
      <w:r>
        <w:rPr>
          <w:rStyle w:val="18"/>
          <w:rFonts w:hint="default" w:ascii="宋体" w:hAnsi="宋体" w:eastAsia="宋体" w:cs="宋体"/>
          <w:b/>
          <w:lang w:val="en-US" w:eastAsia="zh-CN"/>
        </w:rPr>
        <w:t>4.3.3 实时数据采集与处理模块</w:t>
      </w:r>
      <w:bookmarkEnd w:id="44"/>
    </w:p>
    <w:p w14:paraId="3DF2313F">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此模块是系统的“感官与记忆”。它包含一个独立运行的‌数据采集后台服务(DaqWorker)‌，采用一个高精度定时器，以800毫秒的固定周期轮询传感器。通过访问Adam 4018+采集模块，同时读取多条温度信号（炉内温度1/2、试样表面/中心温度等），进行数据转换与校准。为了平衡高性能与数据安全性，数据采用双缓冲区策略：先暂存入内存中的环形缓存队列（约保留最近10分钟数据）以便算法实时计算；再异步地批量化存储至后端数据库的试验记录中，以此保障在任何通信或存储短时故障下，核心过程数据不丢失，并可快速被图表组件调用。</w:t>
      </w:r>
    </w:p>
    <w:p w14:paraId="1AC07E94">
      <w:pPr>
        <w:pStyle w:val="4"/>
        <w:shd w:val="clear"/>
        <w:bidi w:val="0"/>
        <w:rPr>
          <w:rStyle w:val="18"/>
          <w:rFonts w:hint="default" w:ascii="宋体" w:hAnsi="宋体" w:eastAsia="宋体" w:cs="宋体"/>
          <w:b/>
          <w:lang w:val="en-US" w:eastAsia="zh-CN"/>
        </w:rPr>
      </w:pPr>
      <w:bookmarkStart w:id="45" w:name="_Toc21080"/>
      <w:r>
        <w:rPr>
          <w:rStyle w:val="18"/>
          <w:rFonts w:hint="default" w:ascii="宋体" w:hAnsi="宋体" w:eastAsia="宋体" w:cs="宋体"/>
          <w:b/>
          <w:lang w:val="en-US" w:eastAsia="zh-CN"/>
        </w:rPr>
        <w:t>4.3.4 用户交互模块设计</w:t>
      </w:r>
      <w:bookmarkEnd w:id="45"/>
    </w:p>
    <w:p w14:paraId="0320727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用户交互模块是基于WinForms技术构建的图形化桌面客户端。其核心功能是提供一个实时、可视化的监测与控制界面。</w:t>
      </w:r>
    </w:p>
    <w:p w14:paraId="2762F01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1.</w:t>
      </w:r>
      <w:r>
        <w:rPr>
          <w:rFonts w:hint="default" w:ascii="宋体" w:hAnsi="宋体" w:eastAsia="宋体" w:cs="宋体"/>
          <w:kern w:val="2"/>
          <w:sz w:val="24"/>
          <w:szCs w:val="24"/>
          <w:lang w:val="en-US" w:eastAsia="zh-CN" w:bidi="ar-SA"/>
        </w:rPr>
        <w:t>‌试验状态与关键数据显示区‌：界面顶部醒目地展示了当前试验状态、试验总耗时、当前炉温等核心信息。</w:t>
      </w:r>
    </w:p>
    <w:p w14:paraId="330C724F">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w:t>
      </w:r>
      <w:r>
        <w:rPr>
          <w:rFonts w:hint="default" w:ascii="宋体" w:hAnsi="宋体" w:eastAsia="宋体" w:cs="宋体"/>
          <w:kern w:val="2"/>
          <w:sz w:val="24"/>
          <w:szCs w:val="24"/>
          <w:lang w:val="en-US" w:eastAsia="zh-CN" w:bidi="ar-SA"/>
        </w:rPr>
        <w:t>‌多通道温度实时曲线图‌：利用图形控件动态绘制四条随时间变化的温度曲线，分别对应炉内1、炉内2、试样表面及试样中心温度。</w:t>
      </w:r>
    </w:p>
    <w:p w14:paraId="78C89129">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w:t>
      </w:r>
      <w:r>
        <w:rPr>
          <w:rFonts w:hint="default" w:ascii="宋体" w:hAnsi="宋体" w:eastAsia="宋体" w:cs="宋体"/>
          <w:kern w:val="2"/>
          <w:sz w:val="24"/>
          <w:szCs w:val="24"/>
          <w:lang w:val="en-US" w:eastAsia="zh-CN" w:bidi="ar-SA"/>
        </w:rPr>
        <w:t>‌试验参数输入区‌：提供独立的表单窗口，供操作员在试验前录入试样编号、产品规格、前/后质量等关键元数据。</w:t>
      </w:r>
    </w:p>
    <w:p w14:paraId="7FAF37D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w:t>
      </w:r>
      <w:r>
        <w:rPr>
          <w:rFonts w:hint="default" w:ascii="宋体" w:hAnsi="宋体" w:eastAsia="宋体" w:cs="宋体"/>
          <w:kern w:val="2"/>
          <w:sz w:val="24"/>
          <w:szCs w:val="24"/>
          <w:lang w:val="en-US" w:eastAsia="zh-CN" w:bidi="ar-SA"/>
        </w:rPr>
        <w:t>‌权限管理后台‌：实现基于角色的访问控制。例如，“实验员”角色仅能运行试验，“管理员”角色拥有添加、删除用户以及修改配置参数等高级权限。</w:t>
      </w:r>
    </w:p>
    <w:p w14:paraId="62C2D79F">
      <w:pPr>
        <w:pStyle w:val="4"/>
        <w:shd w:val="clear"/>
        <w:bidi w:val="0"/>
        <w:rPr>
          <w:rStyle w:val="18"/>
          <w:rFonts w:hint="default" w:ascii="宋体" w:hAnsi="宋体" w:eastAsia="宋体" w:cs="宋体"/>
          <w:b/>
          <w:lang w:val="en-US" w:eastAsia="zh-CN"/>
        </w:rPr>
      </w:pPr>
      <w:bookmarkStart w:id="46" w:name="_Toc28098"/>
      <w:r>
        <w:rPr>
          <w:rStyle w:val="18"/>
          <w:rFonts w:hint="default" w:ascii="宋体" w:hAnsi="宋体" w:eastAsia="宋体" w:cs="宋体"/>
          <w:b/>
          <w:lang w:val="en-US" w:eastAsia="zh-CN"/>
        </w:rPr>
        <w:t>‌4.3.5 报告自动生成模块</w:t>
      </w:r>
      <w:bookmarkEnd w:id="46"/>
    </w:p>
    <w:p w14:paraId="1E1FCA8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报告生成功能把检测报告生产全流程自动化了，而且使用户可以按照实际需求自己选定输出PDF或Excel两种格式，此模块以已完成试验的Testmaster记录以及有关联的温度 - 时间原始数据为依托，就不同格式各自采用对应的核心生成引擎：Excel报告凭借EPPlus和ClosedXML库，打开依照ISO 11820标准范式的Excel模板文件，自动把试验元数据（产品ID、操作员）、过程数据（前后质量、起火时间、温度记录）还有计算好的结果（质量损失率、温升）填充进模板指定单元格里，同时按照标准格式的要求，把温度 - 时间曲线图画出来并嵌入最终报告；PDF报告是基于PDFsharp库，把相同的试验数据用作输入，按照预设的标准排版模板生成内容一样、版式遵循规范的PDF文档，用户只</w:t>
      </w:r>
      <w:r>
        <w:rPr>
          <w:rFonts w:hint="eastAsia" w:ascii="宋体" w:hAnsi="宋体" w:eastAsia="宋体" w:cs="宋体"/>
          <w:kern w:val="2"/>
          <w:sz w:val="24"/>
          <w:szCs w:val="24"/>
          <w:lang w:val="en-US" w:eastAsia="zh-CN" w:bidi="ar-SA"/>
        </w:rPr>
        <w:t>需</w:t>
      </w:r>
      <w:r>
        <w:rPr>
          <w:rFonts w:hint="default" w:ascii="宋体" w:hAnsi="宋体" w:eastAsia="宋体" w:cs="宋体"/>
          <w:kern w:val="2"/>
          <w:sz w:val="24"/>
          <w:szCs w:val="24"/>
          <w:lang w:val="en-US" w:eastAsia="zh-CN" w:bidi="ar-SA"/>
        </w:rPr>
        <w:t>一次按键操作，便可以获取格式统一、数据充足的试验报告，两种输出格式在信息完整的情况跟标准合规的情况上高度</w:t>
      </w:r>
      <w:r>
        <w:rPr>
          <w:rFonts w:hint="eastAsia" w:ascii="宋体" w:hAnsi="宋体" w:eastAsia="宋体" w:cs="宋体"/>
          <w:kern w:val="2"/>
          <w:sz w:val="24"/>
          <w:szCs w:val="24"/>
          <w:lang w:val="en-US" w:eastAsia="zh-CN" w:bidi="ar-SA"/>
        </w:rPr>
        <w:t>一致</w:t>
      </w:r>
      <w:r>
        <w:rPr>
          <w:rFonts w:hint="default" w:ascii="宋体" w:hAnsi="宋体" w:eastAsia="宋体" w:cs="宋体"/>
          <w:kern w:val="2"/>
          <w:sz w:val="24"/>
          <w:szCs w:val="24"/>
          <w:lang w:val="en-US" w:eastAsia="zh-CN" w:bidi="ar-SA"/>
        </w:rPr>
        <w:t>。</w:t>
      </w:r>
    </w:p>
    <w:p w14:paraId="0437170F">
      <w:pPr>
        <w:pStyle w:val="4"/>
        <w:shd w:val="clear"/>
        <w:bidi w:val="0"/>
        <w:rPr>
          <w:rStyle w:val="18"/>
          <w:rFonts w:hint="default" w:ascii="宋体" w:hAnsi="宋体" w:eastAsia="宋体" w:cs="宋体"/>
          <w:b/>
          <w:lang w:val="en-US" w:eastAsia="zh-CN"/>
        </w:rPr>
      </w:pPr>
      <w:bookmarkStart w:id="47" w:name="_Toc7497"/>
      <w:r>
        <w:rPr>
          <w:rStyle w:val="18"/>
          <w:rFonts w:hint="default" w:ascii="宋体" w:hAnsi="宋体" w:eastAsia="宋体" w:cs="宋体"/>
          <w:b/>
          <w:lang w:val="en-US" w:eastAsia="zh-CN"/>
        </w:rPr>
        <w:t>4.3.</w:t>
      </w:r>
      <w:r>
        <w:rPr>
          <w:rStyle w:val="18"/>
          <w:rFonts w:hint="eastAsia" w:ascii="宋体" w:hAnsi="宋体" w:cs="宋体"/>
          <w:b/>
          <w:lang w:val="en-US" w:eastAsia="zh-CN"/>
        </w:rPr>
        <w:t>6</w:t>
      </w:r>
      <w:r>
        <w:rPr>
          <w:rStyle w:val="18"/>
          <w:rFonts w:hint="default" w:ascii="宋体" w:hAnsi="宋体" w:eastAsia="宋体" w:cs="宋体"/>
          <w:b/>
          <w:lang w:val="en-US" w:eastAsia="zh-CN"/>
        </w:rPr>
        <w:t xml:space="preserve"> 校准系统功能设计</w:t>
      </w:r>
      <w:bookmarkEnd w:id="47"/>
    </w:p>
    <w:p w14:paraId="39A43B5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为使试验炉体在不同运行周期都可以满足ISO 11820标准针对温度场均匀性和稳定性的严格规定，本系统于功能模块设计当中专门构建了校准子系统，且把它以独立状态作为MainForm主界面的第二个功能页签展示，校准系统的设计目的是给炉壁表面温度分布以及中心轴温度梯度提供一套可量化、标准化的校验流程，用数据驱动的模式替换传统基于经验来判定的炉体检定模式</w:t>
      </w:r>
      <w:r>
        <w:rPr>
          <w:rFonts w:hint="default" w:ascii="宋体" w:hAnsi="宋体" w:eastAsia="宋体" w:cs="宋体"/>
          <w:kern w:val="2"/>
          <w:sz w:val="24"/>
          <w:szCs w:val="24"/>
          <w:lang w:val="en-US" w:eastAsia="zh-CN" w:bidi="ar-SA"/>
        </w:rPr>
        <w:t>。</w:t>
      </w:r>
    </w:p>
    <w:p w14:paraId="5312A9F2">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校准系统以功能层面划分出两大校验类型：进行炉壁温度方面的校验，炉壁温度校验用九点网格布局来开展，在炉壁内侧根据三轴（Axis 1至Axis 3）和三层级（Level A至Level C）交叉的那个位置，布置A1至C3共九个测温点，达成炉膛关键区域温度采样的指标。系统把各测点温度数据采集好之后，自动计算各轴向与各层级的分组平均温度以及总体平均温度，并进一步得出各轴和各层的温度偏差值以及轴向平均偏差与层向平均偏差，最终综合评判炉壁温度场的均匀性指标及最大偏差是否处于标准所允许的范围之内，中心轴温度校验是朝着炉膛中心轴线方向，处于5mm到145mm的区间，以10mm的间隔设置十五个测温之处，用于评估中心轴向上温度梯度的相关特性，采样的数据以结构化形式统一予以存储，利于后续开展趋势分析以及历史的比较</w:t>
      </w:r>
      <w:r>
        <w:rPr>
          <w:rFonts w:hint="eastAsia" w:ascii="宋体" w:hAnsi="宋体" w:eastAsia="宋体" w:cs="宋体"/>
          <w:kern w:val="2"/>
          <w:sz w:val="24"/>
          <w:szCs w:val="24"/>
          <w:lang w:val="en-US" w:eastAsia="zh-CN" w:bidi="ar-SA"/>
        </w:rPr>
        <w:t>。</w:t>
      </w:r>
    </w:p>
    <w:p w14:paraId="1924AF2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校准记录的数据模型设计充分考虑了两种校验类型字段差异以及共用需求，通用字段包含着记录标识、校验日期、校验类型、设备编号、操作员信息、均匀性结果、最大偏差、平均温度、是否达到校验标准以及备注说明等主要属性，保障每一次校准操作可完整查究。就炉壁温度校验的事宜，模型扩大了A1至C3九个测温点的独立温度字段以及各轴各层的平均值与偏差计算的字段，让原始数据以及衍生指标在同一记录内闭环存储；在中心轴温度校验的相关方面，则用结构化样式集中留存各位置的温度序列数据，所有的校准记录利用CalibrationRecords数据表实现持久化，支持以时间范围、校验类型和设备编号等维度来做查询与回溯，为试验炉体长期运行状态的监控以及预防性维护提供可信赖的数据基础</w:t>
      </w:r>
      <w:r>
        <w:rPr>
          <w:rFonts w:hint="default" w:ascii="宋体" w:hAnsi="宋体" w:eastAsia="宋体" w:cs="宋体"/>
          <w:kern w:val="2"/>
          <w:sz w:val="24"/>
          <w:szCs w:val="24"/>
          <w:lang w:val="en-US" w:eastAsia="zh-CN" w:bidi="ar-SA"/>
        </w:rPr>
        <w:t>。</w:t>
      </w:r>
    </w:p>
    <w:p w14:paraId="3E00E49F">
      <w:pPr>
        <w:pStyle w:val="3"/>
        <w:shd w:val="clear"/>
        <w:bidi w:val="0"/>
        <w:rPr>
          <w:rFonts w:hint="eastAsia" w:ascii="宋体" w:hAnsi="宋体" w:eastAsia="宋体" w:cs="宋体"/>
          <w:lang w:val="en-US" w:eastAsia="zh-CN"/>
        </w:rPr>
      </w:pPr>
      <w:bookmarkStart w:id="48" w:name="_Toc7189"/>
      <w:r>
        <w:rPr>
          <w:rFonts w:hint="default" w:ascii="宋体" w:hAnsi="宋体" w:eastAsia="宋体" w:cs="宋体"/>
          <w:lang w:val="en-US" w:eastAsia="zh-CN"/>
        </w:rPr>
        <w:t>4.4 非功能模块的设计</w:t>
      </w:r>
      <w:bookmarkEnd w:id="48"/>
      <w:r>
        <w:rPr>
          <w:rFonts w:hint="eastAsia" w:ascii="宋体" w:hAnsi="宋体" w:eastAsia="宋体" w:cs="宋体"/>
          <w:lang w:val="en-US" w:eastAsia="zh-CN"/>
        </w:rPr>
        <w:tab/>
      </w:r>
    </w:p>
    <w:p w14:paraId="0B6EDFB4">
      <w:pPr>
        <w:pStyle w:val="4"/>
        <w:shd w:val="clear"/>
        <w:bidi w:val="0"/>
        <w:rPr>
          <w:rStyle w:val="18"/>
          <w:rFonts w:hint="default" w:ascii="宋体" w:hAnsi="宋体" w:eastAsia="宋体" w:cs="宋体"/>
          <w:b/>
          <w:lang w:val="en-US" w:eastAsia="zh-CN"/>
        </w:rPr>
      </w:pPr>
      <w:bookmarkStart w:id="49" w:name="_Toc32637"/>
      <w:r>
        <w:rPr>
          <w:rStyle w:val="18"/>
          <w:rFonts w:hint="default" w:ascii="宋体" w:hAnsi="宋体" w:eastAsia="宋体" w:cs="宋体"/>
          <w:b/>
          <w:lang w:val="en-US" w:eastAsia="zh-CN"/>
        </w:rPr>
        <w:t>‌4.4.1 通信容错与硬件集成设计</w:t>
      </w:r>
      <w:bookmarkEnd w:id="49"/>
    </w:p>
    <w:p w14:paraId="16CCAD02">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为保证和外部硬件通信的稳定性，系统于通信层安排了不错的容错机制，系统弄了一个统一的硬件抽象层，用来封装和具体硬件设备的交互，让上层业务逻辑不被底层硬件变化所左右，在Modbus RTU通信这件事上，融入了具有超时重试以及异常处理能力的FluentModbus库。每次读写请求都会捕获特定异常（如TimeoutException、IOException）之后把日志记下来，来诊断连接所出现的问题，对于读取传感器之类的关键操作，系统可以实现断线自动重连及做数据缓冲，在网络与硬件短暂故障恢复以后，可顺利衔接继续做数据采集和设备控制，最大程度保证试验的连续性以及数据的可靠性。</w:t>
      </w:r>
    </w:p>
    <w:p w14:paraId="1D324296">
      <w:pPr>
        <w:pStyle w:val="4"/>
        <w:shd w:val="clear"/>
        <w:bidi w:val="0"/>
        <w:rPr>
          <w:rStyle w:val="18"/>
          <w:rFonts w:hint="default" w:ascii="宋体" w:hAnsi="宋体" w:eastAsia="宋体" w:cs="宋体"/>
          <w:b/>
          <w:lang w:val="en-US" w:eastAsia="zh-CN"/>
        </w:rPr>
      </w:pPr>
      <w:bookmarkStart w:id="50" w:name="_Toc24080"/>
      <w:r>
        <w:rPr>
          <w:rStyle w:val="18"/>
          <w:rFonts w:hint="default" w:ascii="宋体" w:hAnsi="宋体" w:eastAsia="宋体" w:cs="宋体"/>
          <w:b/>
          <w:lang w:val="en-US" w:eastAsia="zh-CN"/>
        </w:rPr>
        <w:t>‌4.4.2 系统监控与日志管理设计</w:t>
      </w:r>
      <w:bookmarkEnd w:id="50"/>
    </w:p>
    <w:p w14:paraId="1976A85D">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了做到对系统运行时状态的全方位监测和故障可追踪，本系统装设了结构化日志记录框架Serilog，日志记录散布到所有层面：硬件交互层记录每次Modbus通信详细的报文、响应时间以及成功或者失败的状态；业务逻辑层记录试验每一次状态的转换、算法所计算出的关键温度值和温漂判定结果；数据访问层对数据库的关键操作做记录；用户操作层记录全部和状态变化、参数变更有关的重要行为，日志内容用时间戳、日志级别、事件类型、操作内容等进行详细的结构化，可即时把日志输出到控制台调试，也能够持久化到文件与数据库，供管理员事后审查研讨</w:t>
      </w:r>
      <w:r>
        <w:rPr>
          <w:rFonts w:hint="eastAsia" w:ascii="宋体" w:hAnsi="宋体" w:eastAsia="宋体" w:cs="宋体"/>
          <w:kern w:val="2"/>
          <w:sz w:val="24"/>
          <w:szCs w:val="24"/>
          <w:lang w:val="en-US" w:eastAsia="zh-CN" w:bidi="ar-SA"/>
        </w:rPr>
        <w:t>。</w:t>
      </w:r>
    </w:p>
    <w:p w14:paraId="41E7506A">
      <w:pPr>
        <w:pStyle w:val="4"/>
        <w:shd w:val="clear"/>
        <w:bidi w:val="0"/>
        <w:rPr>
          <w:rStyle w:val="18"/>
          <w:rFonts w:hint="default" w:ascii="宋体" w:hAnsi="宋体" w:eastAsia="宋体" w:cs="宋体"/>
          <w:b/>
          <w:lang w:val="en-US" w:eastAsia="zh-CN"/>
        </w:rPr>
      </w:pPr>
      <w:bookmarkStart w:id="51" w:name="_Toc28518"/>
      <w:r>
        <w:rPr>
          <w:rStyle w:val="18"/>
          <w:rFonts w:hint="default" w:ascii="宋体" w:hAnsi="宋体" w:eastAsia="宋体" w:cs="宋体"/>
          <w:b/>
          <w:lang w:val="en-US" w:eastAsia="zh-CN"/>
        </w:rPr>
        <w:t>‌4.4.3 资源管理、性能优化与稳定性设计</w:t>
      </w:r>
      <w:bookmarkEnd w:id="51"/>
    </w:p>
    <w:p w14:paraId="1C4B51A6">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针对高性能数据流处理相关需求，系统运用多类性能优化路径来优化性能，凭借异步数据存储机制，使界面不出现卡顿；采用内存缓存（MemoryCache）策略缓存设备元数据以及用户常用配置，用以大量降低对数据库的重复I/O操作，像开展设备信息查询等，大幅加快了界面以及历史数据查询的响应速度（根据测试，数据库访问量差不多降低了80%；通过基于配置项所采用的双模式，系统支持在只依赖虚拟串口(com0com)和Modbus Slave模拟软件的环境当中，完整开展核心业务逻辑方面的开发与测试，该设计让开发效率有所提高，也保证了在没有物理硬件资源的条件下，新功能依然可得到充分的验证。</w:t>
      </w:r>
    </w:p>
    <w:p w14:paraId="7319B10F">
      <w:pPr>
        <w:pStyle w:val="4"/>
        <w:shd w:val="clear"/>
        <w:bidi w:val="0"/>
        <w:rPr>
          <w:rStyle w:val="18"/>
          <w:rFonts w:hint="default" w:ascii="宋体" w:hAnsi="宋体" w:eastAsia="宋体" w:cs="宋体"/>
          <w:b/>
          <w:lang w:val="en-US" w:eastAsia="zh-CN"/>
        </w:rPr>
      </w:pPr>
      <w:bookmarkStart w:id="52" w:name="_Toc7655"/>
      <w:r>
        <w:rPr>
          <w:rStyle w:val="18"/>
          <w:rFonts w:hint="default" w:ascii="宋体" w:hAnsi="宋体" w:eastAsia="宋体" w:cs="宋体"/>
          <w:b/>
          <w:lang w:val="en-US" w:eastAsia="zh-CN"/>
        </w:rPr>
        <w:t>‌4.4.4 安全与合规性设计</w:t>
      </w:r>
      <w:bookmarkEnd w:id="52"/>
    </w:p>
    <w:p w14:paraId="28839975">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本系统根据《建筑材料不燃性试验方法》(ISO 11820 - 2020)国家相关标准进行开发，该系统安全设计主要在操作授权和数据防篡改的两个方面得以呈现，系统于软件范畴借助用户管理模块达成了基于角色的访问控制，操作流程权限划分出“仅查看”“可运行试验”“可修改配置和用户”等不一样的等级。全部对设备参数、试验参数、用户信息开展的修改操作，都将被Serilog框架明白记录，产生无法篡改的操作审计日志，每一次试验的最终结果都将做数字签名/标记，以使得报告真实、完整且可被追溯，满足现代检测实验室信息化系统的基本安全合规相关要求</w:t>
      </w:r>
      <w:r>
        <w:rPr>
          <w:rFonts w:hint="eastAsia" w:ascii="宋体" w:hAnsi="宋体" w:eastAsia="宋体" w:cs="宋体"/>
          <w:sz w:val="24"/>
          <w:szCs w:val="24"/>
          <w:lang w:val="en-US" w:eastAsia="zh-CN"/>
        </w:rPr>
        <w:t>。</w:t>
      </w:r>
    </w:p>
    <w:p w14:paraId="7CA8044B">
      <w:pPr>
        <w:pStyle w:val="3"/>
        <w:shd w:val="clear"/>
        <w:bidi w:val="0"/>
        <w:rPr>
          <w:rFonts w:hint="default" w:ascii="宋体" w:hAnsi="宋体" w:eastAsia="宋体" w:cs="宋体"/>
          <w:lang w:val="en-US" w:eastAsia="zh-CN"/>
        </w:rPr>
      </w:pPr>
      <w:bookmarkStart w:id="53" w:name="_Toc28105"/>
      <w:r>
        <w:rPr>
          <w:rFonts w:hint="default" w:ascii="宋体" w:hAnsi="宋体" w:eastAsia="宋体" w:cs="宋体"/>
          <w:lang w:val="en-US" w:eastAsia="zh-CN"/>
        </w:rPr>
        <w:t>4.5 本章小结</w:t>
      </w:r>
      <w:bookmarkEnd w:id="53"/>
    </w:p>
    <w:p w14:paraId="492E2768">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从技术实现方面，对ISO11820建筑材料不燃性试验自动化系统做了全面的设计阐释，核心是靠着一套科学的技术架构设计，做到了对试验全流程精准、稳定又安全的自动化控制，技术架构运用分层设计来搭建，搭建了由展示、业务逻辑、数据存储与硬件交互搭建而成的四层体系，各层的职责十分清晰，功能模块做到相互解耦。</w:t>
      </w:r>
    </w:p>
    <w:p w14:paraId="7DD92F4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功能设计相关方面，本章专门讲述了六个核心功能模块：试验管理控制模块好比系统的“大脑”，利用状态机带动整个试验有序地开展；智能温度控制模块把多阶段算法以及PID控制算法集成了，搞定了高精度控温的主要困难；实时数据采集与处理模块好比系统的“感觉和神经通道”，保障原始数据采集在高效性和可靠性方面良好；用户交互模块起着人机接口的作用，赋予了直观、不麻烦的操作及监控感受；报告自动生成模块达成了检测结果标准化和自动化输出；校准系统功能模块为炉壁表面温度分布和中心轴温度梯度给出一套标准化、可量化的校验流程。</w:t>
      </w:r>
    </w:p>
    <w:p w14:paraId="5521A80D">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功能设计着重就通信的健壮性、系统的可观测性以及安全性进行考虑，还凭借异步处理、缓存和仿真测试等设计，很好地优化了系统性能及稳定性，。数据库设计以支持业务流程为原则，为核心业务实体建立了完整的数据模型。该设计方案科学、严谨，为系统的具体实施与实现奠定了坚实的基础。</w:t>
      </w:r>
    </w:p>
    <w:p w14:paraId="339B95CD">
      <w:pPr>
        <w:shd w:val="clea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br w:type="page"/>
      </w:r>
    </w:p>
    <w:p w14:paraId="1F92F05D">
      <w:pPr>
        <w:pStyle w:val="2"/>
        <w:shd w:val="clear"/>
        <w:bidi w:val="0"/>
        <w:rPr>
          <w:rFonts w:hint="eastAsia" w:ascii="宋体" w:hAnsi="宋体" w:eastAsia="宋体" w:cs="宋体"/>
          <w:lang w:val="en-US" w:eastAsia="zh-CN"/>
        </w:rPr>
      </w:pPr>
      <w:bookmarkStart w:id="54" w:name="_Toc8998"/>
      <w:r>
        <w:rPr>
          <w:rFonts w:hint="eastAsia" w:ascii="宋体" w:hAnsi="宋体" w:eastAsia="宋体" w:cs="宋体"/>
          <w:lang w:val="en-US" w:eastAsia="zh-CN"/>
        </w:rPr>
        <w:t>5 系统实现</w:t>
      </w:r>
      <w:bookmarkEnd w:id="54"/>
    </w:p>
    <w:p w14:paraId="3099886F">
      <w:pPr>
        <w:pStyle w:val="3"/>
        <w:shd w:val="clear"/>
        <w:bidi w:val="0"/>
        <w:rPr>
          <w:rFonts w:hint="eastAsia" w:ascii="宋体" w:hAnsi="宋体" w:eastAsia="宋体" w:cs="宋体"/>
          <w:lang w:val="en-US" w:eastAsia="zh-CN"/>
        </w:rPr>
      </w:pPr>
      <w:bookmarkStart w:id="55" w:name="_Toc11892"/>
      <w:r>
        <w:rPr>
          <w:rFonts w:hint="eastAsia" w:ascii="宋体" w:hAnsi="宋体" w:eastAsia="宋体" w:cs="宋体"/>
          <w:lang w:val="en-US" w:eastAsia="zh-CN"/>
        </w:rPr>
        <w:t>5.1系统开发环境</w:t>
      </w:r>
      <w:bookmarkEnd w:id="55"/>
    </w:p>
    <w:p w14:paraId="374BB468">
      <w:pPr>
        <w:pStyle w:val="1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为确保系统的高性能、稳定性及跨平台能力，本项目采用了一套主流、成熟且面向工业应用的技术栈。开发环境的构建兼顾了开发效率、运行效率与长期可维护性。具体的开发环境配置如下表所示：</w:t>
      </w:r>
    </w:p>
    <w:p w14:paraId="6C224A76">
      <w:pPr>
        <w:pStyle w:val="6"/>
        <w:shd w:val="clear"/>
        <w:bidi w:val="0"/>
        <w:rPr>
          <w:rFonts w:hint="eastAsia"/>
          <w:lang w:val="en-US" w:eastAsia="zh-CN"/>
        </w:rPr>
      </w:pPr>
      <w:r>
        <w:rPr>
          <w:rFonts w:hint="eastAsia"/>
        </w:rPr>
        <w:t xml:space="preserve">表 </w:t>
      </w:r>
      <w:r>
        <w:rPr>
          <w:rFonts w:hint="eastAsia"/>
          <w:lang w:val="en-US" w:eastAsia="zh-CN"/>
        </w:rPr>
        <w:t>5-1</w:t>
      </w:r>
      <w:r>
        <w:rPr>
          <w:rFonts w:hint="eastAsia"/>
          <w:lang w:eastAsia="zh-CN"/>
        </w:rPr>
        <w:t xml:space="preserve"> 系统开发环境</w:t>
      </w:r>
    </w:p>
    <w:tbl>
      <w:tblPr>
        <w:tblStyle w:val="13"/>
        <w:tblW w:w="9232" w:type="dxa"/>
        <w:tblInd w:w="-38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58"/>
        <w:gridCol w:w="2167"/>
        <w:gridCol w:w="4807"/>
      </w:tblGrid>
      <w:tr w14:paraId="5D079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225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8F7AFAE">
            <w:pPr>
              <w:keepNext w:val="0"/>
              <w:keepLines w:val="0"/>
              <w:widowControl/>
              <w:suppressLineNumbers w:val="0"/>
              <w:shd w:val="clear"/>
              <w:snapToGrid w:val="0"/>
              <w:ind w:left="0" w:leftChars="0" w:right="0" w:rightChars="0" w:firstLine="0" w:firstLineChars="0"/>
              <w:jc w:val="center"/>
              <w:textAlignment w:val="center"/>
              <w:rPr>
                <w:rFonts w:hint="eastAsia" w:ascii="黑体" w:hAnsi="黑体" w:eastAsia="黑体" w:cs="黑体"/>
                <w:b/>
                <w:i w:val="0"/>
                <w:iCs w:val="0"/>
                <w:color w:val="000000"/>
                <w:kern w:val="0"/>
                <w:sz w:val="21"/>
                <w:szCs w:val="21"/>
                <w:u w:val="none"/>
                <w:lang w:val="en-US" w:eastAsia="zh-CN" w:bidi="ar"/>
              </w:rPr>
            </w:pPr>
            <w:r>
              <w:rPr>
                <w:rFonts w:hint="eastAsia" w:ascii="黑体" w:hAnsi="黑体" w:eastAsia="黑体" w:cs="黑体"/>
                <w:b/>
                <w:i w:val="0"/>
                <w:iCs w:val="0"/>
                <w:color w:val="000000"/>
                <w:kern w:val="0"/>
                <w:sz w:val="21"/>
                <w:szCs w:val="21"/>
                <w:u w:val="none"/>
                <w:lang w:val="en-US" w:eastAsia="zh-CN" w:bidi="ar"/>
              </w:rPr>
              <w:t>开发环境</w:t>
            </w:r>
          </w:p>
        </w:tc>
        <w:tc>
          <w:tcPr>
            <w:tcW w:w="216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C800BA2">
            <w:pPr>
              <w:keepNext w:val="0"/>
              <w:keepLines w:val="0"/>
              <w:widowControl/>
              <w:suppressLineNumbers w:val="0"/>
              <w:shd w:val="clear"/>
              <w:snapToGrid w:val="0"/>
              <w:ind w:left="0" w:leftChars="0" w:right="0" w:rightChars="0" w:firstLine="0" w:firstLineChars="0"/>
              <w:jc w:val="center"/>
              <w:textAlignment w:val="center"/>
              <w:rPr>
                <w:rFonts w:hint="eastAsia" w:ascii="黑体" w:hAnsi="黑体" w:eastAsia="黑体" w:cs="黑体"/>
                <w:b/>
                <w:i w:val="0"/>
                <w:iCs w:val="0"/>
                <w:color w:val="000000"/>
                <w:kern w:val="0"/>
                <w:sz w:val="21"/>
                <w:szCs w:val="21"/>
                <w:u w:val="none"/>
                <w:lang w:val="en-US" w:eastAsia="zh-CN" w:bidi="ar"/>
              </w:rPr>
            </w:pPr>
            <w:r>
              <w:rPr>
                <w:rFonts w:hint="eastAsia" w:ascii="黑体" w:hAnsi="黑体" w:eastAsia="黑体" w:cs="黑体"/>
                <w:b/>
                <w:i w:val="0"/>
                <w:iCs w:val="0"/>
                <w:color w:val="000000"/>
                <w:kern w:val="0"/>
                <w:sz w:val="21"/>
                <w:szCs w:val="21"/>
                <w:u w:val="none"/>
                <w:lang w:val="en-US" w:eastAsia="zh-CN" w:bidi="ar"/>
              </w:rPr>
              <w:t>版本</w:t>
            </w:r>
          </w:p>
        </w:tc>
        <w:tc>
          <w:tcPr>
            <w:tcW w:w="480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95F9314">
            <w:pPr>
              <w:keepNext w:val="0"/>
              <w:keepLines w:val="0"/>
              <w:widowControl/>
              <w:suppressLineNumbers w:val="0"/>
              <w:shd w:val="clear"/>
              <w:snapToGrid w:val="0"/>
              <w:ind w:left="0" w:leftChars="0" w:right="0" w:rightChars="0" w:firstLine="0" w:firstLineChars="0"/>
              <w:jc w:val="center"/>
              <w:textAlignment w:val="center"/>
              <w:rPr>
                <w:rFonts w:hint="eastAsia" w:ascii="黑体" w:hAnsi="黑体" w:eastAsia="黑体" w:cs="黑体"/>
                <w:b/>
                <w:i w:val="0"/>
                <w:iCs w:val="0"/>
                <w:color w:val="000000"/>
                <w:kern w:val="0"/>
                <w:sz w:val="21"/>
                <w:szCs w:val="21"/>
                <w:u w:val="none"/>
                <w:lang w:val="en-US" w:eastAsia="zh-CN" w:bidi="ar"/>
              </w:rPr>
            </w:pPr>
            <w:r>
              <w:rPr>
                <w:rFonts w:hint="eastAsia" w:ascii="黑体" w:hAnsi="黑体" w:eastAsia="黑体" w:cs="黑体"/>
                <w:b/>
                <w:i w:val="0"/>
                <w:iCs w:val="0"/>
                <w:color w:val="000000"/>
                <w:kern w:val="0"/>
                <w:sz w:val="21"/>
                <w:szCs w:val="21"/>
                <w:u w:val="none"/>
                <w:lang w:val="en-US" w:eastAsia="zh-CN" w:bidi="ar"/>
              </w:rPr>
              <w:t>描述</w:t>
            </w:r>
          </w:p>
        </w:tc>
      </w:tr>
      <w:tr w14:paraId="3838C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45A8972">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‌开发平台与语言‌</w:t>
            </w:r>
          </w:p>
        </w:tc>
        <w:tc>
          <w:tcPr>
            <w:tcW w:w="216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7AC4C96">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.NET 6.0 / C# 10.0</w:t>
            </w:r>
          </w:p>
        </w:tc>
        <w:tc>
          <w:tcPr>
            <w:tcW w:w="480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F43F69">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系统基于微软.NET 6.0跨平台框架开发，后端核心控制逻辑与服务采用C# 10.0编写，充分利用其异步编程模型与现代化语法特性，确保系统响应速度与稳定性。</w:t>
            </w:r>
          </w:p>
        </w:tc>
      </w:tr>
      <w:tr w14:paraId="4860D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33169585">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‌客户端框架‌</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3D5DD48F">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Windows Forms (WinForms)</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1DA918AA">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选用成熟的WinForms框架构建桌面客户端，旨在提供符合传统工业软件操作习惯、控件丰富且开发高效的图形用户界面。</w:t>
            </w:r>
          </w:p>
        </w:tc>
      </w:tr>
      <w:tr w14:paraId="38627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3E351D47">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‌集成开发环境‌</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24893652">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Visual Studio 2022</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4E1725FD">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使用Visual Studio 2022作为主要开发工具，其强大的代码编辑、调试及项目管理功能显著提升了开发效率与代码质量。</w:t>
            </w:r>
          </w:p>
        </w:tc>
      </w:tr>
      <w:tr w14:paraId="10433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0285B4DA">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‌数据库系统‌</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030425B5">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Microsoft SQL Server 2019</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7E908FB0">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采用SQL Server 2019作为关系型数据库，负责存储试验主数据、产品信息、用户权限、系统配置及原始时序数据，保障数据的事务安全与结构化查询效率。</w:t>
            </w:r>
          </w:p>
        </w:tc>
      </w:tr>
      <w:tr w14:paraId="0CAAD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7"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671F4113">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‌对象关系映射‌</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391B7FF4">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Entity Framework Core 6</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531B7495">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集成EF Core 6作为ORM框架，实现以面向对象的方式高效、便捷地操作数据库，简化数据持久化层的开发，提升代码可维护性。</w:t>
            </w:r>
          </w:p>
        </w:tc>
      </w:tr>
      <w:tr w14:paraId="0F19C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2B826609">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‌工业通信库‌</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608DEB25">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FluentModbus</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0ED625DA">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采用FluentModbus库实现与PID温度控制器、多通道温度采集模块等硬件设备的Modbus RTU串行通信，提供了稳定、易用的协议栈封装。</w:t>
            </w:r>
          </w:p>
        </w:tc>
      </w:tr>
      <w:tr w14:paraId="69404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68113AA3">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‌数学计算库‌</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5FF05924">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MathNet.Numerics</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53D729B8">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引入MathNet.Numerics库，为核心的温度稳定性判定算法提供精确的线性拟合等高级数学计算支持，确保算法符合ISO标准的科学性与严谨性。</w:t>
            </w:r>
          </w:p>
        </w:tc>
      </w:tr>
      <w:tr w14:paraId="4C70E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128DE00D">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‌报告生成库‌</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54BA301D">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EPPlus+ClosedXML（Excel）、PDFsharp（PDF)</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561D6843">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使用</w:t>
            </w:r>
            <w:r>
              <w:rPr>
                <w:rFonts w:hint="default" w:ascii="宋体" w:hAnsi="宋体" w:eastAsia="宋体" w:cs="宋体"/>
                <w:i w:val="0"/>
                <w:iCs w:val="0"/>
                <w:color w:val="000000"/>
                <w:kern w:val="0"/>
                <w:sz w:val="21"/>
                <w:szCs w:val="21"/>
                <w:u w:val="none"/>
                <w:lang w:val="en-US" w:eastAsia="zh-CN" w:bidi="ar"/>
              </w:rPr>
              <w:t>EPPlus与ClosedXML库</w:t>
            </w:r>
            <w:r>
              <w:rPr>
                <w:rFonts w:hint="eastAsia" w:ascii="宋体" w:hAnsi="宋体" w:eastAsia="宋体" w:cs="宋体"/>
                <w:i w:val="0"/>
                <w:iCs w:val="0"/>
                <w:color w:val="000000"/>
                <w:kern w:val="0"/>
                <w:sz w:val="21"/>
                <w:szCs w:val="21"/>
                <w:u w:val="none"/>
                <w:lang w:val="en-US" w:eastAsia="zh-CN" w:bidi="ar"/>
              </w:rPr>
              <w:t>操作符合ISO 11820标准格式的Excel报告模板，实现数据自动填充与图表生成；使用PDFsharp</w:t>
            </w:r>
            <w:r>
              <w:rPr>
                <w:rFonts w:hint="eastAsia" w:ascii="宋体" w:hAnsi="宋体" w:eastAsia="宋体" w:cs="宋体"/>
                <w:i w:val="0"/>
                <w:iCs w:val="0"/>
                <w:color w:val="000000"/>
                <w:kern w:val="0"/>
                <w:sz w:val="21"/>
                <w:szCs w:val="21"/>
                <w:u w:val="none"/>
                <w:lang w:val="en-US" w:eastAsia="zh-CN" w:bidi="ar"/>
              </w:rPr>
              <w:t>将最终报告导出为PDF格式，满足不同归档需求。</w:t>
            </w:r>
          </w:p>
        </w:tc>
      </w:tr>
      <w:tr w14:paraId="487D3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47D858EB">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‌结构化日志库‌</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61041E87">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Serilog</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5D05B615">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集成Serilog进行结构化日志记录，支持将日志输出至文件、控制台等多种目标，便于系统运行状态监控、故障排查与审计追踪。</w:t>
            </w:r>
          </w:p>
        </w:tc>
      </w:tr>
      <w:tr w14:paraId="6FBEE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2258" w:type="dxa"/>
            <w:tcBorders>
              <w:top w:val="nil"/>
              <w:left w:val="nil"/>
              <w:bottom w:val="nil"/>
              <w:right w:val="nil"/>
            </w:tcBorders>
            <w:shd w:val="clear" w:color="auto" w:fill="auto"/>
            <w:noWrap w:val="0"/>
            <w:tcMar>
              <w:top w:w="-1" w:type="dxa"/>
              <w:left w:w="-1" w:type="dxa"/>
              <w:bottom w:w="-1" w:type="dxa"/>
              <w:right w:w="-1" w:type="dxa"/>
            </w:tcMar>
            <w:vAlign w:val="center"/>
          </w:tcPr>
          <w:p w14:paraId="283DFDCC">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‌目标操作系统‌</w:t>
            </w:r>
          </w:p>
        </w:tc>
        <w:tc>
          <w:tcPr>
            <w:tcW w:w="2167" w:type="dxa"/>
            <w:tcBorders>
              <w:top w:val="nil"/>
              <w:left w:val="nil"/>
              <w:bottom w:val="nil"/>
              <w:right w:val="nil"/>
            </w:tcBorders>
            <w:shd w:val="clear" w:color="auto" w:fill="auto"/>
            <w:noWrap w:val="0"/>
            <w:tcMar>
              <w:top w:w="-1" w:type="dxa"/>
              <w:left w:w="-1" w:type="dxa"/>
              <w:bottom w:w="-1" w:type="dxa"/>
              <w:right w:w="-1" w:type="dxa"/>
            </w:tcMar>
            <w:vAlign w:val="center"/>
          </w:tcPr>
          <w:p w14:paraId="169C0B1F">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Windows 10/11 (64位)</w:t>
            </w:r>
          </w:p>
        </w:tc>
        <w:tc>
          <w:tcPr>
            <w:tcW w:w="4807" w:type="dxa"/>
            <w:tcBorders>
              <w:top w:val="nil"/>
              <w:left w:val="nil"/>
              <w:bottom w:val="nil"/>
              <w:right w:val="nil"/>
            </w:tcBorders>
            <w:shd w:val="clear" w:color="auto" w:fill="auto"/>
            <w:noWrap w:val="0"/>
            <w:tcMar>
              <w:top w:w="-1" w:type="dxa"/>
              <w:left w:w="-1" w:type="dxa"/>
              <w:bottom w:w="-1" w:type="dxa"/>
              <w:right w:w="-1" w:type="dxa"/>
            </w:tcMar>
            <w:vAlign w:val="center"/>
          </w:tcPr>
          <w:p w14:paraId="06D38647">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客户端软件目标运行环境为Windows 10或11的64位操作系统，确保最佳的兼容性与运行性能。</w:t>
            </w:r>
          </w:p>
        </w:tc>
      </w:tr>
      <w:tr w14:paraId="50BC2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0" w:hRule="atLeast"/>
        </w:trPr>
        <w:tc>
          <w:tcPr>
            <w:tcW w:w="22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C6EBEA2">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‌推荐硬件配置‌</w:t>
            </w:r>
          </w:p>
        </w:tc>
        <w:tc>
          <w:tcPr>
            <w:tcW w:w="216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55DE720">
            <w:pPr>
              <w:keepNext w:val="0"/>
              <w:keepLines w:val="0"/>
              <w:widowControl/>
              <w:suppressLineNumbers w:val="0"/>
              <w:shd w:val="clear"/>
              <w:snapToGrid w:val="0"/>
              <w:ind w:left="0" w:leftChars="0" w:right="0" w:righ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Intel i5或同等处理器，8GB内存，3个可用COM串口</w:t>
            </w:r>
          </w:p>
        </w:tc>
        <w:tc>
          <w:tcPr>
            <w:tcW w:w="480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397CB7">
            <w:pPr>
              <w:keepNext w:val="0"/>
              <w:keepLines w:val="0"/>
              <w:widowControl/>
              <w:suppressLineNumbers w:val="0"/>
              <w:shd w:val="clear"/>
              <w:snapToGrid w:val="0"/>
              <w:ind w:left="0" w:leftChars="0" w:right="0" w:righ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为满足实时数据采集、多设备通信及流畅的图形界面渲染，建议开发与运行环境满足此基本硬件配置。</w:t>
            </w:r>
          </w:p>
        </w:tc>
      </w:tr>
    </w:tbl>
    <w:p w14:paraId="1024D9DC">
      <w:pPr>
        <w:pStyle w:val="3"/>
        <w:shd w:val="clear"/>
        <w:bidi w:val="0"/>
        <w:rPr>
          <w:rFonts w:hint="eastAsia" w:ascii="宋体" w:hAnsi="宋体" w:eastAsia="宋体" w:cs="宋体"/>
          <w:lang w:val="en-US" w:eastAsia="zh-CN"/>
        </w:rPr>
      </w:pPr>
      <w:bookmarkStart w:id="56" w:name="_Toc31501"/>
      <w:r>
        <w:rPr>
          <w:rFonts w:hint="eastAsia" w:ascii="宋体" w:hAnsi="宋体" w:eastAsia="宋体" w:cs="宋体"/>
          <w:lang w:val="en-US" w:eastAsia="zh-CN"/>
        </w:rPr>
        <w:t>5.2 系统服务端实现</w:t>
      </w:r>
      <w:bookmarkEnd w:id="56"/>
    </w:p>
    <w:p w14:paraId="3FEC524B">
      <w:pPr>
        <w:pStyle w:val="4"/>
        <w:shd w:val="clear"/>
        <w:bidi w:val="0"/>
        <w:rPr>
          <w:rStyle w:val="18"/>
          <w:rFonts w:hint="default" w:ascii="宋体" w:hAnsi="宋体" w:eastAsia="宋体" w:cs="宋体"/>
          <w:b/>
          <w:lang w:val="en-US" w:eastAsia="zh-CN"/>
        </w:rPr>
      </w:pPr>
      <w:bookmarkStart w:id="57" w:name="_Toc14250"/>
      <w:r>
        <w:rPr>
          <w:rStyle w:val="18"/>
          <w:rFonts w:hint="default" w:ascii="宋体" w:hAnsi="宋体" w:eastAsia="宋体" w:cs="宋体"/>
          <w:b/>
          <w:lang w:val="en-US" w:eastAsia="zh-CN"/>
        </w:rPr>
        <w:t>5.2.1 数据采集与通信服务实现</w:t>
      </w:r>
      <w:bookmarkEnd w:id="57"/>
    </w:p>
    <w:p w14:paraId="1874D55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采集与通信服务承担建立软件和硬件间数据桥梁的工作，该服务以一个独立的后台工作线程（DaqWorker）形式去运行，每800毫秒作为一个周期，定时轮询连接起来的所有硬件设备，抽象的IApparatusManipulator接口及其实现类是通信层核心，它把不同厂家、不同型号设备访问协议给统一了，利用底层的FluentModbus库来开展具体的Modbus RTU串口通信。这关联着用特定的寄存器地址去读取炉内温度传感器，就如0x0102）和PID控制器的输出量，并且往PID控制器写入目标温度的设定值内容，一切通信操作都设置了超时重试（默认超时时间是1000毫秒）以及健全的异常处理机制，使实验室复杂电磁环境下通信的稳定性和鲁棒性有了保证。所采集的原始数据解析之后，被做成结构化的SensorData对象，然后利用.NET的事件机制（SensorDataReceived）来进行发布，供客户端界面开展实时的温度曲线绘制，这些数据也会被存进一个内存缓存队列之内，给后续10分钟的温度趋势分析提供基础数据方面的支撑。</w:t>
      </w:r>
    </w:p>
    <w:p w14:paraId="012910CD">
      <w:pPr>
        <w:pStyle w:val="4"/>
        <w:shd w:val="clear"/>
        <w:bidi w:val="0"/>
        <w:rPr>
          <w:rStyle w:val="18"/>
          <w:rFonts w:hint="default" w:ascii="宋体" w:hAnsi="宋体" w:eastAsia="宋体" w:cs="宋体"/>
          <w:b/>
          <w:lang w:val="en-US" w:eastAsia="zh-CN"/>
        </w:rPr>
      </w:pPr>
      <w:bookmarkStart w:id="58" w:name="_Toc4300"/>
      <w:r>
        <w:rPr>
          <w:rStyle w:val="18"/>
          <w:rFonts w:hint="default" w:ascii="宋体" w:hAnsi="宋体" w:eastAsia="宋体" w:cs="宋体"/>
          <w:b/>
          <w:lang w:val="en-US" w:eastAsia="zh-CN"/>
        </w:rPr>
        <w:t>5.2.2 试验流程控制服务实现</w:t>
      </w:r>
      <w:bookmarkEnd w:id="58"/>
    </w:p>
    <w:p w14:paraId="2561C15F">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了清晰、严谨地管理复杂试验整个流程，系统在TestMaster类当中采用了状态机有关模式，该状态机明白给出了五个核心状态的定义：每个状态都有着它特有的行为，要是处于“升温中”状态时，系统进行多阶段升温的控制做法；而处于“记录中”状态的时候，就运用恒功率输出并开始计时。状态之间转换由特定事件所触发，操作员按下“开始升温”按钮，会使状态从Idle变换为Preparing；当后台算法持续确认温度符合ISO 11820标准的所有稳定条件有600秒，系统会自行使状态从Preparing演进到Ready状态，等待操作员开展正式记录，此设计使复杂试验逻辑代码结构清楚，可维护性佳，还易于在未来开展新的试验流程扩展。</w:t>
      </w:r>
    </w:p>
    <w:p w14:paraId="0AFB53C0">
      <w:pPr>
        <w:keepNext w:val="0"/>
        <w:keepLines w:val="0"/>
        <w:pageBreakBefore w:val="0"/>
        <w:widowControl w:val="0"/>
        <w:shd w:val="clear"/>
        <w:kinsoku/>
        <w:wordWrap/>
        <w:overflowPunct/>
        <w:topLinePunct w:val="0"/>
        <w:autoSpaceDE/>
        <w:autoSpaceDN/>
        <w:bidi w:val="0"/>
        <w:adjustRightInd/>
        <w:snapToGrid/>
        <w:spacing w:line="360" w:lineRule="auto"/>
        <w:textAlignment w:val="auto"/>
      </w:pPr>
      <w:r>
        <w:drawing>
          <wp:inline distT="0" distB="0" distL="114300" distR="114300">
            <wp:extent cx="5266690" cy="2072005"/>
            <wp:effectExtent l="0" t="0" r="3810" b="1079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8"/>
                    <a:stretch>
                      <a:fillRect/>
                    </a:stretch>
                  </pic:blipFill>
                  <pic:spPr>
                    <a:xfrm>
                      <a:off x="0" y="0"/>
                      <a:ext cx="5266690" cy="2072005"/>
                    </a:xfrm>
                    <a:prstGeom prst="rect">
                      <a:avLst/>
                    </a:prstGeom>
                    <a:noFill/>
                    <a:ln>
                      <a:noFill/>
                    </a:ln>
                  </pic:spPr>
                </pic:pic>
              </a:graphicData>
            </a:graphic>
          </wp:inline>
        </w:drawing>
      </w:r>
    </w:p>
    <w:p w14:paraId="0BC53D55">
      <w:pPr>
        <w:pStyle w:val="6"/>
        <w:shd w:val="clear"/>
        <w:bidi w:val="0"/>
        <w:rPr>
          <w:rFonts w:hint="eastAsia"/>
          <w:lang w:val="en-US" w:eastAsia="zh-CN"/>
        </w:rPr>
      </w:pPr>
      <w:r>
        <w:rPr>
          <w:rFonts w:hint="eastAsia"/>
        </w:rPr>
        <w:t xml:space="preserve">图 </w:t>
      </w:r>
      <w:r>
        <w:rPr>
          <w:rFonts w:hint="eastAsia"/>
          <w:lang w:val="en-US" w:eastAsia="zh-CN"/>
        </w:rPr>
        <w:t>5-1</w:t>
      </w:r>
      <w:r>
        <w:rPr>
          <w:rFonts w:hint="eastAsia"/>
          <w:lang w:eastAsia="zh-CN"/>
        </w:rPr>
        <w:t xml:space="preserve"> 试验流程图</w:t>
      </w:r>
    </w:p>
    <w:p w14:paraId="50438F08">
      <w:pPr>
        <w:pStyle w:val="4"/>
        <w:shd w:val="clear"/>
        <w:bidi w:val="0"/>
        <w:rPr>
          <w:rStyle w:val="18"/>
          <w:rFonts w:hint="default" w:ascii="宋体" w:hAnsi="宋体" w:eastAsia="宋体" w:cs="宋体"/>
          <w:b/>
          <w:lang w:val="en-US" w:eastAsia="zh-CN"/>
        </w:rPr>
      </w:pPr>
      <w:bookmarkStart w:id="59" w:name="_Toc13803"/>
      <w:r>
        <w:rPr>
          <w:rStyle w:val="18"/>
          <w:rFonts w:hint="default" w:ascii="宋体" w:hAnsi="宋体" w:eastAsia="宋体" w:cs="宋体"/>
          <w:b/>
          <w:lang w:val="en-US" w:eastAsia="zh-CN"/>
        </w:rPr>
        <w:t>5.2.3 智能温度控制算法实现</w:t>
      </w:r>
      <w:bookmarkEnd w:id="59"/>
    </w:p>
    <w:p w14:paraId="01F406C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智能温度控制算法是确保不燃性试验满足ISO 11820-2020国际标准对热环境“平稳升温、精确恒温、量化稳定”三重要求的核心技术保障。前文已就多阶段自适应控制策略与硬件PID微调节的基本原理进行了阐述，本节将重点从算法优越性论证的角度出发，结合数学模型与对比实验，深入阐明本方案在响应速度、稳态精度及抗干扰能力等方面的综合优势。</w:t>
      </w:r>
    </w:p>
    <w:p w14:paraId="3BB80BCF">
      <w:pPr>
        <w:pStyle w:val="5"/>
        <w:shd w:val="clea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5.2.3.1 ‌多阶段自适应温控策略的软硬件协同实现</w:t>
      </w:r>
    </w:p>
    <w:p w14:paraId="5287C01C">
      <w:pPr>
        <w:pStyle w:val="1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本系统的温度控制采用“上位机决策+硬件控制器执行”的软硬件协同架构。上位机软件运行于Windows平台，基于.NET 6框架开发，通过串行通信接口与Eurotherm 3216型PID温度控制器进行数据交换，通信协议采用工业领域广泛应用的Modbus RTU标准。在升温过程中，上位机以800毫秒为周期向控制器发送读取指令（功能码0x03），获取寄存器地址0x0102处存储的炉温实测值（单位为0.1°C）。软件内部维护一个温度区间与输出功率的映射表，该映射关系即为第2.2节所述分段函数的具体工程实现。当炉温实测值处于某一区间时，上位机通过写操作（功能码0x06）将对应的功率百分比写入控制器的输出限幅寄存器，控制器据此驱动固态继电器以指定占空比运行，从而实现开环阶段的阶梯式功率输出。</w:t>
      </w:r>
    </w:p>
    <w:p w14:paraId="5FB581DD">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当炉温突破700°C阈值后，系统执行一次关键的模式切换序列：首先向寄存器地址0x0000写入目标温度设定值7500（对应750.0°C），随后向寄存器地址0x0038写入控制模式字0x0004，将控制器由手动功率模式切换至内置PID闭环自动调节模式。此后，上位机不再主动干预功率输出，其角色转变为监督分析者，持续采集温度数据并执行稳定性判断。这一“开环粗调+闭环精调”的混合架构，其工程价值在于将复杂的全温域控制问题解耦为两个相对独立的子问题——开环阶段仅需确定若干功率档位阈值，闭环阶段则由成熟的工业硬件承担精密调节任务，从而显著降低了系统整定的复杂度与部署成本。</w:t>
      </w:r>
    </w:p>
    <w:p w14:paraId="336475F9">
      <w:pPr>
        <w:keepNext w:val="0"/>
        <w:keepLines w:val="0"/>
        <w:pageBreakBefore w:val="0"/>
        <w:widowControl w:val="0"/>
        <w:shd w:val="clea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为量化评估本策略相对于其他常见方案的工程效能，本研究在相同的硬件平台上开展了四种温控方案的平行对比测试。测试以初始室温（约25°C）升至750°C并稳定30分钟为一个完整周期，每组方案重复五次，取各项指标的平均值。对比方案包括：方案A（全功率加热至740°C后切换PID）、方案B（单一PID控制全程）、方案C（模糊PID自适应控制）以及本文所采用的方案D（多阶段自适应预控+末端PID切换）。</w:t>
      </w:r>
    </w:p>
    <w:p w14:paraId="2810A8D4">
      <w:pPr>
        <w:pStyle w:val="6"/>
        <w:shd w:val="clear"/>
        <w:bidi w:val="0"/>
        <w:rPr>
          <w:rFonts w:hint="eastAsia"/>
          <w:lang w:val="en-US" w:eastAsia="zh-CN"/>
        </w:rPr>
      </w:pPr>
      <w:r>
        <w:rPr>
          <w:rFonts w:hint="eastAsia"/>
        </w:rPr>
        <w:t>表</w:t>
      </w:r>
      <w:r>
        <w:rPr>
          <w:rFonts w:hint="eastAsia"/>
          <w:lang w:val="en-US" w:eastAsia="zh-CN"/>
        </w:rPr>
        <w:t>5-2</w:t>
      </w:r>
      <w:r>
        <w:rPr>
          <w:rFonts w:hint="eastAsia"/>
          <w:lang w:eastAsia="zh-CN"/>
        </w:rPr>
        <w:t xml:space="preserve"> 温控方案性能对比</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870"/>
        <w:gridCol w:w="2880"/>
        <w:gridCol w:w="1920"/>
      </w:tblGrid>
      <w:tr w14:paraId="20DD5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60" w:type="dxa"/>
            <w:tcBorders>
              <w:top w:val="single" w:color="000000" w:sz="12" w:space="0"/>
              <w:left w:val="nil"/>
              <w:bottom w:val="single" w:color="000000" w:sz="4" w:space="0"/>
              <w:right w:val="nil"/>
              <w:tl2br w:val="nil"/>
            </w:tcBorders>
            <w:shd w:val="clear" w:color="auto" w:fill="auto"/>
            <w:vAlign w:val="center"/>
          </w:tcPr>
          <w:p w14:paraId="27A6C5D7">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bCs/>
                <w:i w:val="0"/>
                <w:iCs w:val="0"/>
                <w:color w:val="000000"/>
                <w:kern w:val="0"/>
                <w:sz w:val="21"/>
                <w:szCs w:val="21"/>
                <w:u w:val="none"/>
                <w:lang w:val="en-US" w:eastAsia="zh-CN" w:bidi="ar"/>
              </w:rPr>
              <w:t>评价指标</w:t>
            </w:r>
          </w:p>
        </w:tc>
        <w:tc>
          <w:tcPr>
            <w:tcW w:w="2870" w:type="dxa"/>
            <w:tcBorders>
              <w:top w:val="single" w:color="000000" w:sz="12" w:space="0"/>
              <w:left w:val="nil"/>
              <w:bottom w:val="single" w:color="000000" w:sz="4" w:space="0"/>
              <w:right w:val="nil"/>
            </w:tcBorders>
            <w:shd w:val="clear" w:color="auto" w:fill="auto"/>
            <w:vAlign w:val="center"/>
          </w:tcPr>
          <w:p w14:paraId="34C18610">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bCs/>
                <w:i w:val="0"/>
                <w:iCs w:val="0"/>
                <w:color w:val="000000"/>
                <w:kern w:val="0"/>
                <w:sz w:val="21"/>
                <w:szCs w:val="21"/>
                <w:u w:val="none"/>
                <w:lang w:val="en-US" w:eastAsia="zh-CN" w:bidi="ar"/>
              </w:rPr>
              <w:t>方案A（全功率+PID切换）</w:t>
            </w:r>
          </w:p>
        </w:tc>
        <w:tc>
          <w:tcPr>
            <w:tcW w:w="2880" w:type="dxa"/>
            <w:tcBorders>
              <w:top w:val="single" w:color="000000" w:sz="12" w:space="0"/>
              <w:left w:val="nil"/>
              <w:bottom w:val="single" w:color="000000" w:sz="4" w:space="0"/>
              <w:right w:val="nil"/>
            </w:tcBorders>
            <w:shd w:val="clear" w:color="auto" w:fill="auto"/>
            <w:vAlign w:val="center"/>
          </w:tcPr>
          <w:p w14:paraId="5CD2E1B1">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bCs/>
                <w:i w:val="0"/>
                <w:iCs w:val="0"/>
                <w:color w:val="000000"/>
                <w:kern w:val="0"/>
                <w:sz w:val="21"/>
                <w:szCs w:val="21"/>
                <w:u w:val="none"/>
                <w:lang w:val="en-US" w:eastAsia="zh-CN" w:bidi="ar"/>
              </w:rPr>
              <w:t>方案B（单一PID全程控制）</w:t>
            </w:r>
          </w:p>
        </w:tc>
        <w:tc>
          <w:tcPr>
            <w:tcW w:w="1920" w:type="dxa"/>
            <w:tcBorders>
              <w:top w:val="single" w:color="000000" w:sz="12" w:space="0"/>
              <w:left w:val="nil"/>
              <w:bottom w:val="single" w:color="000000" w:sz="4" w:space="0"/>
              <w:right w:val="nil"/>
            </w:tcBorders>
            <w:shd w:val="clear" w:color="auto" w:fill="auto"/>
            <w:vAlign w:val="center"/>
          </w:tcPr>
          <w:p w14:paraId="4A423DD8">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bCs/>
                <w:i w:val="0"/>
                <w:iCs w:val="0"/>
                <w:color w:val="000000"/>
                <w:kern w:val="0"/>
                <w:sz w:val="21"/>
                <w:szCs w:val="21"/>
                <w:u w:val="none"/>
                <w:lang w:val="en-US" w:eastAsia="zh-CN" w:bidi="ar"/>
              </w:rPr>
              <w:t>方案C（模糊PID自适应）</w:t>
            </w:r>
          </w:p>
        </w:tc>
      </w:tr>
      <w:tr w14:paraId="7815E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60" w:type="dxa"/>
            <w:tcBorders>
              <w:top w:val="single" w:color="000000" w:sz="4" w:space="0"/>
              <w:left w:val="nil"/>
              <w:bottom w:val="nil"/>
              <w:right w:val="nil"/>
            </w:tcBorders>
            <w:shd w:val="clear" w:color="auto" w:fill="auto"/>
            <w:vAlign w:val="center"/>
          </w:tcPr>
          <w:p w14:paraId="5760C2D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平均升温耗时（min）</w:t>
            </w:r>
          </w:p>
        </w:tc>
        <w:tc>
          <w:tcPr>
            <w:tcW w:w="2870" w:type="dxa"/>
            <w:tcBorders>
              <w:top w:val="single" w:color="000000" w:sz="4" w:space="0"/>
              <w:left w:val="nil"/>
              <w:bottom w:val="nil"/>
              <w:right w:val="nil"/>
            </w:tcBorders>
            <w:shd w:val="clear" w:color="auto" w:fill="auto"/>
            <w:vAlign w:val="center"/>
          </w:tcPr>
          <w:p w14:paraId="67BD901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18.5</w:t>
            </w:r>
          </w:p>
        </w:tc>
        <w:tc>
          <w:tcPr>
            <w:tcW w:w="2880" w:type="dxa"/>
            <w:tcBorders>
              <w:top w:val="single" w:color="000000" w:sz="4" w:space="0"/>
              <w:left w:val="nil"/>
              <w:bottom w:val="nil"/>
              <w:right w:val="nil"/>
            </w:tcBorders>
            <w:shd w:val="clear" w:color="auto" w:fill="auto"/>
            <w:vAlign w:val="center"/>
          </w:tcPr>
          <w:p w14:paraId="357D98C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26.3</w:t>
            </w:r>
          </w:p>
        </w:tc>
        <w:tc>
          <w:tcPr>
            <w:tcW w:w="1920" w:type="dxa"/>
            <w:tcBorders>
              <w:top w:val="single" w:color="000000" w:sz="4" w:space="0"/>
              <w:left w:val="nil"/>
              <w:bottom w:val="nil"/>
              <w:right w:val="nil"/>
            </w:tcBorders>
            <w:shd w:val="clear" w:color="auto" w:fill="auto"/>
            <w:vAlign w:val="center"/>
          </w:tcPr>
          <w:p w14:paraId="126F831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22.7</w:t>
            </w:r>
          </w:p>
        </w:tc>
      </w:tr>
      <w:tr w14:paraId="14359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60" w:type="dxa"/>
            <w:tcBorders>
              <w:top w:val="nil"/>
              <w:left w:val="nil"/>
              <w:bottom w:val="nil"/>
              <w:right w:val="nil"/>
            </w:tcBorders>
            <w:shd w:val="clear" w:color="auto" w:fill="auto"/>
            <w:vAlign w:val="center"/>
          </w:tcPr>
          <w:p w14:paraId="5D505DB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最大超调量（°C）</w:t>
            </w:r>
          </w:p>
        </w:tc>
        <w:tc>
          <w:tcPr>
            <w:tcW w:w="2870" w:type="dxa"/>
            <w:tcBorders>
              <w:top w:val="nil"/>
              <w:left w:val="nil"/>
              <w:bottom w:val="nil"/>
              <w:right w:val="nil"/>
            </w:tcBorders>
            <w:shd w:val="clear" w:color="auto" w:fill="auto"/>
            <w:vAlign w:val="center"/>
          </w:tcPr>
          <w:p w14:paraId="131FCF2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32.6</w:t>
            </w:r>
          </w:p>
        </w:tc>
        <w:tc>
          <w:tcPr>
            <w:tcW w:w="2880" w:type="dxa"/>
            <w:tcBorders>
              <w:top w:val="nil"/>
              <w:left w:val="nil"/>
              <w:bottom w:val="nil"/>
              <w:right w:val="nil"/>
            </w:tcBorders>
            <w:shd w:val="clear" w:color="auto" w:fill="auto"/>
            <w:vAlign w:val="center"/>
          </w:tcPr>
          <w:p w14:paraId="3DABA31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8.4</w:t>
            </w:r>
          </w:p>
        </w:tc>
        <w:tc>
          <w:tcPr>
            <w:tcW w:w="1920" w:type="dxa"/>
            <w:tcBorders>
              <w:top w:val="nil"/>
              <w:left w:val="nil"/>
              <w:bottom w:val="nil"/>
              <w:right w:val="nil"/>
            </w:tcBorders>
            <w:shd w:val="clear" w:color="auto" w:fill="auto"/>
            <w:vAlign w:val="center"/>
          </w:tcPr>
          <w:p w14:paraId="00D78C6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5.2</w:t>
            </w:r>
          </w:p>
        </w:tc>
      </w:tr>
      <w:tr w14:paraId="7D8E9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60" w:type="dxa"/>
            <w:tcBorders>
              <w:top w:val="nil"/>
              <w:left w:val="nil"/>
              <w:bottom w:val="nil"/>
              <w:right w:val="nil"/>
            </w:tcBorders>
            <w:shd w:val="clear" w:color="auto" w:fill="auto"/>
            <w:vAlign w:val="center"/>
          </w:tcPr>
          <w:p w14:paraId="252D69E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稳态波动范围（°C）</w:t>
            </w:r>
          </w:p>
        </w:tc>
        <w:tc>
          <w:tcPr>
            <w:tcW w:w="2870" w:type="dxa"/>
            <w:tcBorders>
              <w:top w:val="nil"/>
              <w:left w:val="nil"/>
              <w:bottom w:val="nil"/>
              <w:right w:val="nil"/>
            </w:tcBorders>
            <w:shd w:val="clear" w:color="auto" w:fill="auto"/>
            <w:vAlign w:val="center"/>
          </w:tcPr>
          <w:p w14:paraId="25F5451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±1.8</w:t>
            </w:r>
          </w:p>
        </w:tc>
        <w:tc>
          <w:tcPr>
            <w:tcW w:w="2880" w:type="dxa"/>
            <w:tcBorders>
              <w:top w:val="nil"/>
              <w:left w:val="nil"/>
              <w:bottom w:val="nil"/>
              <w:right w:val="nil"/>
            </w:tcBorders>
            <w:shd w:val="clear" w:color="auto" w:fill="auto"/>
            <w:vAlign w:val="center"/>
          </w:tcPr>
          <w:p w14:paraId="796F044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w:t>
            </w:r>
          </w:p>
        </w:tc>
        <w:tc>
          <w:tcPr>
            <w:tcW w:w="1920" w:type="dxa"/>
            <w:tcBorders>
              <w:top w:val="nil"/>
              <w:left w:val="nil"/>
              <w:bottom w:val="nil"/>
              <w:right w:val="nil"/>
            </w:tcBorders>
            <w:shd w:val="clear" w:color="auto" w:fill="auto"/>
            <w:vAlign w:val="center"/>
          </w:tcPr>
          <w:p w14:paraId="55CAD33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±0.6</w:t>
            </w:r>
          </w:p>
        </w:tc>
      </w:tr>
      <w:tr w14:paraId="72477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60" w:type="dxa"/>
            <w:tcBorders>
              <w:top w:val="nil"/>
              <w:left w:val="nil"/>
              <w:bottom w:val="nil"/>
              <w:right w:val="nil"/>
            </w:tcBorders>
            <w:shd w:val="clear" w:color="auto" w:fill="auto"/>
            <w:vAlign w:val="center"/>
          </w:tcPr>
          <w:p w14:paraId="5AE1EF2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参数整定复杂度</w:t>
            </w:r>
          </w:p>
        </w:tc>
        <w:tc>
          <w:tcPr>
            <w:tcW w:w="2870" w:type="dxa"/>
            <w:tcBorders>
              <w:top w:val="nil"/>
              <w:left w:val="nil"/>
              <w:bottom w:val="nil"/>
              <w:right w:val="nil"/>
            </w:tcBorders>
            <w:shd w:val="clear" w:color="auto" w:fill="auto"/>
            <w:vAlign w:val="center"/>
          </w:tcPr>
          <w:p w14:paraId="108D336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高</w:t>
            </w:r>
          </w:p>
        </w:tc>
        <w:tc>
          <w:tcPr>
            <w:tcW w:w="2880" w:type="dxa"/>
            <w:tcBorders>
              <w:top w:val="nil"/>
              <w:left w:val="nil"/>
              <w:bottom w:val="nil"/>
              <w:right w:val="nil"/>
            </w:tcBorders>
            <w:shd w:val="clear" w:color="auto" w:fill="auto"/>
            <w:vAlign w:val="center"/>
          </w:tcPr>
          <w:p w14:paraId="7CF8946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高</w:t>
            </w:r>
          </w:p>
        </w:tc>
        <w:tc>
          <w:tcPr>
            <w:tcW w:w="1920" w:type="dxa"/>
            <w:tcBorders>
              <w:top w:val="nil"/>
              <w:left w:val="nil"/>
              <w:bottom w:val="nil"/>
              <w:right w:val="nil"/>
            </w:tcBorders>
            <w:shd w:val="clear" w:color="auto" w:fill="auto"/>
            <w:vAlign w:val="center"/>
          </w:tcPr>
          <w:p w14:paraId="23C36F0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中</w:t>
            </w:r>
          </w:p>
        </w:tc>
      </w:tr>
      <w:tr w14:paraId="7D450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8" w:hRule="atLeast"/>
        </w:trPr>
        <w:tc>
          <w:tcPr>
            <w:tcW w:w="1560" w:type="dxa"/>
            <w:tcBorders>
              <w:top w:val="nil"/>
              <w:left w:val="nil"/>
              <w:bottom w:val="single" w:color="000000" w:sz="12" w:space="0"/>
              <w:right w:val="nil"/>
            </w:tcBorders>
            <w:shd w:val="clear" w:color="auto" w:fill="auto"/>
            <w:vAlign w:val="center"/>
          </w:tcPr>
          <w:p w14:paraId="400548E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ISO 11820超调要求符合性</w:t>
            </w:r>
          </w:p>
        </w:tc>
        <w:tc>
          <w:tcPr>
            <w:tcW w:w="2870" w:type="dxa"/>
            <w:tcBorders>
              <w:top w:val="nil"/>
              <w:left w:val="nil"/>
              <w:bottom w:val="single" w:color="000000" w:sz="12" w:space="0"/>
              <w:right w:val="nil"/>
            </w:tcBorders>
            <w:shd w:val="clear" w:color="auto" w:fill="auto"/>
            <w:vAlign w:val="center"/>
          </w:tcPr>
          <w:p w14:paraId="4AA82B9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不符合</w:t>
            </w:r>
          </w:p>
        </w:tc>
        <w:tc>
          <w:tcPr>
            <w:tcW w:w="2880" w:type="dxa"/>
            <w:tcBorders>
              <w:top w:val="nil"/>
              <w:left w:val="nil"/>
              <w:bottom w:val="single" w:color="000000" w:sz="12" w:space="0"/>
              <w:right w:val="nil"/>
            </w:tcBorders>
            <w:shd w:val="clear" w:color="auto" w:fill="auto"/>
            <w:vAlign w:val="center"/>
          </w:tcPr>
          <w:p w14:paraId="506FD502">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符合</w:t>
            </w:r>
          </w:p>
        </w:tc>
        <w:tc>
          <w:tcPr>
            <w:tcW w:w="1920" w:type="dxa"/>
            <w:tcBorders>
              <w:top w:val="nil"/>
              <w:left w:val="nil"/>
              <w:bottom w:val="single" w:color="000000" w:sz="12" w:space="0"/>
              <w:right w:val="nil"/>
            </w:tcBorders>
            <w:shd w:val="clear" w:color="auto" w:fill="auto"/>
            <w:vAlign w:val="center"/>
          </w:tcPr>
          <w:p w14:paraId="0D3AC150">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符合</w:t>
            </w:r>
          </w:p>
        </w:tc>
      </w:tr>
    </w:tbl>
    <w:p w14:paraId="3E3384FF">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方案A虽然升温最为迅速，但其高达32.6°C的超调已严重破坏试验所需的稳定热环境，不具备工程应用价值。方案B的超调控制虽可接受，但升温耗时过长，且PID参数需针对全温域进行复杂的多目标折中整定，工程实现成本较高。方案C在各项指标上均有所优化，但其模糊规则库与隶属度函数的建立同样依赖于专家经验，且调试过程较为繁琐。本文采用的方案D在升温速度与超调抑制之间取得了最优平衡，最大超调量仅为2.1°C，稳态波动范围控制在±0.5°C以内，且参数整定过程简洁——开环阶段的功率档位阈值仅需通过有限次阶跃响应测试即可标定完成，一经确定便无需在日常试验中反复调整。这一对比结果充分验证了本策略在工程实践中的综合优势。</w:t>
      </w:r>
    </w:p>
    <w:p w14:paraId="0D2B003E">
      <w:pPr>
        <w:pStyle w:val="5"/>
        <w:shd w:val="clea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5.2.3.2 ‌温度稳定性判断机制的工程实现与算法对比</w:t>
      </w:r>
    </w:p>
    <w:p w14:paraId="60064C33">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温度稳定性判断是连接“升温”与“正式试验”两个阶段的关键桥梁，其判定结果直接影响试验起始条件的合规性。本系统将ISO 11820-2020标准中关于温度稳定性的定性描述转化为可量化、可编程的“三重条件联合判断”机制，其工程实现如下。</w:t>
      </w:r>
    </w:p>
    <w:p w14:paraId="24516134">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系统在内存中为两路炉内测温点各维护一个容量为600个元素的循环队列，以先进先出方式存储最近10分钟内的全部温度采样值（采样周期800毫秒，600个数据点恰好对应10分钟）。定时器以1分钟为周期触发</w:t>
      </w:r>
      <w:r>
        <w:rPr>
          <w:rStyle w:val="17"/>
          <w:rFonts w:hint="eastAsia" w:ascii="宋体" w:hAnsi="宋体" w:eastAsia="宋体" w:cs="宋体"/>
          <w:i w:val="0"/>
          <w:iCs w:val="0"/>
          <w:caps w:val="0"/>
          <w:color w:val="333333"/>
          <w:spacing w:val="0"/>
          <w:sz w:val="24"/>
          <w:szCs w:val="24"/>
          <w:shd w:val="clear" w:fill="FFFFFF"/>
        </w:rPr>
        <w:t>CheckStartCriteria()</w:t>
      </w:r>
      <w:r>
        <w:rPr>
          <w:rFonts w:hint="eastAsia" w:ascii="宋体" w:hAnsi="宋体" w:eastAsia="宋体" w:cs="宋体"/>
          <w:i w:val="0"/>
          <w:iCs w:val="0"/>
          <w:caps w:val="0"/>
          <w:color w:val="333333"/>
          <w:spacing w:val="0"/>
          <w:sz w:val="24"/>
          <w:szCs w:val="24"/>
          <w:shd w:val="clear" w:fill="FFFFFF"/>
        </w:rPr>
        <w:t>方法，该方法依次执行三项判断。第一项为温度范围条件，检查当前时刻两路测温点的瞬时值是否均处于745°C至755°C的闭区间内。第二项为温度漂移条件，对每路测温点的600个历史数据调用MathNet.Numerics数值计算库中的</w:t>
      </w:r>
      <w:r>
        <w:rPr>
          <w:rStyle w:val="17"/>
          <w:rFonts w:hint="eastAsia" w:ascii="宋体" w:hAnsi="宋体" w:eastAsia="宋体" w:cs="宋体"/>
          <w:i w:val="0"/>
          <w:iCs w:val="0"/>
          <w:caps w:val="0"/>
          <w:color w:val="333333"/>
          <w:spacing w:val="0"/>
          <w:sz w:val="24"/>
          <w:szCs w:val="24"/>
          <w:shd w:val="clear" w:fill="FFFFFF"/>
        </w:rPr>
        <w:t>Fit.Line()</w:t>
      </w:r>
      <w:r>
        <w:rPr>
          <w:rFonts w:hint="eastAsia" w:ascii="宋体" w:hAnsi="宋体" w:eastAsia="宋体" w:cs="宋体"/>
          <w:i w:val="0"/>
          <w:iCs w:val="0"/>
          <w:caps w:val="0"/>
          <w:color w:val="333333"/>
          <w:spacing w:val="0"/>
          <w:sz w:val="24"/>
          <w:szCs w:val="24"/>
          <w:shd w:val="clear" w:fill="FFFFFF"/>
        </w:rPr>
        <w:t>函数进行一元线性拟合，获得拟合直线的斜率β，进而按公式</w:t>
      </w:r>
      <m:oMath>
        <m:r>
          <m:rPr/>
          <w:rPr>
            <w:rFonts w:hint="default" w:ascii="Cambria Math" w:hAnsi="Cambria Math"/>
            <w:sz w:val="21"/>
          </w:rPr>
          <m:t>Δ</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m:sty m:val="p"/>
              </m:rPr>
              <w:rPr>
                <w:rFonts w:hint="default" w:ascii="Cambria Math" w:hAnsi="Cambria Math"/>
                <w:sz w:val="21"/>
              </w:rPr>
              <m:t>drift</m:t>
            </m:r>
            <m:ctrlPr>
              <w:rPr>
                <w:rFonts w:ascii="Cambria Math" w:hAnsi="Cambria Math"/>
                <w:sz w:val="21"/>
              </w:rPr>
            </m:ctrlPr>
          </m:sub>
        </m:sSub>
        <m:r>
          <m:rPr/>
          <w:rPr>
            <w:rFonts w:hint="default" w:ascii="Cambria Math" w:hAnsi="Cambria Math"/>
            <w:sz w:val="21"/>
          </w:rPr>
          <m:t>=|β×599|</m:t>
        </m:r>
      </m:oMath>
      <w:r>
        <w:rPr>
          <w:rFonts w:hint="eastAsia" w:ascii="宋体" w:hAnsi="宋体" w:eastAsia="宋体" w:cs="宋体"/>
          <w:i w:val="0"/>
          <w:iCs w:val="0"/>
          <w:caps w:val="0"/>
          <w:color w:val="333333"/>
          <w:spacing w:val="0"/>
          <w:sz w:val="24"/>
          <w:szCs w:val="24"/>
          <w:shd w:val="clear" w:fill="FFFFFF"/>
        </w:rPr>
        <w:t>计算过去10分钟的理论温度漂移量，要求该值不超过2.0°C。第三项为温度偏差条件，计算10分钟窗口内温度最大值与平均值之差，要求不超过1.0°C。</w:t>
      </w:r>
    </w:p>
    <w:p w14:paraId="07FCB83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上述三项条件采用逻辑“与”关系进行综合判定。为避免因瞬时扰动或偶发噪声导致误判，系统为每项条件设置了独立的倒计时计数器，初始值均为600（对应600秒）。每次检查中，若某项条件成立则其计数器减1，否则立即重置为600。仅当三个计数器同时递减至零——即三项条件已被连续、不间断地满足整整600秒——系统才正式判定炉温已达稳定状态，并将试验状态机由“升温中”切换至“准备就绪”。这一持续性验证机制的设计，从根本上杜绝了因短暂的温度波动而触发误判的可能性，确保了判定结果的可靠性。</w:t>
      </w:r>
    </w:p>
    <w:p w14:paraId="2A944C08">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right="0"/>
        <w:jc w:val="both"/>
        <w:textAlignment w:val="auto"/>
      </w:pPr>
      <w:r>
        <w:drawing>
          <wp:inline distT="0" distB="0" distL="114300" distR="114300">
            <wp:extent cx="5267325" cy="2449195"/>
            <wp:effectExtent l="0" t="0" r="317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5267325" cy="2449195"/>
                    </a:xfrm>
                    <a:prstGeom prst="rect">
                      <a:avLst/>
                    </a:prstGeom>
                    <a:noFill/>
                    <a:ln>
                      <a:noFill/>
                    </a:ln>
                  </pic:spPr>
                </pic:pic>
              </a:graphicData>
            </a:graphic>
          </wp:inline>
        </w:drawing>
      </w:r>
    </w:p>
    <w:p w14:paraId="7A2B8EF1">
      <w:pPr>
        <w:pStyle w:val="6"/>
        <w:shd w:val="clear"/>
        <w:bidi w:val="0"/>
        <w:rPr>
          <w:rFonts w:hint="eastAsia"/>
          <w:lang w:eastAsia="zh-CN"/>
        </w:rPr>
      </w:pPr>
      <w:r>
        <w:rPr>
          <w:rFonts w:hint="eastAsia"/>
        </w:rPr>
        <w:t xml:space="preserve">图 </w:t>
      </w:r>
      <w:r>
        <w:rPr>
          <w:rFonts w:hint="eastAsia"/>
          <w:lang w:val="en-US" w:eastAsia="zh-CN"/>
        </w:rPr>
        <w:t>5-2</w:t>
      </w:r>
      <w:r>
        <w:rPr>
          <w:rFonts w:hint="eastAsia"/>
          <w:lang w:eastAsia="zh-CN"/>
        </w:rPr>
        <w:t xml:space="preserve"> 线性拟合算法代码</w:t>
      </w:r>
    </w:p>
    <w:p w14:paraId="529802B0">
      <w:pPr>
        <w:shd w:val="clear"/>
      </w:pPr>
      <w:r>
        <w:drawing>
          <wp:inline distT="0" distB="0" distL="114300" distR="114300">
            <wp:extent cx="5273675" cy="5149215"/>
            <wp:effectExtent l="0" t="0" r="9525"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0"/>
                    <a:srcRect b="9830"/>
                    <a:stretch>
                      <a:fillRect/>
                    </a:stretch>
                  </pic:blipFill>
                  <pic:spPr>
                    <a:xfrm>
                      <a:off x="0" y="0"/>
                      <a:ext cx="5273675" cy="5149215"/>
                    </a:xfrm>
                    <a:prstGeom prst="rect">
                      <a:avLst/>
                    </a:prstGeom>
                    <a:noFill/>
                    <a:ln>
                      <a:noFill/>
                    </a:ln>
                  </pic:spPr>
                </pic:pic>
              </a:graphicData>
            </a:graphic>
          </wp:inline>
        </w:drawing>
      </w:r>
    </w:p>
    <w:p w14:paraId="19495EB2">
      <w:pPr>
        <w:pStyle w:val="6"/>
        <w:shd w:val="clear"/>
        <w:bidi w:val="0"/>
        <w:rPr>
          <w:rFonts w:hint="eastAsia"/>
          <w:lang w:eastAsia="zh-CN"/>
        </w:rPr>
      </w:pPr>
      <w:r>
        <w:rPr>
          <w:rFonts w:hint="eastAsia"/>
        </w:rPr>
        <w:t xml:space="preserve">图 </w:t>
      </w:r>
      <w:r>
        <w:rPr>
          <w:rFonts w:hint="eastAsia"/>
          <w:lang w:val="en-US" w:eastAsia="zh-CN"/>
        </w:rPr>
        <w:t>5-3</w:t>
      </w:r>
      <w:r>
        <w:rPr>
          <w:rFonts w:hint="eastAsia"/>
          <w:lang w:eastAsia="zh-CN"/>
        </w:rPr>
        <w:t xml:space="preserve"> 三重条件判断代码</w:t>
      </w:r>
    </w:p>
    <w:p w14:paraId="75828502">
      <w:pPr>
        <w:shd w:val="clear"/>
        <w:rPr>
          <w:rFonts w:hint="eastAsia"/>
          <w:lang w:eastAsia="zh-CN"/>
        </w:rPr>
      </w:pPr>
    </w:p>
    <w:p w14:paraId="2EBCDFC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为论证采用线性拟合法进行漂移量计算的合理性，本研究将其与两种计算更为简化的备选方法进行了概念性与实验性对比。</w:t>
      </w:r>
    </w:p>
    <w:p w14:paraId="42552866">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1.极差法 (Range Method)</w:t>
      </w:r>
      <w:r>
        <w:rPr>
          <w:rFonts w:hint="default" w:ascii="宋体" w:hAnsi="宋体" w:eastAsia="宋体" w:cs="宋体"/>
          <w:i w:val="0"/>
          <w:iCs w:val="0"/>
          <w:caps w:val="0"/>
          <w:color w:val="333333"/>
          <w:spacing w:val="0"/>
          <w:sz w:val="24"/>
          <w:szCs w:val="24"/>
          <w:shd w:val="clear" w:fill="FFFFFF"/>
          <w:lang w:val="en-US" w:eastAsia="zh-CN"/>
        </w:rPr>
        <w:t>‌：判断在10分钟内，温度的最大值与最小值之差是否不超过2°C。这种方法对单次野值干扰（如电磁脉冲、信号瞬断）极其敏感，一次异常尖峰便会导致连续10分钟的稳定成果失效。在测试中，当向稳定的炉温数据序列（750.0±0.3°C）中插入一个+2.5°C的单点脉冲时，该方法立即判定为“不稳定”，表现出极低的抗扰度。</w:t>
      </w:r>
    </w:p>
    <w:p w14:paraId="3AD160D5">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2.</w:t>
      </w:r>
      <w:r>
        <w:rPr>
          <w:rFonts w:hint="default" w:ascii="宋体" w:hAnsi="宋体" w:eastAsia="宋体" w:cs="宋体"/>
          <w:i w:val="0"/>
          <w:iCs w:val="0"/>
          <w:caps w:val="0"/>
          <w:color w:val="333333"/>
          <w:spacing w:val="0"/>
          <w:sz w:val="24"/>
          <w:szCs w:val="24"/>
          <w:shd w:val="clear" w:fill="FFFFFF"/>
          <w:lang w:val="en-US" w:eastAsia="zh-CN"/>
        </w:rPr>
        <w:t>‌方差法 (Variance Method)‌：计算10分钟窗口内温度的方差，判断其是否低于预设阈值。方差衡量的是数据围绕其均值的波动程度。对于‌缓慢、单调的“温漂”‌（例如以0.15°C/min的速率缓慢爬升），其均值也在缓慢变化，导致计算出的方差可能依然很小，从而‌掩盖了方向性的变化趋势‌。这在我们的模拟测试中得到了证实：方差法未能识别出这种缓慢但持续的不稳定性。</w:t>
      </w:r>
    </w:p>
    <w:p w14:paraId="35D7EE8C">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3.</w:t>
      </w:r>
      <w:r>
        <w:rPr>
          <w:rFonts w:hint="default" w:ascii="宋体" w:hAnsi="宋体" w:eastAsia="宋体" w:cs="宋体"/>
          <w:i w:val="0"/>
          <w:iCs w:val="0"/>
          <w:caps w:val="0"/>
          <w:color w:val="333333"/>
          <w:spacing w:val="0"/>
          <w:sz w:val="24"/>
          <w:szCs w:val="24"/>
          <w:shd w:val="clear" w:fill="FFFFFF"/>
          <w:lang w:val="en-US" w:eastAsia="zh-CN"/>
        </w:rPr>
        <w:t>‌线性拟合斜率法 (Linear Regression Slope Method)‌：即本文采用的方法。其优势在于：通过‌最小二乘‌原则对所有数据点进行整体拟合，单个野值点的影响力会被其他数百个有效数据所稀释，继承了良好的‌抗干扰性‌；更重要的是，拟合出的斜率直接量化了温度的‌定向变化趋势‌，无论是线性上升还是下降，都能被精确捕捉，契合标准所反对的“温度漂移”概念，具备卓越的‌趋势敏感性‌。</w:t>
      </w:r>
    </w:p>
    <w:p w14:paraId="0C85E794">
      <w:pPr>
        <w:keepNext w:val="0"/>
        <w:keepLines w:val="0"/>
        <w:pageBreakBefore w:val="0"/>
        <w:widowControl w:val="0"/>
        <w:shd w:val="clear"/>
        <w:kinsoku/>
        <w:wordWrap/>
        <w:overflowPunct/>
        <w:topLinePunct w:val="0"/>
        <w:autoSpaceDE/>
        <w:autoSpaceDN/>
        <w:bidi w:val="0"/>
        <w:adjustRightInd/>
        <w:snapToGrid/>
        <w:spacing w:beforeAutospacing="0" w:line="360" w:lineRule="auto"/>
        <w:ind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i w:val="0"/>
          <w:iCs w:val="0"/>
          <w:caps w:val="0"/>
          <w:color w:val="333333"/>
          <w:spacing w:val="0"/>
          <w:sz w:val="24"/>
          <w:szCs w:val="24"/>
          <w:shd w:val="clear" w:fill="FFFFFF"/>
        </w:rPr>
        <w:t>综上所述，本节所述的温度智能控制与稳定性判断子系统，在工程实现层面通过软硬件协同架构、三重条件联合判断与持续性验证机制，将理论算法成功转化为可靠运行的软件系统。与备选方案的对比测试结果进一步验证了本技术路线在升温速度、超调抑制、稳态精度与工程易用性等方面的综合优势，为整个自动化试验系统满足ISO 11820-2020国际标准的严格要求提供了核心技术保障。</w:t>
      </w:r>
    </w:p>
    <w:p w14:paraId="60299187">
      <w:pPr>
        <w:pStyle w:val="4"/>
        <w:shd w:val="clear"/>
        <w:bidi w:val="0"/>
        <w:rPr>
          <w:rFonts w:hint="default" w:ascii="黑体" w:hAnsi="黑体" w:eastAsia="黑体" w:cs="黑体"/>
          <w:sz w:val="24"/>
          <w:szCs w:val="24"/>
          <w:lang w:val="en-US" w:eastAsia="zh-CN"/>
        </w:rPr>
      </w:pPr>
      <w:bookmarkStart w:id="60" w:name="_Toc23722"/>
      <w:r>
        <w:rPr>
          <w:rFonts w:hint="default" w:ascii="黑体" w:hAnsi="黑体" w:eastAsia="黑体" w:cs="黑体"/>
          <w:sz w:val="24"/>
          <w:szCs w:val="24"/>
          <w:lang w:val="en-US" w:eastAsia="zh-CN"/>
        </w:rPr>
        <w:t>5.2.4 数据持久化与报表服务实现</w:t>
      </w:r>
      <w:bookmarkEnd w:id="60"/>
    </w:p>
    <w:p w14:paraId="16767C05">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数据的管理和输出按照分层的处理流程来做，实时采集的数据异步存进了内存当中，而状态机在关键节点（诸如试验开始记录、试验做完了）触发数据的持久化工作，TestMaster会通过EFCore的那个上下文，把试验的相关数据、全部采集到的时序温度数据和计算结果，以事务办法把数据持久化进SQLServer数据库，让数据保持完整又一致。系统实行双保险的办法，凭借CsvHelper库把时序温度数据弄成CSV文件，按照试验跟产品维度存于 D:\ISO11820\试验相关资料\{产品标识编号}\{测试标识编号}\ 路径下，形成跟数据库并行的冗余备份，数据表设计按第三范式来设计，表与表之间以外键来关联，造就了以试验、产品、操作为核心的完整数据联系。</w:t>
      </w:r>
    </w:p>
    <w:p w14:paraId="67C995FB">
      <w:pPr>
        <w:keepNext w:val="0"/>
        <w:keepLines w:val="0"/>
        <w:pageBreakBefore w:val="0"/>
        <w:widowControl w:val="0"/>
        <w:shd w:val="clear"/>
        <w:kinsoku/>
        <w:wordWrap w:val="0"/>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数据流程的终端乃是报表生成服务，由TestPackageService与TemperatureCurveExportService合作完成，一次试验结束那个时候，报表生成服务自动运作起来，首先从数据库查找本次试验的一切相关信息。TemperatureCurveExportService基于EPPlus以及ClosedXML开展，把产品、操作员、环境参数等结构化数据填入预先制作的Excel报告模板，算出平均温度、最大温度、温度漂移等统计指标，同时制作时间 - 温度曲线图并置于报告里面。TestPackageService把生成的Excel报告、对应的CSV原始数据和温度曲线图进行打包然后归档，并且可借助PDFsharp把报告转换为满足实验室格式规定的PDF文件，系统达成了一键出报告和完整数据资产的自动化管理。</w:t>
      </w:r>
    </w:p>
    <w:p w14:paraId="20C65523">
      <w:pPr>
        <w:keepNext w:val="0"/>
        <w:keepLines w:val="0"/>
        <w:pageBreakBefore w:val="0"/>
        <w:widowControl w:val="0"/>
        <w:shd w:val="clear"/>
        <w:kinsoku/>
        <w:wordWrap w:val="0"/>
        <w:overflowPunct/>
        <w:topLinePunct w:val="0"/>
        <w:autoSpaceDE/>
        <w:autoSpaceDN/>
        <w:bidi w:val="0"/>
        <w:adjustRightInd/>
        <w:snapToGrid/>
        <w:spacing w:line="360" w:lineRule="auto"/>
        <w:ind w:firstLine="420" w:firstLineChars="200"/>
        <w:textAlignment w:val="auto"/>
      </w:pPr>
      <w:r>
        <w:drawing>
          <wp:inline distT="0" distB="0" distL="114300" distR="114300">
            <wp:extent cx="5156200" cy="3562350"/>
            <wp:effectExtent l="0" t="0" r="0" b="635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21"/>
                    <a:stretch>
                      <a:fillRect/>
                    </a:stretch>
                  </pic:blipFill>
                  <pic:spPr>
                    <a:xfrm>
                      <a:off x="0" y="0"/>
                      <a:ext cx="5156200" cy="3562350"/>
                    </a:xfrm>
                    <a:prstGeom prst="rect">
                      <a:avLst/>
                    </a:prstGeom>
                    <a:noFill/>
                    <a:ln>
                      <a:noFill/>
                    </a:ln>
                  </pic:spPr>
                </pic:pic>
              </a:graphicData>
            </a:graphic>
          </wp:inline>
        </w:drawing>
      </w:r>
    </w:p>
    <w:p w14:paraId="1CBDEB58">
      <w:pPr>
        <w:pStyle w:val="6"/>
        <w:shd w:val="clear"/>
        <w:bidi w:val="0"/>
        <w:rPr>
          <w:rFonts w:hint="eastAsia"/>
          <w:lang w:val="en-US" w:eastAsia="zh-CN"/>
        </w:rPr>
      </w:pPr>
      <w:r>
        <w:rPr>
          <w:rFonts w:hint="eastAsia"/>
        </w:rPr>
        <w:t>图</w:t>
      </w:r>
      <w:r>
        <w:rPr>
          <w:rFonts w:hint="eastAsia"/>
          <w:lang w:val="en-US" w:eastAsia="zh-CN"/>
        </w:rPr>
        <w:t>5-4</w:t>
      </w:r>
      <w:r>
        <w:rPr>
          <w:rFonts w:hint="eastAsia"/>
          <w:lang w:eastAsia="zh-CN"/>
        </w:rPr>
        <w:t xml:space="preserve"> 数据流程设计</w:t>
      </w:r>
    </w:p>
    <w:p w14:paraId="63C87DC5">
      <w:pPr>
        <w:pStyle w:val="3"/>
        <w:shd w:val="clear"/>
        <w:bidi w:val="0"/>
        <w:rPr>
          <w:rFonts w:hint="eastAsia" w:ascii="宋体" w:hAnsi="宋体" w:eastAsia="宋体" w:cs="宋体"/>
          <w:lang w:val="en-US" w:eastAsia="zh-CN"/>
        </w:rPr>
      </w:pPr>
      <w:bookmarkStart w:id="61" w:name="_Toc28421"/>
      <w:r>
        <w:rPr>
          <w:rFonts w:hint="eastAsia" w:ascii="宋体" w:hAnsi="宋体" w:eastAsia="宋体" w:cs="宋体"/>
          <w:lang w:val="en-US" w:eastAsia="zh-CN"/>
        </w:rPr>
        <w:t>5.3系统客户端实现</w:t>
      </w:r>
      <w:bookmarkEnd w:id="61"/>
    </w:p>
    <w:p w14:paraId="4E7E59B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客户端是开展人机交互的直接载体，处理试验流程引导、实时数据可视化、系统配置和数据管理等多项相关工作，其实现基于WinForms框架来开展，使用模块化的设计思想，将复杂试验操作逻辑存于直观、友好的图形界面里面去，是要给试验操作人员提供明确的操作说明以及全面的状态了解。</w:t>
      </w:r>
    </w:p>
    <w:p w14:paraId="51C62F71">
      <w:pPr>
        <w:pStyle w:val="4"/>
        <w:shd w:val="clear"/>
        <w:bidi w:val="0"/>
        <w:rPr>
          <w:rFonts w:hint="eastAsia" w:ascii="宋体" w:hAnsi="宋体" w:eastAsia="宋体" w:cs="宋体"/>
          <w:sz w:val="24"/>
          <w:szCs w:val="24"/>
          <w:lang w:val="en-US" w:eastAsia="zh-CN"/>
        </w:rPr>
      </w:pPr>
      <w:bookmarkStart w:id="62" w:name="_Toc2397"/>
      <w:r>
        <w:rPr>
          <w:rFonts w:hint="eastAsia" w:ascii="宋体" w:hAnsi="宋体" w:eastAsia="宋体" w:cs="宋体"/>
          <w:sz w:val="24"/>
          <w:szCs w:val="24"/>
          <w:lang w:val="en-US" w:eastAsia="zh-CN"/>
        </w:rPr>
        <w:t>5.3.1 试验监控主界面实现</w:t>
      </w:r>
      <w:bookmarkEnd w:id="62"/>
    </w:p>
    <w:p w14:paraId="52CAD64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试验监控主界面是操作员做试验的核心工作平台，该设计按“信息集中、操作有序”原则来做设计，界面整体布局把功能明确区域划分出来，中央核心区域是开展实时数据可视化的一块区域，用Chart控件动态绘制炉内双通道温度以及试样表面和中心温度这四条曲线，以不一样的颜色和线型区分，且以约800毫秒这样一个周期来刷新，明白呈现温度变化趋向，于曲线图下方同时以数字方式呈现各通道的瞬时温度值、试验已经用掉的时间，还有计算得出的温度漂移和偏差等关键指标。</w:t>
      </w:r>
    </w:p>
    <w:p w14:paraId="24B090A5">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界面的顶部或者侧边装了试验流程控制及状态指示面板，该面板设置了“新建试验”“开始升温”“开始记录”“停止”“生成报告”等一些流程操作按键，这些按钮启用或者禁用的状态跟后台TestMaster状态机的状态严格相符，好比只有当系统判定温度稳定，处于“Ready”状态的时候，“开始记录”按钮才会高亮着被启用。这种状态驱动的UI设计很好地阻挡了流程跳跃或误操作出现，面板用醒目的标签或指示灯，实时展示当前试验的状态、目标温度和剩余稳定时间的倒计时，而且以图标方式直观反映ISO 11820标准下“温度范围”“温度漂移”“温度偏差”三个稳定性条件的实时相符情形，使操作员对试验进程一目了然知晓。</w:t>
      </w:r>
    </w:p>
    <w:p w14:paraId="7D2255F9">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界面底部一般是设有消息和日志的输出区，以可滚动的文本框或列表控件实时反馈系统操作方面的日志、设备通信方面的状态、算法判断的结果和异常告警信息，所有可能造成用户界面阻塞的涉及数据更新、状态轮询操作，都运用异步编程模式（async/await）在后台线程去执行，并且凭借Co.Invoke方法对UI控件进行安全的更新，让主界面在长时间试验当中保持流畅、能够响应。</w:t>
      </w:r>
    </w:p>
    <w:p w14:paraId="69BDFBEF">
      <w:pPr>
        <w:keepNext w:val="0"/>
        <w:keepLines w:val="0"/>
        <w:pageBreakBefore w:val="0"/>
        <w:widowControl w:val="0"/>
        <w:shd w:val="clear"/>
        <w:kinsoku/>
        <w:wordWrap/>
        <w:overflowPunct/>
        <w:topLinePunct w:val="0"/>
        <w:autoSpaceDE/>
        <w:autoSpaceDN/>
        <w:bidi w:val="0"/>
        <w:adjustRightInd/>
        <w:snapToGrid/>
        <w:spacing w:line="360" w:lineRule="auto"/>
        <w:textAlignment w:val="auto"/>
      </w:pPr>
      <w:r>
        <w:drawing>
          <wp:inline distT="0" distB="0" distL="114300" distR="114300">
            <wp:extent cx="5271135" cy="3094990"/>
            <wp:effectExtent l="0" t="0" r="12065" b="381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2"/>
                    <a:stretch>
                      <a:fillRect/>
                    </a:stretch>
                  </pic:blipFill>
                  <pic:spPr>
                    <a:xfrm>
                      <a:off x="0" y="0"/>
                      <a:ext cx="5271135" cy="3094990"/>
                    </a:xfrm>
                    <a:prstGeom prst="rect">
                      <a:avLst/>
                    </a:prstGeom>
                    <a:noFill/>
                    <a:ln>
                      <a:noFill/>
                    </a:ln>
                  </pic:spPr>
                </pic:pic>
              </a:graphicData>
            </a:graphic>
          </wp:inline>
        </w:drawing>
      </w:r>
    </w:p>
    <w:p w14:paraId="4DE9BE01">
      <w:pPr>
        <w:pStyle w:val="6"/>
        <w:shd w:val="clear"/>
        <w:bidi w:val="0"/>
        <w:rPr>
          <w:rFonts w:hint="eastAsia"/>
          <w:lang w:eastAsia="zh-CN"/>
        </w:rPr>
      </w:pPr>
      <w:r>
        <w:rPr>
          <w:rFonts w:hint="eastAsia"/>
        </w:rPr>
        <w:t xml:space="preserve">图 </w:t>
      </w:r>
      <w:r>
        <w:rPr>
          <w:rFonts w:hint="eastAsia"/>
          <w:lang w:val="en-US" w:eastAsia="zh-CN"/>
        </w:rPr>
        <w:t>5-5</w:t>
      </w:r>
      <w:r>
        <w:rPr>
          <w:rFonts w:hint="eastAsia"/>
          <w:lang w:eastAsia="zh-CN"/>
        </w:rPr>
        <w:t>试验监控主界面</w:t>
      </w:r>
    </w:p>
    <w:p w14:paraId="555B83A8">
      <w:pPr>
        <w:shd w:val="clear"/>
      </w:pPr>
      <w:r>
        <w:drawing>
          <wp:inline distT="0" distB="0" distL="114300" distR="114300">
            <wp:extent cx="5271135" cy="3094990"/>
            <wp:effectExtent l="0" t="0" r="12065" b="381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3"/>
                    <a:stretch>
                      <a:fillRect/>
                    </a:stretch>
                  </pic:blipFill>
                  <pic:spPr>
                    <a:xfrm>
                      <a:off x="0" y="0"/>
                      <a:ext cx="5271135" cy="3094990"/>
                    </a:xfrm>
                    <a:prstGeom prst="rect">
                      <a:avLst/>
                    </a:prstGeom>
                    <a:noFill/>
                    <a:ln>
                      <a:noFill/>
                    </a:ln>
                  </pic:spPr>
                </pic:pic>
              </a:graphicData>
            </a:graphic>
          </wp:inline>
        </w:drawing>
      </w:r>
    </w:p>
    <w:p w14:paraId="7A6256C3">
      <w:pPr>
        <w:pStyle w:val="6"/>
        <w:shd w:val="clear"/>
        <w:bidi w:val="0"/>
        <w:rPr>
          <w:rFonts w:hint="eastAsia"/>
          <w:lang w:val="en-US" w:eastAsia="zh-CN"/>
        </w:rPr>
      </w:pPr>
      <w:r>
        <w:rPr>
          <w:rFonts w:hint="eastAsia"/>
        </w:rPr>
        <w:t xml:space="preserve">图 </w:t>
      </w:r>
      <w:r>
        <w:rPr>
          <w:rFonts w:hint="eastAsia"/>
          <w:lang w:val="en-US" w:eastAsia="zh-CN"/>
        </w:rPr>
        <w:t>5-6</w:t>
      </w:r>
      <w:r>
        <w:rPr>
          <w:rFonts w:hint="eastAsia"/>
          <w:lang w:eastAsia="zh-CN"/>
        </w:rPr>
        <w:t xml:space="preserve"> 新建试验界面</w:t>
      </w:r>
    </w:p>
    <w:p w14:paraId="644A2198">
      <w:pPr>
        <w:pStyle w:val="4"/>
        <w:shd w:val="clear"/>
        <w:bidi w:val="0"/>
        <w:rPr>
          <w:rFonts w:hint="default" w:ascii="宋体" w:hAnsi="宋体" w:eastAsia="宋体" w:cs="宋体"/>
          <w:sz w:val="24"/>
          <w:szCs w:val="24"/>
          <w:lang w:val="en-US" w:eastAsia="zh-CN"/>
        </w:rPr>
      </w:pPr>
      <w:bookmarkStart w:id="63" w:name="_Toc22154"/>
      <w:r>
        <w:rPr>
          <w:rFonts w:hint="eastAsia" w:ascii="宋体" w:hAnsi="宋体" w:eastAsia="宋体" w:cs="宋体"/>
          <w:sz w:val="24"/>
          <w:szCs w:val="24"/>
          <w:lang w:val="en-US" w:eastAsia="zh-CN"/>
        </w:rPr>
        <w:t xml:space="preserve">5.3.2 </w:t>
      </w:r>
      <w:r>
        <w:rPr>
          <w:rFonts w:hint="default" w:ascii="宋体" w:hAnsi="宋体" w:eastAsia="宋体" w:cs="宋体"/>
          <w:sz w:val="24"/>
          <w:szCs w:val="24"/>
          <w:lang w:val="en-US" w:eastAsia="zh-CN"/>
        </w:rPr>
        <w:t>校准系统实现</w:t>
      </w:r>
      <w:bookmarkEnd w:id="63"/>
    </w:p>
    <w:p w14:paraId="137574EF">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CalibrationCalculationService将校准系统核心计算逻辑统一加以封装，这个服务类承担起炉壁温度校验与中心轴温度校验的所有数据处理和指标运算的任务，在开展炉壁温度校验的实现中，系统刚开始采用Modbus RTU协议从九个指定的测温位置传感器收集实时温度资料，当数据稳定下来，把数据填入CalibrationRecord模型相应的TempA1至TempC3字段。服务层根据三轴三层级的组织架构做分组聚合计算：在轴向的维度之中，把A1、B1、C1纳入Axis 1，把A2、B2、C2划分到Axis 2里面，A3、B3、C3被纳入Axis 3，分别对各轴平均温度TAvgAxis1至TAvgAxis3加以计算；在层级维度相关方面，把A1、A2、A3纳入Level A，把B1、B2、B3纳入Level B，把C1、C2、C3纳入Level C，分别得出各层的平均温度TAvgLevela到TAvgLevelc。基于以上所提及的分组均值，系统进一步去计算各轴温度偏差TDevAxis、各层温度偏差TDevLevel，并汇总得到轴向平均偏差TAvgDevAxis以及层向平均偏差TAvgDevLevel，最终把九点数据整体算术平均得到的数值作为TAvg，把各分组偏差当中的最大值当作MaxDeviation，按照ISO 11820标准所规定的温度均匀性容许阈值判断PassedCriteria的布尔结果</w:t>
      </w:r>
      <w:r>
        <w:rPr>
          <w:rFonts w:hint="eastAsia" w:ascii="宋体" w:hAnsi="宋体" w:eastAsia="宋体" w:cs="宋体"/>
          <w:sz w:val="24"/>
          <w:szCs w:val="24"/>
          <w:lang w:val="en-US" w:eastAsia="zh-CN"/>
        </w:rPr>
        <w:t>。</w:t>
      </w:r>
    </w:p>
    <w:p w14:paraId="2B1409E0">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中心轴温度校验达成采用了逐点扫描式的采集办法，系统使测温探头沿着炉膛中心轴线，从5mm开始的地方逐渐向下移动到145mm结束的地方，每间隔10mm停留下来记一个温度读数，一共收获十五个位置的温度数据，采集工作完毕后，全部位置点以及对应温度值以键值对形式变成JSON字符串，写入到CalibrationRecord当中的CenterTempData字段，保障数据结构有灵活的特质，又便于后续去做解析和可视化工作，CalibrationCalculationService拿到中心轴数据之后，同样开展平均温度、最大偏差和均匀性结果的计算办法，它判定标准所采用的算法框架和炉壁校验保持一致，只是在采样点空间分布的维度上有不一样之处</w:t>
      </w:r>
      <w:r>
        <w:rPr>
          <w:rFonts w:hint="eastAsia" w:ascii="宋体" w:hAnsi="宋体" w:eastAsia="宋体" w:cs="宋体"/>
          <w:sz w:val="24"/>
          <w:szCs w:val="24"/>
          <w:lang w:val="en-US" w:eastAsia="zh-CN"/>
        </w:rPr>
        <w:t>。</w:t>
      </w:r>
    </w:p>
    <w:p w14:paraId="124F268D">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校准记录持久化是通过SQL Server数据库里的CalibrationRecords表达成的，此表跟CalibrationRecord模型的字段结构一一映射起来，每次进行校验完成之后，服务层利用数据访问层来执行对填充好的模型实例的插入操作，同时把校验日期、设备编号以及通过状态等关键信息传回MainForm的系统校验页签进行前端的展示。操作员可于这个页签查看历次校准记录清单，筛选选定时间范围的校验结果，并且导出单次校准的详细数据报告，校准系统和主试验流程用设备编号ApparatusId确立关联关系，保证仅在炉体最近一次校准的PassedCriteria是真的情况下，试验模块才能够开展新的测试工作，从而在系统层面做到了校准状态对试验操作的前置管理，有力保障测试结果符合有效准则及规定</w:t>
      </w:r>
      <w:r>
        <w:rPr>
          <w:rFonts w:hint="eastAsia" w:ascii="宋体" w:hAnsi="宋体" w:eastAsia="宋体" w:cs="宋体"/>
          <w:sz w:val="24"/>
          <w:szCs w:val="24"/>
          <w:lang w:val="en-US" w:eastAsia="zh-CN"/>
        </w:rPr>
        <w:t>。</w:t>
      </w:r>
    </w:p>
    <w:p w14:paraId="34E44715">
      <w:pPr>
        <w:keepNext w:val="0"/>
        <w:keepLines w:val="0"/>
        <w:pageBreakBefore w:val="0"/>
        <w:widowControl w:val="0"/>
        <w:shd w:val="clear"/>
        <w:kinsoku/>
        <w:wordWrap/>
        <w:overflowPunct/>
        <w:topLinePunct w:val="0"/>
        <w:autoSpaceDE/>
        <w:autoSpaceDN/>
        <w:bidi w:val="0"/>
        <w:adjustRightInd/>
        <w:snapToGrid/>
        <w:spacing w:line="360" w:lineRule="auto"/>
        <w:textAlignment w:val="auto"/>
      </w:pPr>
      <w:r>
        <w:drawing>
          <wp:inline distT="0" distB="0" distL="114300" distR="114300">
            <wp:extent cx="5271135" cy="3094990"/>
            <wp:effectExtent l="0" t="0" r="12065" b="381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4"/>
                    <a:stretch>
                      <a:fillRect/>
                    </a:stretch>
                  </pic:blipFill>
                  <pic:spPr>
                    <a:xfrm>
                      <a:off x="0" y="0"/>
                      <a:ext cx="5271135" cy="3094990"/>
                    </a:xfrm>
                    <a:prstGeom prst="rect">
                      <a:avLst/>
                    </a:prstGeom>
                    <a:noFill/>
                    <a:ln>
                      <a:noFill/>
                    </a:ln>
                  </pic:spPr>
                </pic:pic>
              </a:graphicData>
            </a:graphic>
          </wp:inline>
        </w:drawing>
      </w:r>
    </w:p>
    <w:p w14:paraId="1A4275F1">
      <w:pPr>
        <w:pStyle w:val="6"/>
        <w:shd w:val="clear"/>
        <w:bidi w:val="0"/>
        <w:rPr>
          <w:rFonts w:hint="default" w:ascii="宋体" w:hAnsi="宋体" w:eastAsia="宋体" w:cs="宋体"/>
          <w:sz w:val="24"/>
          <w:szCs w:val="24"/>
          <w:lang w:val="en-US" w:eastAsia="zh-CN"/>
        </w:rPr>
      </w:pPr>
      <w:r>
        <w:rPr>
          <w:rFonts w:hint="eastAsia"/>
        </w:rPr>
        <w:t xml:space="preserve">图 </w:t>
      </w:r>
      <w:r>
        <w:rPr>
          <w:rFonts w:hint="eastAsia"/>
          <w:lang w:val="en-US" w:eastAsia="zh-CN"/>
        </w:rPr>
        <w:t>5-7</w:t>
      </w:r>
      <w:r>
        <w:rPr>
          <w:rFonts w:hint="eastAsia"/>
          <w:lang w:eastAsia="zh-CN"/>
        </w:rPr>
        <w:t>系统校验配置界面</w:t>
      </w:r>
    </w:p>
    <w:p w14:paraId="5FF893C4">
      <w:pPr>
        <w:pStyle w:val="4"/>
        <w:shd w:val="clear"/>
        <w:bidi w:val="0"/>
        <w:rPr>
          <w:rFonts w:hint="default" w:ascii="宋体" w:hAnsi="宋体" w:eastAsia="宋体" w:cs="宋体"/>
          <w:sz w:val="24"/>
          <w:szCs w:val="24"/>
          <w:lang w:val="en-US" w:eastAsia="zh-CN"/>
        </w:rPr>
      </w:pPr>
      <w:bookmarkStart w:id="64" w:name="_Toc10520"/>
      <w:r>
        <w:rPr>
          <w:rFonts w:hint="default" w:ascii="宋体" w:hAnsi="宋体" w:eastAsia="宋体" w:cs="宋体"/>
          <w:sz w:val="24"/>
          <w:szCs w:val="24"/>
          <w:lang w:val="en-US" w:eastAsia="zh-CN"/>
        </w:rPr>
        <w:t>5.3.3 仿真模式实现</w:t>
      </w:r>
      <w:bookmarkEnd w:id="64"/>
    </w:p>
    <w:p w14:paraId="2E024F50">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本系统在实现层面构建了一套完整的仿真运行框架，其核心目标在于为开发调试、功能验证及操作培训提供脱离真实高温炉体的安全测试环境。该框架由 SensorSimulator 仿真引擎、分层可配置的仿真开关以及统一收敛于 appsettings.json 的系统配置管理机制三部分协同构成，三者共同支撑起从全仿真联调到半实物混合模式的多层次运行体系。</w:t>
      </w:r>
    </w:p>
    <w:p w14:paraId="232CC3C9">
      <w:pPr>
        <w:pStyle w:val="1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仿真引擎的架构设计方面，SensorSimulator 并非简单的数值发生器，而是一个实现了完整试验温度曲线仿真的高保真模拟引擎。该引擎以时间序列为驱动轴，将整个试验过程解构为升温、稳定、记录、冷却四个连续阶段，各阶段之间依据温度阈值与时间条件自动流转。在升温阶段，引擎按照预设的温升速率 HeatingRatePerSecond（默认5.0°C/s）从初始炉温 InitialFurnaceTemp（默认25.0°C）线性攀升至目标温度 TargetFurnaceTemp（750.0°C），期间模拟了PID控制器调节过程中的惯性延迟与超调特性，使温度曲线呈现出逼近真实物理系统的过渡响应。进入稳定阶段后，引擎在目标温度附近叠加幅值为 TempFluctuation（±0.5°C）的高频随机波动，以模拟炉膛内热电偶因气流扰动、功率微调等因素产生的实测噪声。当温度稳定性满足 StableThreshold（±5.0°C）的判定条件并持续规定时长后，系统自动切入记录阶段，此时仿真温度数据以800ms为周期持续输出，完全复现真实试验的时序数据流。冷却阶段则模拟试验结束后炉体自然散热与强制降温的复合过程，温度按指数衰减曲线逐步回落至安全区间。此外，引擎内置了可配置的火焰仿真模块，当 SimulateFlame 开关置为真时，系统在试验启动后第 FlameStartTime 秒触发虚拟火焰事件，持续 FlameDuration 秒后自动熄灭，为火焰检测算法的独立验证提供了可控的触发条件。</w:t>
      </w:r>
    </w:p>
    <w:p w14:paraId="1A81FE2A">
      <w:pPr>
        <w:pStyle w:val="1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实时数据可视化与曲线监控方面，系统摒弃了传统的 Chart 控件方案，转而采用开源跨平台绘图库 OxyPlot 作为实时温度曲线的渲染引擎。OxyPlot 以其高性能的数据点批量更新机制和灵活的轴变换能力，为高频采样场景下的流畅曲线绘制提供了底层保障。在主试验监控界面上，系统并行绘制四条温度曲线，分别对应标准规定的四个关键测温点位：炉壁热电偶 TF1（蓝色曲线）、炉壁热电偶 TF2（红色曲线）、样品中心热电偶 TS（绿色曲线）以及炉内控温热电偶 TC（黄色曲线）。四条曲线共用同一时间横轴，纵轴为温度值，通过颜色区分实现直观的测点辨识。为兼顾实时响应性与历史趋势的可追溯性，系统设计了10分钟滑动窗口显示策略：横轴固定展示当前时刻向前回溯10分钟的时间跨度，窗口内保留约750个数据点（以800ms采样周期计）。每当新数据点到达时，曲线整体向左平移，最旧的数据点自动移出视野，最新的数据点从右侧补入，形成连续滚动的动态效果。在实现层面，系统采用 System.Windows.Forms.Timer 定时器以100ms为周期触发界面刷新，每次刷新调用 InvalidatePlot(true) 方法强制重绘图区。为避免频繁的全量重绘导致性能劣化，OxyPlot 内部的 ResamplerMgr 重采样管理器自动对窗口内的数据点进行自适应抽稀，在保证曲线平滑连续的前提下将实际渲染点数控制在合理范围内，确保界面操作响应流畅、无卡顿。此外，OxyPlot 内置的 Tracker 交互功能支持鼠标悬停时实时显示数据点坐标，操作员可精确读取任意时刻各测点的温度数值，为试验过程的精细监控提供了便捷手段。</w:t>
      </w:r>
    </w:p>
    <w:p w14:paraId="67D35EFE">
      <w:pPr>
        <w:pStyle w:val="1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kern w:val="2"/>
          <w:sz w:val="24"/>
          <w:szCs w:val="24"/>
          <w:lang w:val="en-US" w:eastAsia="zh-CN" w:bidi="ar-SA"/>
        </w:rPr>
      </w:pPr>
    </w:p>
    <w:p w14:paraId="5A3BA039">
      <w:pPr>
        <w:pStyle w:val="1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pPr>
      <w:r>
        <w:drawing>
          <wp:inline distT="0" distB="0" distL="114300" distR="114300">
            <wp:extent cx="5262880" cy="3124835"/>
            <wp:effectExtent l="0" t="0" r="7620" b="120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5"/>
                    <a:stretch>
                      <a:fillRect/>
                    </a:stretch>
                  </pic:blipFill>
                  <pic:spPr>
                    <a:xfrm>
                      <a:off x="0" y="0"/>
                      <a:ext cx="5262880" cy="3124835"/>
                    </a:xfrm>
                    <a:prstGeom prst="rect">
                      <a:avLst/>
                    </a:prstGeom>
                    <a:noFill/>
                    <a:ln>
                      <a:noFill/>
                    </a:ln>
                  </pic:spPr>
                </pic:pic>
              </a:graphicData>
            </a:graphic>
          </wp:inline>
        </w:drawing>
      </w:r>
    </w:p>
    <w:p w14:paraId="7B32ADA5">
      <w:pPr>
        <w:pStyle w:val="6"/>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eastAsia" w:eastAsiaTheme="minorEastAsia"/>
          <w:lang w:val="en-US" w:eastAsia="zh-CN"/>
        </w:rPr>
      </w:pPr>
      <w:r>
        <w:t xml:space="preserve">图 </w:t>
      </w:r>
      <w:r>
        <w:rPr>
          <w:rFonts w:hint="eastAsia"/>
          <w:lang w:val="en-US" w:eastAsia="zh-CN"/>
        </w:rPr>
        <w:t>5-8</w:t>
      </w:r>
      <w:r>
        <w:rPr>
          <w:rFonts w:hint="eastAsia"/>
          <w:lang w:eastAsia="zh-CN"/>
        </w:rPr>
        <w:t xml:space="preserve"> 仿真引擎温度曲线示意图</w:t>
      </w:r>
    </w:p>
    <w:p w14:paraId="27CB8DA1">
      <w:pPr>
        <w:pStyle w:val="12"/>
        <w:keepNext w:val="0"/>
        <w:keepLines w:val="0"/>
        <w:pageBreakBefore w:val="0"/>
        <w:widowControl/>
        <w:suppressLineNumbers w:val="0"/>
        <w:shd w:val="clear"/>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Style w:val="15"/>
          <w:rFonts w:hint="eastAsia" w:ascii="宋体" w:hAnsi="宋体" w:eastAsia="宋体" w:cs="宋体"/>
          <w:b w:val="0"/>
          <w:bCs w:val="0"/>
          <w:sz w:val="24"/>
          <w:szCs w:val="24"/>
          <w:lang w:eastAsia="zh-CN"/>
        </w:rPr>
      </w:pPr>
      <w:r>
        <w:rPr>
          <w:rStyle w:val="15"/>
          <w:rFonts w:hint="eastAsia" w:ascii="宋体" w:hAnsi="宋体" w:eastAsia="宋体" w:cs="宋体"/>
          <w:b w:val="0"/>
          <w:bCs w:val="0"/>
          <w:sz w:val="24"/>
          <w:szCs w:val="24"/>
        </w:rPr>
        <w:t>使本框架区别于常规单一仿真模式的关键设计是仿真开关的分层控制机制，系统在Simulation配置节点的上面设置了三个层级的布尔开关：EnableSimulation 作为全局仿真主要的总开关，决定系统运行到底是真实硬件模式还是虚拟仿真模式；SimulateSensors跟SimulatePidController属于两个相互独立的子开关，各自控制温度传感器数据源以及PID控制器行为的仿真状态。三者组合逻辑达成了四种运行模式的达成：要是总开关关上了，系统完全拿真实硬件开展通信，温度数据都来源于物理热电偶，PID指令依靠Modbus RTU协议送达实体的控制器；当总开关开启，而且两个子开关都被置为真时，系统开启全仿真的工作模式，传感器数据由SensorSimulator予以生成，软件对PID的响应加以模拟，整个试验流程可于不连接任何物理设备时完整开展操作；若只是开启SimulateSensors而关闭SimulatePidController，系统以半实物混合的模式运行起来，仿真引擎产出了温度数据，但控制指令还是由串口送达真实PID控制器，适用于验证控制器通信协议跟指令响应正确性的场景；当只是开启SimulatePidController，却关闭SimulateSensors时，系统接纳真实传感器所提供的数据，但PID控制逻辑被软件接手，可用于测试控制算法在有真实温度反馈的局面里的调节性能，上述分层开关设计使开发和测试人员能够根据验证目标灵活选取仿真的粒度，在开发效率和测试保真度当中取得最适宜平衡</w:t>
      </w:r>
      <w:r>
        <w:rPr>
          <w:rStyle w:val="15"/>
          <w:rFonts w:hint="eastAsia" w:ascii="宋体" w:hAnsi="宋体" w:eastAsia="宋体" w:cs="宋体"/>
          <w:b w:val="0"/>
          <w:bCs w:val="0"/>
          <w:sz w:val="24"/>
          <w:szCs w:val="24"/>
          <w:lang w:eastAsia="zh-CN"/>
        </w:rPr>
        <w:t>。</w:t>
      </w:r>
    </w:p>
    <w:p w14:paraId="45C26584">
      <w:pPr>
        <w:pStyle w:val="12"/>
        <w:keepNext w:val="0"/>
        <w:keepLines w:val="0"/>
        <w:pageBreakBefore w:val="0"/>
        <w:widowControl/>
        <w:suppressLineNumbers w:val="0"/>
        <w:shd w:val="clear"/>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宋体" w:hAnsi="宋体" w:eastAsia="宋体" w:cs="宋体"/>
          <w:sz w:val="24"/>
          <w:szCs w:val="24"/>
          <w:lang w:val="en-US" w:eastAsia="zh-CN"/>
        </w:rPr>
      </w:pPr>
      <w:r>
        <w:rPr>
          <w:rStyle w:val="15"/>
          <w:rFonts w:hint="eastAsia" w:ascii="宋体" w:hAnsi="宋体" w:eastAsia="宋体" w:cs="宋体"/>
          <w:b w:val="0"/>
          <w:bCs w:val="0"/>
          <w:sz w:val="24"/>
          <w:szCs w:val="24"/>
        </w:rPr>
        <w:t>系统配置统一管理的方面，所有硬件参数、仿真参数、报告策略及文件存储路径都集中到应用程序根目录下的a.n文件当中，按照.NET平台标准的配置方式来，硬件配置节点Hardware集中管理着三路RS - 485物理链路端口（PidPort、SensorPort、PowerPort）的分配，还有功率基准值ConstPower和PID目标温度PidTemperature；仿真配置节点Simulation把前面的所有仿真参数做了封装；报告配置节点Report确定了模板文件路径、输出目录、自动打开的方式及PDF导出开关；文件存储节点FileStorage统一管理校准记录、审计日志以及试验数据物理上的存储位置。系统启动的当儿利用ConfigurationBuilder加载该文件，各功能模块用依赖注入的做法获取对应配置节实例，达成配置的集中打理和运行时动态加载，当操作员借助图形化配置界面把参数进行修改并确认保存后，系统马上将变更序列化然后写入配置文件，后续试验任务自动利用更新后的参数相关集合，不用重启应用程序就可以达成环境转换，该配置管理策略有力地压低了因硬件更换、部署迁移或测试场景切换产生的维护成本，给系统长时间稳定的运转带来了灵活的底层支持</w:t>
      </w:r>
      <w:r>
        <w:rPr>
          <w:rFonts w:hint="eastAsia" w:ascii="宋体" w:hAnsi="宋体" w:eastAsia="宋体" w:cs="宋体"/>
          <w:b w:val="0"/>
          <w:bCs w:val="0"/>
          <w:sz w:val="24"/>
          <w:szCs w:val="24"/>
        </w:rPr>
        <w:t>。</w:t>
      </w:r>
    </w:p>
    <w:p w14:paraId="434B0BF6">
      <w:pPr>
        <w:pStyle w:val="4"/>
        <w:shd w:val="clear"/>
        <w:bidi w:val="0"/>
        <w:rPr>
          <w:rFonts w:hint="default" w:ascii="宋体" w:hAnsi="宋体" w:eastAsia="宋体" w:cs="宋体"/>
          <w:sz w:val="24"/>
          <w:szCs w:val="24"/>
          <w:lang w:val="en-US" w:eastAsia="zh-CN"/>
        </w:rPr>
      </w:pPr>
      <w:bookmarkStart w:id="65" w:name="_Toc5920"/>
      <w:r>
        <w:rPr>
          <w:rFonts w:hint="default" w:ascii="宋体" w:hAnsi="宋体" w:eastAsia="宋体" w:cs="宋体"/>
          <w:sz w:val="24"/>
          <w:szCs w:val="24"/>
          <w:lang w:val="en-US" w:eastAsia="zh-CN"/>
        </w:rPr>
        <w:t>5.3.</w:t>
      </w:r>
      <w:r>
        <w:rPr>
          <w:rFonts w:hint="eastAsia" w:ascii="宋体" w:hAnsi="宋体" w:cs="宋体"/>
          <w:sz w:val="24"/>
          <w:szCs w:val="24"/>
          <w:lang w:val="en-US" w:eastAsia="zh-CN"/>
        </w:rPr>
        <w:t>4</w:t>
      </w:r>
      <w:r>
        <w:rPr>
          <w:rFonts w:hint="default" w:ascii="宋体" w:hAnsi="宋体" w:eastAsia="宋体" w:cs="宋体"/>
          <w:sz w:val="24"/>
          <w:szCs w:val="24"/>
          <w:lang w:val="en-US" w:eastAsia="zh-CN"/>
        </w:rPr>
        <w:t xml:space="preserve"> 数据管理界面实现</w:t>
      </w:r>
      <w:bookmarkEnd w:id="65"/>
    </w:p>
    <w:p w14:paraId="1976AD0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此模块所面向的是系统管理员和高级用户，承担系统基础数据的维护以及追溯分析历史数据，是保障系统长期稳定运行，让数据具有可管理性的基础。</w:t>
      </w:r>
    </w:p>
    <w:p w14:paraId="5C79762B">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历史数据查询跟报表管理的界面具有强大的数据检索和导出本事，用户可凭借组合条件（像试验日期范围、产品名称、操作员、试验结论等有关情况）灵活查询历史试验记录，查询结果用表格形式来加以呈现，亮出了试验的关键元数据及结果，用户可以挑出任何一条记录，查看其详细的按时间顺序的温度数据，或者一键再次生成并导出本次试验的标准化Excel/PDF报告，该功能以后台的ReportGenerator服务为依赖，该服务把完整的数据从数据库提取，还利用EPPlus、ClosedXML、PDFsharp等往预设模板中填充，做到了历史报告的重现和存档。</w:t>
      </w:r>
    </w:p>
    <w:p w14:paraId="1AEBF0A8">
      <w:pPr>
        <w:keepNext w:val="0"/>
        <w:keepLines w:val="0"/>
        <w:pageBreakBefore w:val="0"/>
        <w:widowControl w:val="0"/>
        <w:shd w:val="clear"/>
        <w:kinsoku/>
        <w:wordWrap/>
        <w:overflowPunct/>
        <w:topLinePunct w:val="0"/>
        <w:autoSpaceDE/>
        <w:autoSpaceDN/>
        <w:bidi w:val="0"/>
        <w:adjustRightInd/>
        <w:snapToGrid/>
        <w:spacing w:line="360" w:lineRule="auto"/>
        <w:textAlignment w:val="auto"/>
      </w:pPr>
      <w:r>
        <w:drawing>
          <wp:inline distT="0" distB="0" distL="114300" distR="114300">
            <wp:extent cx="5271135" cy="2830195"/>
            <wp:effectExtent l="0" t="0" r="12065" b="190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6"/>
                    <a:stretch>
                      <a:fillRect/>
                    </a:stretch>
                  </pic:blipFill>
                  <pic:spPr>
                    <a:xfrm>
                      <a:off x="0" y="0"/>
                      <a:ext cx="5271135" cy="2830195"/>
                    </a:xfrm>
                    <a:prstGeom prst="rect">
                      <a:avLst/>
                    </a:prstGeom>
                    <a:noFill/>
                    <a:ln>
                      <a:noFill/>
                    </a:ln>
                  </pic:spPr>
                </pic:pic>
              </a:graphicData>
            </a:graphic>
          </wp:inline>
        </w:drawing>
      </w:r>
    </w:p>
    <w:p w14:paraId="0EDE98C9">
      <w:pPr>
        <w:pStyle w:val="6"/>
        <w:shd w:val="clear"/>
        <w:bidi w:val="0"/>
        <w:rPr>
          <w:rFonts w:hint="eastAsia"/>
          <w:lang w:eastAsia="zh-CN"/>
        </w:rPr>
      </w:pPr>
      <w:r>
        <w:rPr>
          <w:rFonts w:hint="eastAsia"/>
        </w:rPr>
        <w:t xml:space="preserve">图 </w:t>
      </w:r>
      <w:r>
        <w:rPr>
          <w:rFonts w:hint="eastAsia"/>
          <w:lang w:val="en-US" w:eastAsia="zh-CN"/>
        </w:rPr>
        <w:t>5-9</w:t>
      </w:r>
      <w:r>
        <w:rPr>
          <w:rFonts w:hint="eastAsia"/>
          <w:lang w:eastAsia="zh-CN"/>
        </w:rPr>
        <w:t xml:space="preserve"> 历史数据查询与报表管理界面</w:t>
      </w:r>
    </w:p>
    <w:p w14:paraId="142F7F09">
      <w:pPr>
        <w:shd w:val="clear"/>
      </w:pPr>
      <w:r>
        <w:drawing>
          <wp:inline distT="0" distB="0" distL="114300" distR="114300">
            <wp:extent cx="5271135" cy="3094990"/>
            <wp:effectExtent l="0" t="0" r="1206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5271135" cy="3094990"/>
                    </a:xfrm>
                    <a:prstGeom prst="rect">
                      <a:avLst/>
                    </a:prstGeom>
                    <a:noFill/>
                    <a:ln>
                      <a:noFill/>
                    </a:ln>
                  </pic:spPr>
                </pic:pic>
              </a:graphicData>
            </a:graphic>
          </wp:inline>
        </w:drawing>
      </w:r>
    </w:p>
    <w:p w14:paraId="7BE4DB5A">
      <w:pPr>
        <w:pStyle w:val="6"/>
        <w:shd w:val="clear"/>
        <w:bidi w:val="0"/>
        <w:rPr>
          <w:rFonts w:hint="default" w:ascii="宋体" w:hAnsi="宋体" w:eastAsia="宋体" w:cs="宋体"/>
          <w:sz w:val="24"/>
          <w:szCs w:val="24"/>
          <w:lang w:val="en-US" w:eastAsia="zh-CN"/>
        </w:rPr>
      </w:pPr>
      <w:r>
        <w:rPr>
          <w:rFonts w:hint="eastAsia"/>
        </w:rPr>
        <w:t xml:space="preserve">图 </w:t>
      </w:r>
      <w:r>
        <w:rPr>
          <w:rFonts w:hint="eastAsia"/>
          <w:lang w:val="en-US" w:eastAsia="zh-CN"/>
        </w:rPr>
        <w:t>5-10</w:t>
      </w:r>
      <w:r>
        <w:rPr>
          <w:rFonts w:hint="eastAsia"/>
          <w:lang w:eastAsia="zh-CN"/>
        </w:rPr>
        <w:t xml:space="preserve"> 记录查询界面</w:t>
      </w:r>
    </w:p>
    <w:p w14:paraId="27705DCB">
      <w:pPr>
        <w:pStyle w:val="3"/>
        <w:shd w:val="clear"/>
        <w:bidi w:val="0"/>
        <w:rPr>
          <w:rFonts w:hint="eastAsia" w:ascii="宋体" w:hAnsi="宋体" w:eastAsia="宋体" w:cs="宋体"/>
          <w:lang w:val="en-US" w:eastAsia="zh-CN"/>
        </w:rPr>
      </w:pPr>
      <w:bookmarkStart w:id="66" w:name="_Toc8222"/>
      <w:r>
        <w:rPr>
          <w:rFonts w:hint="eastAsia" w:ascii="宋体" w:hAnsi="宋体" w:eastAsia="宋体" w:cs="宋体"/>
          <w:lang w:val="en-US" w:eastAsia="zh-CN"/>
        </w:rPr>
        <w:t>5.4本章小结</w:t>
      </w:r>
      <w:bookmarkEnd w:id="66"/>
    </w:p>
    <w:p w14:paraId="1AE8EED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本章详细阐述了建筑材料不燃性试验自动化系统软件部分的具体实现。首先，明确了系统基于.NET 6.0与WinForms的技术选型，并配置了包括数据库、通信库、数学计算库在内的完整开发环境，为系统开发奠定了技术基础。其次，深入剖析了服务端核心模块的实现：通过独立的数据采集服务确保实时数据流的稳定；采用状态机模式精确控制复杂的试验流程；设计了融合多阶段控制与高精度稳定性判定的智能温度控制算法；并构建了完整的数据持久化与自动化报表生成体系。最后，介绍了客户端的实现，包括集成了实时监控、流程控制与状态显示的试验监控主界面，负责系统配置与历史数据管理的功能界面，以及用于离线验证系统逻辑的仿真测试界面。各模块均遵循模块化、异步化与面向接口的设计原则，共同构成了一个稳定、可靠、易用且易于维护的自动化试验系统软件整体。</w:t>
      </w:r>
    </w:p>
    <w:p w14:paraId="3120D96A">
      <w:pPr>
        <w:shd w:val="clea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1B4EC51E">
      <w:pPr>
        <w:pStyle w:val="2"/>
        <w:shd w:val="clear"/>
        <w:bidi w:val="0"/>
        <w:rPr>
          <w:rFonts w:hint="eastAsia" w:ascii="宋体" w:hAnsi="宋体" w:eastAsia="宋体" w:cs="宋体"/>
          <w:lang w:val="en-US" w:eastAsia="zh-CN"/>
        </w:rPr>
      </w:pPr>
      <w:bookmarkStart w:id="67" w:name="_Toc16211"/>
      <w:r>
        <w:rPr>
          <w:rFonts w:hint="eastAsia" w:ascii="宋体" w:hAnsi="宋体" w:eastAsia="宋体" w:cs="宋体"/>
          <w:lang w:val="en-US" w:eastAsia="zh-CN"/>
        </w:rPr>
        <w:t>6 系统测试</w:t>
      </w:r>
      <w:bookmarkEnd w:id="67"/>
    </w:p>
    <w:p w14:paraId="2BDC6B3D">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让ISO11820建筑材料不燃性试验自动化系统能严谨、可靠地开展标准试验流程，还满足用户对于稳定性、准确性以及易用性的要求，本章节对系统开展了全方位的测试，测试工作主要围绕系统功能以及兼容性展开，目的是核实各功能模块是否按照设计规范正常开展相关事宜，以及系统在不一样的软硬件环境中的适应性。</w:t>
      </w:r>
    </w:p>
    <w:p w14:paraId="0EF4AFCA">
      <w:pPr>
        <w:pStyle w:val="3"/>
        <w:pageBreakBefore w:val="0"/>
        <w:widowControl w:val="0"/>
        <w:shd w:val="clear"/>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lang w:val="en-US" w:eastAsia="zh-CN"/>
        </w:rPr>
      </w:pPr>
      <w:bookmarkStart w:id="68" w:name="_Toc19133"/>
      <w:bookmarkStart w:id="69" w:name="_Toc22746"/>
      <w:r>
        <w:rPr>
          <w:rFonts w:hint="eastAsia" w:ascii="黑体" w:hAnsi="黑体" w:eastAsia="黑体" w:cs="黑体"/>
          <w:sz w:val="28"/>
          <w:szCs w:val="28"/>
          <w:lang w:val="en-US" w:eastAsia="zh-CN"/>
        </w:rPr>
        <w:t>6.1测试目的及内容</w:t>
      </w:r>
      <w:bookmarkEnd w:id="68"/>
      <w:bookmarkEnd w:id="69"/>
    </w:p>
    <w:p w14:paraId="1F8FD4B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测试的主要目的是验证软件系统是否充分满足需求规格说明书所定义的功能和非功能要求，并保证其可以在预期运行环境下稳定、可靠地把工作开展好，本次测试关注的是功能测试与兼容性测试两大方面，功能测试想要借助设计详尽的测试用例，查证系统从数据采集、流程控制到报告生成等核心功能模块有没有错误。兼容性测试要对系统在不同Windows操作系统版本及不同硬件配置下的运行状况进行评估，保证其有良好的环境适应能力，利用一系列系统测试，用意是找出并去除潜在的毛病，最终明确系统达成了设计目的，可给建筑材料不燃性试验提供自动化、标准化的解决方式。</w:t>
      </w:r>
    </w:p>
    <w:p w14:paraId="1FF4BE5D">
      <w:pPr>
        <w:pStyle w:val="3"/>
        <w:shd w:val="clear"/>
        <w:bidi w:val="0"/>
        <w:rPr>
          <w:rFonts w:hint="eastAsia" w:ascii="宋体" w:hAnsi="宋体" w:eastAsia="宋体" w:cs="宋体"/>
          <w:lang w:val="en-US" w:eastAsia="zh-CN"/>
        </w:rPr>
      </w:pPr>
      <w:bookmarkStart w:id="70" w:name="_Toc30144"/>
      <w:r>
        <w:rPr>
          <w:rFonts w:hint="eastAsia" w:ascii="宋体" w:hAnsi="宋体" w:eastAsia="宋体" w:cs="宋体"/>
          <w:lang w:val="en-US" w:eastAsia="zh-CN"/>
        </w:rPr>
        <w:t>6.2功能测试</w:t>
      </w:r>
      <w:bookmarkEnd w:id="70"/>
    </w:p>
    <w:p w14:paraId="5C425DB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功能测试采用黑盒测试方法，针对系统各核心模块设计测试用例，通过模拟用户操作和输入各种边界及正常数据，检验系统响应与输出是否符合预期。以下为部分关键模块的测试用例示例。</w:t>
      </w:r>
    </w:p>
    <w:p w14:paraId="54CB25EB">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⑴ 试验流程控制模块测试‌</w:t>
      </w:r>
      <w:r>
        <w:rPr>
          <w:rFonts w:hint="default"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default" w:ascii="宋体" w:hAnsi="宋体" w:eastAsia="宋体" w:cs="宋体"/>
          <w:sz w:val="24"/>
          <w:szCs w:val="24"/>
          <w:lang w:val="en-US" w:eastAsia="zh-CN"/>
        </w:rPr>
        <w:t>该模块测试旨在验证状态机逻辑的正确性及流程控制的自动化程度。</w:t>
      </w:r>
    </w:p>
    <w:p w14:paraId="24499D0A">
      <w:pPr>
        <w:pStyle w:val="6"/>
        <w:shd w:val="clear"/>
        <w:bidi w:val="0"/>
        <w:rPr>
          <w:rFonts w:hint="eastAsia"/>
        </w:rPr>
      </w:pPr>
    </w:p>
    <w:p w14:paraId="511D977F">
      <w:pPr>
        <w:pStyle w:val="6"/>
        <w:shd w:val="clear"/>
        <w:bidi w:val="0"/>
        <w:rPr>
          <w:rFonts w:hint="eastAsia"/>
        </w:rPr>
      </w:pPr>
    </w:p>
    <w:p w14:paraId="6C559F20">
      <w:pPr>
        <w:pStyle w:val="6"/>
        <w:shd w:val="clear"/>
        <w:bidi w:val="0"/>
        <w:rPr>
          <w:rFonts w:hint="eastAsia"/>
        </w:rPr>
      </w:pPr>
    </w:p>
    <w:p w14:paraId="08AF45FB">
      <w:pPr>
        <w:pStyle w:val="6"/>
        <w:shd w:val="clear"/>
        <w:bidi w:val="0"/>
        <w:rPr>
          <w:rFonts w:hint="eastAsia"/>
        </w:rPr>
      </w:pPr>
    </w:p>
    <w:p w14:paraId="20A4664B">
      <w:pPr>
        <w:pStyle w:val="6"/>
        <w:shd w:val="clear"/>
        <w:bidi w:val="0"/>
        <w:rPr>
          <w:rFonts w:hint="eastAsia"/>
          <w:lang w:val="en-US" w:eastAsia="zh-CN"/>
        </w:rPr>
      </w:pPr>
      <w:r>
        <w:rPr>
          <w:rFonts w:hint="eastAsia"/>
        </w:rPr>
        <w:t xml:space="preserve">表 </w:t>
      </w:r>
      <w:r>
        <w:rPr>
          <w:rFonts w:hint="eastAsia"/>
          <w:lang w:val="en-US" w:eastAsia="zh-CN"/>
        </w:rPr>
        <w:t>6-1</w:t>
      </w:r>
      <w:r>
        <w:rPr>
          <w:rFonts w:hint="eastAsia"/>
          <w:lang w:eastAsia="zh-CN"/>
        </w:rPr>
        <w:t xml:space="preserve"> 试验流程控制模块测试‌</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870"/>
        <w:gridCol w:w="2880"/>
        <w:gridCol w:w="1920"/>
      </w:tblGrid>
      <w:tr w14:paraId="3E450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560" w:type="dxa"/>
            <w:tcBorders>
              <w:top w:val="single" w:color="000000" w:sz="12" w:space="0"/>
              <w:left w:val="nil"/>
              <w:bottom w:val="single" w:color="000000" w:sz="4" w:space="0"/>
              <w:right w:val="nil"/>
              <w:tl2br w:val="nil"/>
            </w:tcBorders>
            <w:shd w:val="clear" w:color="auto" w:fill="FFFFFF"/>
            <w:vAlign w:val="center"/>
          </w:tcPr>
          <w:p w14:paraId="6A8BC368">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测试模块</w:t>
            </w:r>
          </w:p>
        </w:tc>
        <w:tc>
          <w:tcPr>
            <w:tcW w:w="2870" w:type="dxa"/>
            <w:tcBorders>
              <w:top w:val="single" w:color="000000" w:sz="12" w:space="0"/>
              <w:left w:val="nil"/>
              <w:bottom w:val="single" w:color="000000" w:sz="4" w:space="0"/>
              <w:right w:val="nil"/>
            </w:tcBorders>
            <w:shd w:val="clear" w:color="auto" w:fill="FFFFFF"/>
            <w:vAlign w:val="center"/>
          </w:tcPr>
          <w:p w14:paraId="189ED0BE">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输入/操作</w:t>
            </w:r>
          </w:p>
        </w:tc>
        <w:tc>
          <w:tcPr>
            <w:tcW w:w="2880" w:type="dxa"/>
            <w:tcBorders>
              <w:top w:val="single" w:color="000000" w:sz="12" w:space="0"/>
              <w:left w:val="nil"/>
              <w:bottom w:val="single" w:color="000000" w:sz="4" w:space="0"/>
              <w:right w:val="nil"/>
            </w:tcBorders>
            <w:shd w:val="clear" w:color="auto" w:fill="FFFFFF"/>
            <w:vAlign w:val="center"/>
          </w:tcPr>
          <w:p w14:paraId="5D2B6293">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期望结果</w:t>
            </w:r>
          </w:p>
        </w:tc>
        <w:tc>
          <w:tcPr>
            <w:tcW w:w="1920" w:type="dxa"/>
            <w:tcBorders>
              <w:top w:val="single" w:color="000000" w:sz="12" w:space="0"/>
              <w:left w:val="nil"/>
              <w:bottom w:val="single" w:color="000000" w:sz="4" w:space="0"/>
              <w:right w:val="nil"/>
            </w:tcBorders>
            <w:shd w:val="clear" w:color="auto" w:fill="FFFFFF"/>
            <w:vAlign w:val="center"/>
          </w:tcPr>
          <w:p w14:paraId="7A2B9B38">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实际结果</w:t>
            </w:r>
          </w:p>
        </w:tc>
      </w:tr>
      <w:tr w14:paraId="776E9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80" w:hRule="atLeast"/>
        </w:trPr>
        <w:tc>
          <w:tcPr>
            <w:tcW w:w="1560" w:type="dxa"/>
            <w:tcBorders>
              <w:top w:val="single" w:color="000000" w:sz="4" w:space="0"/>
              <w:left w:val="nil"/>
              <w:bottom w:val="nil"/>
              <w:right w:val="nil"/>
            </w:tcBorders>
            <w:shd w:val="clear" w:color="auto" w:fill="FFFFFF"/>
            <w:vAlign w:val="center"/>
          </w:tcPr>
          <w:p w14:paraId="4AAB934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试验流程控制</w:t>
            </w:r>
          </w:p>
        </w:tc>
        <w:tc>
          <w:tcPr>
            <w:tcW w:w="2870" w:type="dxa"/>
            <w:tcBorders>
              <w:top w:val="single" w:color="000000" w:sz="4" w:space="0"/>
              <w:left w:val="nil"/>
              <w:bottom w:val="nil"/>
              <w:right w:val="nil"/>
            </w:tcBorders>
            <w:shd w:val="clear" w:color="auto" w:fill="FFFFFF"/>
            <w:vAlign w:val="center"/>
          </w:tcPr>
          <w:p w14:paraId="683E88A2">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点击“新建试验”按钮，输入试样信息。</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点击“开始升温”按钮。</w:t>
            </w:r>
          </w:p>
        </w:tc>
        <w:tc>
          <w:tcPr>
            <w:tcW w:w="2880" w:type="dxa"/>
            <w:tcBorders>
              <w:top w:val="single" w:color="000000" w:sz="4" w:space="0"/>
              <w:left w:val="nil"/>
              <w:bottom w:val="nil"/>
              <w:right w:val="nil"/>
            </w:tcBorders>
            <w:shd w:val="clear" w:color="auto" w:fill="FFFFFF"/>
            <w:vAlign w:val="center"/>
          </w:tcPr>
          <w:p w14:paraId="3133FD01">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系统状态从“空闲(Idle)”转为“准备升温(Preparing)”，加热器按预设多阶段策略启动。</w:t>
            </w:r>
          </w:p>
        </w:tc>
        <w:tc>
          <w:tcPr>
            <w:tcW w:w="1920" w:type="dxa"/>
            <w:tcBorders>
              <w:top w:val="single" w:color="000000" w:sz="4" w:space="0"/>
              <w:left w:val="nil"/>
              <w:bottom w:val="nil"/>
              <w:right w:val="nil"/>
            </w:tcBorders>
            <w:shd w:val="clear" w:color="auto" w:fill="FFFFFF"/>
            <w:vAlign w:val="center"/>
          </w:tcPr>
          <w:p w14:paraId="43F1C339">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与期望一致，状态转换正确，升温曲线平稳。</w:t>
            </w:r>
          </w:p>
        </w:tc>
      </w:tr>
      <w:tr w14:paraId="189D1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20" w:hRule="atLeast"/>
        </w:trPr>
        <w:tc>
          <w:tcPr>
            <w:tcW w:w="1560" w:type="dxa"/>
            <w:tcBorders>
              <w:top w:val="nil"/>
              <w:left w:val="nil"/>
              <w:bottom w:val="nil"/>
              <w:right w:val="nil"/>
            </w:tcBorders>
            <w:shd w:val="clear" w:color="auto" w:fill="FFFFFF"/>
            <w:vAlign w:val="center"/>
          </w:tcPr>
          <w:p w14:paraId="7875ACA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试验流程控制</w:t>
            </w:r>
          </w:p>
        </w:tc>
        <w:tc>
          <w:tcPr>
            <w:tcW w:w="2870" w:type="dxa"/>
            <w:tcBorders>
              <w:top w:val="nil"/>
              <w:left w:val="nil"/>
              <w:bottom w:val="nil"/>
              <w:right w:val="nil"/>
            </w:tcBorders>
            <w:shd w:val="clear" w:color="auto" w:fill="FFFFFF"/>
            <w:vAlign w:val="center"/>
          </w:tcPr>
          <w:p w14:paraId="044738AB">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在“准备升温(Preparing)”状态下，模拟炉温达到750°C并持续稳定600秒。</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观察系统状态。</w:t>
            </w:r>
          </w:p>
        </w:tc>
        <w:tc>
          <w:tcPr>
            <w:tcW w:w="2880" w:type="dxa"/>
            <w:tcBorders>
              <w:top w:val="nil"/>
              <w:left w:val="nil"/>
              <w:bottom w:val="nil"/>
              <w:right w:val="nil"/>
            </w:tcBorders>
            <w:shd w:val="clear" w:color="auto" w:fill="FFFFFF"/>
            <w:vAlign w:val="center"/>
          </w:tcPr>
          <w:p w14:paraId="70754513">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系统自动从“准备升温(Preparing)”状态转为“就绪(Ready)”状态，“开始记录”按钮变为可用。</w:t>
            </w:r>
          </w:p>
        </w:tc>
        <w:tc>
          <w:tcPr>
            <w:tcW w:w="1920" w:type="dxa"/>
            <w:tcBorders>
              <w:top w:val="nil"/>
              <w:left w:val="nil"/>
              <w:bottom w:val="nil"/>
              <w:right w:val="nil"/>
            </w:tcBorders>
            <w:shd w:val="clear" w:color="auto" w:fill="FFFFFF"/>
            <w:vAlign w:val="center"/>
          </w:tcPr>
          <w:p w14:paraId="07B26AF8">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与期望一致，状态自动转换，界面提示清晰。与期望一致，状态自动转换，界面提示清晰。</w:t>
            </w:r>
          </w:p>
        </w:tc>
      </w:tr>
      <w:tr w14:paraId="13E17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60" w:type="dxa"/>
            <w:tcBorders>
              <w:top w:val="nil"/>
              <w:left w:val="nil"/>
              <w:bottom w:val="single" w:color="000000" w:sz="12" w:space="0"/>
              <w:right w:val="nil"/>
            </w:tcBorders>
            <w:shd w:val="clear" w:color="auto" w:fill="FFFFFF"/>
            <w:vAlign w:val="center"/>
          </w:tcPr>
          <w:p w14:paraId="51E805D9">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试验流程控制</w:t>
            </w:r>
          </w:p>
        </w:tc>
        <w:tc>
          <w:tcPr>
            <w:tcW w:w="2870" w:type="dxa"/>
            <w:tcBorders>
              <w:top w:val="nil"/>
              <w:left w:val="nil"/>
              <w:bottom w:val="single" w:color="000000" w:sz="12" w:space="0"/>
              <w:right w:val="nil"/>
            </w:tcBorders>
            <w:shd w:val="clear" w:color="auto" w:fill="FFFFFF"/>
            <w:vAlign w:val="center"/>
          </w:tcPr>
          <w:p w14:paraId="74A3E1E4">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在“就绪(Ready)”状态下，点击“开始记录”按钮。</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30分钟后，点击“停止”按钮。</w:t>
            </w:r>
          </w:p>
        </w:tc>
        <w:tc>
          <w:tcPr>
            <w:tcW w:w="2880" w:type="dxa"/>
            <w:tcBorders>
              <w:top w:val="nil"/>
              <w:left w:val="nil"/>
              <w:bottom w:val="single" w:color="000000" w:sz="12" w:space="0"/>
              <w:right w:val="nil"/>
            </w:tcBorders>
            <w:shd w:val="clear" w:color="auto" w:fill="FFFFFF"/>
            <w:vAlign w:val="center"/>
          </w:tcPr>
          <w:p w14:paraId="251E9D56">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系统状态转为“记录中(Recording)”，并开始计时与数据记录。点击停止后，状态转为“完成(Complete)”，并自动触发数据保存。</w:t>
            </w:r>
          </w:p>
        </w:tc>
        <w:tc>
          <w:tcPr>
            <w:tcW w:w="1920" w:type="dxa"/>
            <w:tcBorders>
              <w:top w:val="nil"/>
              <w:left w:val="nil"/>
              <w:bottom w:val="single" w:color="000000" w:sz="12" w:space="0"/>
              <w:right w:val="nil"/>
            </w:tcBorders>
            <w:shd w:val="clear" w:color="auto" w:fill="FFFFFF"/>
            <w:vAlign w:val="center"/>
          </w:tcPr>
          <w:p w14:paraId="4264DB90">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与期望一致，记录过程数据完整，状态转换正常。</w:t>
            </w:r>
          </w:p>
        </w:tc>
      </w:tr>
    </w:tbl>
    <w:p w14:paraId="6E3ECAC4">
      <w:pPr>
        <w:keepNext w:val="0"/>
        <w:keepLines w:val="0"/>
        <w:pageBreakBefore w:val="0"/>
        <w:widowControl w:val="0"/>
        <w:shd w:val="clear"/>
        <w:kinsoku/>
        <w:wordWrap/>
        <w:overflowPunct/>
        <w:topLinePunct w:val="0"/>
        <w:autoSpaceDE/>
        <w:autoSpaceDN/>
        <w:bidi w:val="0"/>
        <w:adjustRightInd/>
        <w:snapToGrid/>
        <w:spacing w:line="360" w:lineRule="auto"/>
        <w:ind w:left="239" w:leftChars="114" w:firstLine="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⑵ 智能温度控制与数据采集模块测试‌</w:t>
      </w:r>
      <w:r>
        <w:rPr>
          <w:rFonts w:hint="default" w:ascii="宋体" w:hAnsi="宋体" w:eastAsia="宋体" w:cs="宋体"/>
          <w:sz w:val="24"/>
          <w:szCs w:val="24"/>
          <w:lang w:val="en-US" w:eastAsia="zh-CN"/>
        </w:rPr>
        <w:br w:type="textWrapping"/>
      </w:r>
      <w:r>
        <w:rPr>
          <w:rFonts w:hint="default" w:ascii="宋体" w:hAnsi="宋体" w:eastAsia="宋体" w:cs="宋体"/>
          <w:sz w:val="24"/>
          <w:szCs w:val="24"/>
          <w:lang w:val="en-US" w:eastAsia="zh-CN"/>
        </w:rPr>
        <w:t>该模块测试旨在验证温度控制算法的有效性与数据采集的实时性、准确性。</w:t>
      </w:r>
    </w:p>
    <w:p w14:paraId="278C9483">
      <w:pPr>
        <w:pStyle w:val="6"/>
        <w:shd w:val="clear"/>
        <w:bidi w:val="0"/>
        <w:rPr>
          <w:rFonts w:hint="eastAsia"/>
          <w:lang w:val="en-US" w:eastAsia="zh-CN"/>
        </w:rPr>
      </w:pPr>
      <w:r>
        <w:rPr>
          <w:rFonts w:hint="eastAsia"/>
        </w:rPr>
        <w:t xml:space="preserve">表 </w:t>
      </w:r>
      <w:r>
        <w:rPr>
          <w:rFonts w:hint="eastAsia"/>
          <w:lang w:val="en-US" w:eastAsia="zh-CN"/>
        </w:rPr>
        <w:t>6-2</w:t>
      </w:r>
      <w:r>
        <w:rPr>
          <w:rFonts w:hint="eastAsia"/>
          <w:lang w:eastAsia="zh-CN"/>
        </w:rPr>
        <w:t xml:space="preserve"> 智能温度控制与数据采集模块测试‌</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870"/>
        <w:gridCol w:w="2880"/>
        <w:gridCol w:w="1920"/>
      </w:tblGrid>
      <w:tr w14:paraId="55246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560" w:type="dxa"/>
            <w:tcBorders>
              <w:top w:val="single" w:color="000000" w:sz="12" w:space="0"/>
              <w:left w:val="nil"/>
              <w:bottom w:val="single" w:color="000000" w:sz="4" w:space="0"/>
              <w:right w:val="nil"/>
              <w:tl2br w:val="nil"/>
            </w:tcBorders>
            <w:shd w:val="clear" w:color="auto" w:fill="FFFFFF"/>
            <w:vAlign w:val="center"/>
          </w:tcPr>
          <w:p w14:paraId="0827F5B0">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测试模块</w:t>
            </w:r>
          </w:p>
        </w:tc>
        <w:tc>
          <w:tcPr>
            <w:tcW w:w="2870" w:type="dxa"/>
            <w:tcBorders>
              <w:top w:val="single" w:color="000000" w:sz="12" w:space="0"/>
              <w:left w:val="nil"/>
              <w:bottom w:val="single" w:color="000000" w:sz="4" w:space="0"/>
              <w:right w:val="nil"/>
            </w:tcBorders>
            <w:shd w:val="clear" w:color="auto" w:fill="FFFFFF"/>
            <w:vAlign w:val="center"/>
          </w:tcPr>
          <w:p w14:paraId="01CBF875">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输入/操作</w:t>
            </w:r>
          </w:p>
        </w:tc>
        <w:tc>
          <w:tcPr>
            <w:tcW w:w="2880" w:type="dxa"/>
            <w:tcBorders>
              <w:top w:val="single" w:color="000000" w:sz="12" w:space="0"/>
              <w:left w:val="nil"/>
              <w:bottom w:val="single" w:color="000000" w:sz="4" w:space="0"/>
              <w:right w:val="nil"/>
            </w:tcBorders>
            <w:shd w:val="clear" w:color="auto" w:fill="FFFFFF"/>
            <w:vAlign w:val="center"/>
          </w:tcPr>
          <w:p w14:paraId="61E247F6">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期望结果</w:t>
            </w:r>
          </w:p>
        </w:tc>
        <w:tc>
          <w:tcPr>
            <w:tcW w:w="1920" w:type="dxa"/>
            <w:tcBorders>
              <w:top w:val="single" w:color="000000" w:sz="12" w:space="0"/>
              <w:left w:val="nil"/>
              <w:bottom w:val="single" w:color="000000" w:sz="4" w:space="0"/>
              <w:right w:val="nil"/>
            </w:tcBorders>
            <w:shd w:val="clear" w:color="auto" w:fill="FFFFFF"/>
            <w:vAlign w:val="center"/>
          </w:tcPr>
          <w:p w14:paraId="609F7DE0">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实际结果</w:t>
            </w:r>
          </w:p>
        </w:tc>
      </w:tr>
      <w:tr w14:paraId="1420A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60" w:type="dxa"/>
            <w:tcBorders>
              <w:top w:val="single" w:color="000000" w:sz="4" w:space="0"/>
              <w:left w:val="nil"/>
              <w:bottom w:val="nil"/>
              <w:right w:val="nil"/>
            </w:tcBorders>
            <w:shd w:val="clear" w:color="auto" w:fill="FFFFFF"/>
            <w:vAlign w:val="center"/>
          </w:tcPr>
          <w:p w14:paraId="76F437C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温度控制算法</w:t>
            </w:r>
          </w:p>
        </w:tc>
        <w:tc>
          <w:tcPr>
            <w:tcW w:w="2870" w:type="dxa"/>
            <w:tcBorders>
              <w:top w:val="single" w:color="000000" w:sz="4" w:space="0"/>
              <w:left w:val="nil"/>
              <w:bottom w:val="nil"/>
              <w:right w:val="nil"/>
            </w:tcBorders>
            <w:shd w:val="clear" w:color="auto" w:fill="FFFFFF"/>
            <w:vAlign w:val="center"/>
          </w:tcPr>
          <w:p w14:paraId="1159C1DA">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启动试验，观察从室温至700°C的升温过程。</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观察温度超过700°C后的控温过程。</w:t>
            </w:r>
          </w:p>
        </w:tc>
        <w:tc>
          <w:tcPr>
            <w:tcW w:w="2880" w:type="dxa"/>
            <w:tcBorders>
              <w:top w:val="single" w:color="000000" w:sz="4" w:space="0"/>
              <w:left w:val="nil"/>
              <w:bottom w:val="nil"/>
              <w:right w:val="nil"/>
            </w:tcBorders>
            <w:shd w:val="clear" w:color="auto" w:fill="FFFFFF"/>
            <w:vAlign w:val="center"/>
          </w:tcPr>
          <w:p w14:paraId="5F845847">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升温过程平稳，无明显过冲，符合多阶段功率控制逻辑。超过700°C后，温度稳定在750°C±5°C范围内，波动小。</w:t>
            </w:r>
          </w:p>
        </w:tc>
        <w:tc>
          <w:tcPr>
            <w:tcW w:w="1920" w:type="dxa"/>
            <w:tcBorders>
              <w:top w:val="single" w:color="000000" w:sz="4" w:space="0"/>
              <w:left w:val="nil"/>
              <w:bottom w:val="nil"/>
              <w:right w:val="nil"/>
            </w:tcBorders>
            <w:shd w:val="clear" w:color="auto" w:fill="FFFFFF"/>
            <w:vAlign w:val="center"/>
          </w:tcPr>
          <w:p w14:paraId="28E3A7FC">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与期望一致，升温曲线平滑，恒温阶段温度波动在±3°C内。</w:t>
            </w:r>
          </w:p>
        </w:tc>
      </w:tr>
      <w:tr w14:paraId="29CA3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0" w:hRule="atLeast"/>
        </w:trPr>
        <w:tc>
          <w:tcPr>
            <w:tcW w:w="1560" w:type="dxa"/>
            <w:tcBorders>
              <w:top w:val="nil"/>
              <w:left w:val="nil"/>
              <w:bottom w:val="nil"/>
              <w:right w:val="nil"/>
            </w:tcBorders>
            <w:shd w:val="clear" w:color="auto" w:fill="FFFFFF"/>
            <w:vAlign w:val="center"/>
          </w:tcPr>
          <w:p w14:paraId="0D27858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数据采集与稳定性判定</w:t>
            </w:r>
          </w:p>
        </w:tc>
        <w:tc>
          <w:tcPr>
            <w:tcW w:w="2870" w:type="dxa"/>
            <w:tcBorders>
              <w:top w:val="nil"/>
              <w:left w:val="nil"/>
              <w:bottom w:val="nil"/>
              <w:right w:val="nil"/>
            </w:tcBorders>
            <w:shd w:val="clear" w:color="auto" w:fill="FFFFFF"/>
            <w:vAlign w:val="center"/>
          </w:tcPr>
          <w:p w14:paraId="470E18B2">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在恒温阶段，向系统输入一组模拟温度数据，使其在10分钟内满足：温度在745-755°C内、线性漂移≤2°C、最高与平均温差≤1°C。</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观察系统判定结果。</w:t>
            </w:r>
          </w:p>
        </w:tc>
        <w:tc>
          <w:tcPr>
            <w:tcW w:w="2880" w:type="dxa"/>
            <w:tcBorders>
              <w:top w:val="nil"/>
              <w:left w:val="nil"/>
              <w:bottom w:val="nil"/>
              <w:right w:val="nil"/>
            </w:tcBorders>
            <w:shd w:val="clear" w:color="auto" w:fill="FFFFFF"/>
            <w:vAlign w:val="center"/>
          </w:tcPr>
          <w:p w14:paraId="373F4935">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系统应在连续600秒满足条件后，输出“温度已稳定”信号，并允许进入下一状态。</w:t>
            </w:r>
          </w:p>
        </w:tc>
        <w:tc>
          <w:tcPr>
            <w:tcW w:w="1920" w:type="dxa"/>
            <w:tcBorders>
              <w:top w:val="nil"/>
              <w:left w:val="nil"/>
              <w:bottom w:val="nil"/>
              <w:right w:val="nil"/>
            </w:tcBorders>
            <w:shd w:val="clear" w:color="auto" w:fill="FFFFFF"/>
            <w:vAlign w:val="center"/>
          </w:tcPr>
          <w:p w14:paraId="303164BE">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与期望一致，算法判定准确，触发时机正确。</w:t>
            </w:r>
          </w:p>
        </w:tc>
      </w:tr>
      <w:tr w14:paraId="2DB1A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0" w:hRule="atLeast"/>
        </w:trPr>
        <w:tc>
          <w:tcPr>
            <w:tcW w:w="1560" w:type="dxa"/>
            <w:tcBorders>
              <w:top w:val="nil"/>
              <w:left w:val="nil"/>
              <w:bottom w:val="single" w:color="000000" w:sz="12" w:space="0"/>
              <w:right w:val="nil"/>
            </w:tcBorders>
            <w:shd w:val="clear" w:color="auto" w:fill="FFFFFF"/>
            <w:vAlign w:val="center"/>
          </w:tcPr>
          <w:p w14:paraId="054289D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‌实时数据采集</w:t>
            </w:r>
          </w:p>
        </w:tc>
        <w:tc>
          <w:tcPr>
            <w:tcW w:w="2870" w:type="dxa"/>
            <w:tcBorders>
              <w:top w:val="nil"/>
              <w:left w:val="nil"/>
              <w:bottom w:val="single" w:color="000000" w:sz="12" w:space="0"/>
              <w:right w:val="nil"/>
            </w:tcBorders>
            <w:shd w:val="clear" w:color="auto" w:fill="FFFFFF"/>
            <w:vAlign w:val="center"/>
          </w:tcPr>
          <w:p w14:paraId="0ECB3D38">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连接真实Adam 4018+采集模块与热电偶。</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运行系统，观察主界面曲线与数据。</w:t>
            </w:r>
          </w:p>
        </w:tc>
        <w:tc>
          <w:tcPr>
            <w:tcW w:w="2880" w:type="dxa"/>
            <w:tcBorders>
              <w:top w:val="nil"/>
              <w:left w:val="nil"/>
              <w:bottom w:val="single" w:color="000000" w:sz="12" w:space="0"/>
              <w:right w:val="nil"/>
            </w:tcBorders>
            <w:shd w:val="clear" w:color="auto" w:fill="FFFFFF"/>
            <w:vAlign w:val="center"/>
          </w:tcPr>
          <w:p w14:paraId="2BCC5B19">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主界面温度曲线以约800ms间隔实时刷新，数据显示准确，与独立测温仪器读数偏差在允许范围内（±1°C）。</w:t>
            </w:r>
          </w:p>
        </w:tc>
        <w:tc>
          <w:tcPr>
            <w:tcW w:w="1920" w:type="dxa"/>
            <w:tcBorders>
              <w:top w:val="nil"/>
              <w:left w:val="nil"/>
              <w:bottom w:val="single" w:color="000000" w:sz="12" w:space="0"/>
              <w:right w:val="nil"/>
            </w:tcBorders>
            <w:shd w:val="clear" w:color="auto" w:fill="FFFFFF"/>
            <w:vAlign w:val="center"/>
          </w:tcPr>
          <w:p w14:paraId="0D9764E3">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与期望一致，数据刷新流畅，采集精度符合要求。</w:t>
            </w:r>
          </w:p>
        </w:tc>
      </w:tr>
    </w:tbl>
    <w:p w14:paraId="48F099F1">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000000"/>
          <w:spacing w:val="0"/>
          <w:sz w:val="24"/>
          <w:szCs w:val="24"/>
          <w:shd w:val="clear" w:fill="FFFFFF"/>
        </w:rPr>
      </w:pPr>
      <w:r>
        <w:rPr>
          <w:rFonts w:hint="eastAsia" w:ascii="宋体" w:hAnsi="宋体" w:eastAsia="宋体" w:cs="宋体"/>
          <w:i w:val="0"/>
          <w:iCs w:val="0"/>
          <w:caps w:val="0"/>
          <w:color w:val="000000"/>
          <w:spacing w:val="0"/>
          <w:sz w:val="24"/>
          <w:szCs w:val="24"/>
          <w:shd w:val="clear" w:fill="FFFFFF"/>
        </w:rPr>
        <w:t>‌⑶ 报告自动生成模块测试‌</w:t>
      </w:r>
    </w:p>
    <w:p w14:paraId="75A24835">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rPr>
      </w:pPr>
      <w:r>
        <w:rPr>
          <w:rFonts w:hint="eastAsia" w:ascii="宋体" w:hAnsi="宋体" w:eastAsia="宋体" w:cs="宋体"/>
          <w:i w:val="0"/>
          <w:iCs w:val="0"/>
          <w:caps w:val="0"/>
          <w:color w:val="000000"/>
          <w:spacing w:val="0"/>
          <w:sz w:val="24"/>
          <w:szCs w:val="24"/>
          <w:shd w:val="clear" w:fill="FFFFFF"/>
        </w:rPr>
        <w:t>该模块测试旨在验证报告生成的自动化程度与格式规范性。</w:t>
      </w:r>
    </w:p>
    <w:p w14:paraId="37D5180F">
      <w:pPr>
        <w:pStyle w:val="6"/>
        <w:shd w:val="clear"/>
        <w:bidi w:val="0"/>
        <w:rPr>
          <w:rFonts w:hint="eastAsia"/>
        </w:rPr>
      </w:pPr>
    </w:p>
    <w:p w14:paraId="217940D9">
      <w:pPr>
        <w:pStyle w:val="6"/>
        <w:shd w:val="clear"/>
        <w:bidi w:val="0"/>
        <w:rPr>
          <w:rFonts w:hint="eastAsia"/>
          <w:lang w:eastAsia="zh-CN"/>
        </w:rPr>
      </w:pPr>
      <w:r>
        <w:rPr>
          <w:rFonts w:hint="eastAsia"/>
        </w:rPr>
        <w:t>表</w:t>
      </w:r>
      <w:r>
        <w:rPr>
          <w:rFonts w:hint="eastAsia"/>
          <w:lang w:val="en-US" w:eastAsia="zh-CN"/>
        </w:rPr>
        <w:t>6-3</w:t>
      </w:r>
      <w:r>
        <w:rPr>
          <w:rFonts w:hint="eastAsia"/>
          <w:lang w:eastAsia="zh-CN"/>
        </w:rPr>
        <w:t>报告自动生成模块测试</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870"/>
        <w:gridCol w:w="2880"/>
        <w:gridCol w:w="1920"/>
      </w:tblGrid>
      <w:tr w14:paraId="4D208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560" w:type="dxa"/>
            <w:tcBorders>
              <w:top w:val="single" w:color="000000" w:sz="12" w:space="0"/>
              <w:left w:val="nil"/>
              <w:bottom w:val="single" w:color="000000" w:sz="4" w:space="0"/>
              <w:right w:val="nil"/>
              <w:tl2br w:val="nil"/>
            </w:tcBorders>
            <w:shd w:val="clear" w:color="auto" w:fill="FFFFFF"/>
            <w:vAlign w:val="center"/>
          </w:tcPr>
          <w:p w14:paraId="0BF8AEB3">
            <w:pPr>
              <w:keepNext w:val="0"/>
              <w:keepLines w:val="0"/>
              <w:widowControl/>
              <w:suppressLineNumbers w:val="0"/>
              <w:shd w:val="clear"/>
              <w:jc w:val="center"/>
              <w:textAlignment w:val="center"/>
              <w:rPr>
                <w:rFonts w:hint="eastAsia" w:ascii="黑体" w:hAnsi="黑体" w:eastAsia="黑体" w:cs="黑体"/>
                <w:b w:val="0"/>
                <w:bCs/>
                <w:i w:val="0"/>
                <w:iCs w:val="0"/>
                <w:color w:val="000000"/>
                <w:sz w:val="20"/>
                <w:szCs w:val="20"/>
                <w:u w:val="none"/>
              </w:rPr>
            </w:pPr>
            <w:r>
              <w:rPr>
                <w:rFonts w:hint="eastAsia" w:ascii="黑体" w:hAnsi="黑体" w:eastAsia="黑体" w:cs="黑体"/>
                <w:b w:val="0"/>
                <w:bCs/>
                <w:i w:val="0"/>
                <w:iCs w:val="0"/>
                <w:color w:val="000000"/>
                <w:kern w:val="0"/>
                <w:sz w:val="20"/>
                <w:szCs w:val="20"/>
                <w:u w:val="none"/>
                <w:lang w:val="en-US" w:eastAsia="zh-CN" w:bidi="ar"/>
              </w:rPr>
              <w:t>测试模块</w:t>
            </w:r>
          </w:p>
        </w:tc>
        <w:tc>
          <w:tcPr>
            <w:tcW w:w="2870" w:type="dxa"/>
            <w:tcBorders>
              <w:top w:val="single" w:color="000000" w:sz="12" w:space="0"/>
              <w:left w:val="nil"/>
              <w:bottom w:val="single" w:color="000000" w:sz="4" w:space="0"/>
              <w:right w:val="nil"/>
            </w:tcBorders>
            <w:shd w:val="clear" w:color="auto" w:fill="FFFFFF"/>
            <w:vAlign w:val="center"/>
          </w:tcPr>
          <w:p w14:paraId="010F5894">
            <w:pPr>
              <w:keepNext w:val="0"/>
              <w:keepLines w:val="0"/>
              <w:widowControl/>
              <w:suppressLineNumbers w:val="0"/>
              <w:shd w:val="clear"/>
              <w:jc w:val="center"/>
              <w:textAlignment w:val="center"/>
              <w:rPr>
                <w:rFonts w:hint="eastAsia" w:ascii="黑体" w:hAnsi="黑体" w:eastAsia="黑体" w:cs="黑体"/>
                <w:b w:val="0"/>
                <w:bCs/>
                <w:i w:val="0"/>
                <w:iCs w:val="0"/>
                <w:color w:val="000000"/>
                <w:sz w:val="20"/>
                <w:szCs w:val="20"/>
                <w:u w:val="none"/>
              </w:rPr>
            </w:pPr>
            <w:r>
              <w:rPr>
                <w:rFonts w:hint="eastAsia" w:ascii="黑体" w:hAnsi="黑体" w:eastAsia="黑体" w:cs="黑体"/>
                <w:b w:val="0"/>
                <w:bCs/>
                <w:i w:val="0"/>
                <w:iCs w:val="0"/>
                <w:color w:val="000000"/>
                <w:kern w:val="0"/>
                <w:sz w:val="20"/>
                <w:szCs w:val="20"/>
                <w:u w:val="none"/>
                <w:lang w:val="en-US" w:eastAsia="zh-CN" w:bidi="ar"/>
              </w:rPr>
              <w:t>输入/操作</w:t>
            </w:r>
          </w:p>
        </w:tc>
        <w:tc>
          <w:tcPr>
            <w:tcW w:w="2880" w:type="dxa"/>
            <w:tcBorders>
              <w:top w:val="single" w:color="000000" w:sz="12" w:space="0"/>
              <w:left w:val="nil"/>
              <w:bottom w:val="single" w:color="000000" w:sz="4" w:space="0"/>
              <w:right w:val="nil"/>
            </w:tcBorders>
            <w:shd w:val="clear" w:color="auto" w:fill="FFFFFF"/>
            <w:vAlign w:val="center"/>
          </w:tcPr>
          <w:p w14:paraId="7E83512C">
            <w:pPr>
              <w:keepNext w:val="0"/>
              <w:keepLines w:val="0"/>
              <w:widowControl/>
              <w:suppressLineNumbers w:val="0"/>
              <w:shd w:val="clear"/>
              <w:jc w:val="center"/>
              <w:textAlignment w:val="center"/>
              <w:rPr>
                <w:rFonts w:hint="eastAsia" w:ascii="黑体" w:hAnsi="黑体" w:eastAsia="黑体" w:cs="黑体"/>
                <w:b w:val="0"/>
                <w:bCs/>
                <w:i w:val="0"/>
                <w:iCs w:val="0"/>
                <w:color w:val="000000"/>
                <w:sz w:val="20"/>
                <w:szCs w:val="20"/>
                <w:u w:val="none"/>
              </w:rPr>
            </w:pPr>
            <w:r>
              <w:rPr>
                <w:rFonts w:hint="eastAsia" w:ascii="黑体" w:hAnsi="黑体" w:eastAsia="黑体" w:cs="黑体"/>
                <w:b w:val="0"/>
                <w:bCs/>
                <w:i w:val="0"/>
                <w:iCs w:val="0"/>
                <w:color w:val="000000"/>
                <w:kern w:val="0"/>
                <w:sz w:val="20"/>
                <w:szCs w:val="20"/>
                <w:u w:val="none"/>
                <w:lang w:val="en-US" w:eastAsia="zh-CN" w:bidi="ar"/>
              </w:rPr>
              <w:t>期望结果</w:t>
            </w:r>
          </w:p>
        </w:tc>
        <w:tc>
          <w:tcPr>
            <w:tcW w:w="1920" w:type="dxa"/>
            <w:tcBorders>
              <w:top w:val="single" w:color="000000" w:sz="12" w:space="0"/>
              <w:left w:val="nil"/>
              <w:bottom w:val="single" w:color="000000" w:sz="4" w:space="0"/>
              <w:right w:val="nil"/>
            </w:tcBorders>
            <w:shd w:val="clear" w:color="auto" w:fill="FFFFFF"/>
            <w:vAlign w:val="center"/>
          </w:tcPr>
          <w:p w14:paraId="682028F4">
            <w:pPr>
              <w:keepNext w:val="0"/>
              <w:keepLines w:val="0"/>
              <w:widowControl/>
              <w:suppressLineNumbers w:val="0"/>
              <w:shd w:val="clear"/>
              <w:jc w:val="center"/>
              <w:textAlignment w:val="center"/>
              <w:rPr>
                <w:rFonts w:hint="eastAsia" w:ascii="黑体" w:hAnsi="黑体" w:eastAsia="黑体" w:cs="黑体"/>
                <w:b w:val="0"/>
                <w:bCs/>
                <w:i w:val="0"/>
                <w:iCs w:val="0"/>
                <w:color w:val="000000"/>
                <w:sz w:val="20"/>
                <w:szCs w:val="20"/>
                <w:u w:val="none"/>
              </w:rPr>
            </w:pPr>
            <w:r>
              <w:rPr>
                <w:rFonts w:hint="eastAsia" w:ascii="黑体" w:hAnsi="黑体" w:eastAsia="黑体" w:cs="黑体"/>
                <w:b w:val="0"/>
                <w:bCs/>
                <w:i w:val="0"/>
                <w:iCs w:val="0"/>
                <w:color w:val="000000"/>
                <w:kern w:val="0"/>
                <w:sz w:val="20"/>
                <w:szCs w:val="20"/>
                <w:u w:val="none"/>
                <w:lang w:val="en-US" w:eastAsia="zh-CN" w:bidi="ar"/>
              </w:rPr>
              <w:t>实际结果</w:t>
            </w:r>
          </w:p>
        </w:tc>
      </w:tr>
      <w:tr w14:paraId="1B09A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0" w:hRule="atLeast"/>
        </w:trPr>
        <w:tc>
          <w:tcPr>
            <w:tcW w:w="1560" w:type="dxa"/>
            <w:tcBorders>
              <w:top w:val="single" w:color="000000" w:sz="4" w:space="0"/>
              <w:left w:val="nil"/>
              <w:bottom w:val="single" w:color="000000" w:sz="12" w:space="0"/>
              <w:right w:val="nil"/>
            </w:tcBorders>
            <w:shd w:val="clear" w:color="auto" w:fill="FFFFFF"/>
            <w:vAlign w:val="center"/>
          </w:tcPr>
          <w:p w14:paraId="6EEFF933">
            <w:pPr>
              <w:keepNext w:val="0"/>
              <w:keepLines w:val="0"/>
              <w:widowControl/>
              <w:suppressLineNumbers w:val="0"/>
              <w:shd w:val="clear"/>
              <w:jc w:val="center"/>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‌报告生成‌</w:t>
            </w:r>
          </w:p>
        </w:tc>
        <w:tc>
          <w:tcPr>
            <w:tcW w:w="2870" w:type="dxa"/>
            <w:tcBorders>
              <w:top w:val="single" w:color="000000" w:sz="4" w:space="0"/>
              <w:left w:val="nil"/>
              <w:bottom w:val="single" w:color="000000" w:sz="12" w:space="0"/>
              <w:right w:val="nil"/>
            </w:tcBorders>
            <w:shd w:val="clear" w:color="auto" w:fill="FFFFFF"/>
            <w:vAlign w:val="center"/>
          </w:tcPr>
          <w:p w14:paraId="08C6D6B6">
            <w:pPr>
              <w:keepNext w:val="0"/>
              <w:keepLines w:val="0"/>
              <w:widowControl/>
              <w:suppressLineNumbers w:val="0"/>
              <w:shd w:val="clear"/>
              <w:jc w:val="left"/>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1. 完成一次试验后，点击“生成报告”按钮。</w:t>
            </w:r>
            <w:r>
              <w:rPr>
                <w:rFonts w:hint="eastAsia" w:ascii="宋体" w:hAnsi="宋体" w:eastAsia="宋体" w:cs="宋体"/>
                <w:b w:val="0"/>
                <w:i w:val="0"/>
                <w:iCs w:val="0"/>
                <w:color w:val="000000"/>
                <w:kern w:val="0"/>
                <w:sz w:val="20"/>
                <w:szCs w:val="20"/>
                <w:u w:val="none"/>
                <w:lang w:val="en-US" w:eastAsia="zh-CN" w:bidi="ar"/>
              </w:rPr>
              <w:br w:type="textWrapping"/>
            </w:r>
            <w:r>
              <w:rPr>
                <w:rFonts w:hint="eastAsia" w:ascii="宋体" w:hAnsi="宋体" w:eastAsia="宋体" w:cs="宋体"/>
                <w:b w:val="0"/>
                <w:i w:val="0"/>
                <w:iCs w:val="0"/>
                <w:color w:val="000000"/>
                <w:kern w:val="0"/>
                <w:sz w:val="20"/>
                <w:szCs w:val="20"/>
                <w:u w:val="none"/>
                <w:lang w:val="en-US" w:eastAsia="zh-CN" w:bidi="ar"/>
              </w:rPr>
              <w:t>2. 打开生成的Excel报告文件。</w:t>
            </w:r>
          </w:p>
        </w:tc>
        <w:tc>
          <w:tcPr>
            <w:tcW w:w="2880" w:type="dxa"/>
            <w:tcBorders>
              <w:top w:val="single" w:color="000000" w:sz="4" w:space="0"/>
              <w:left w:val="nil"/>
              <w:bottom w:val="single" w:color="000000" w:sz="12" w:space="0"/>
              <w:right w:val="nil"/>
            </w:tcBorders>
            <w:shd w:val="clear" w:color="auto" w:fill="FFFFFF"/>
            <w:vAlign w:val="center"/>
          </w:tcPr>
          <w:p w14:paraId="6B7969E7">
            <w:pPr>
              <w:keepNext w:val="0"/>
              <w:keepLines w:val="0"/>
              <w:widowControl/>
              <w:suppressLineNumbers w:val="0"/>
              <w:shd w:val="clear"/>
              <w:jc w:val="left"/>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系统自动弹出文件保存对话框，保存后生成一份Excel报告。报告内容完整包含试验信息、试样数据、温度-时间曲线及计算结果，格式符合ISO 11820模板要求。</w:t>
            </w:r>
          </w:p>
        </w:tc>
        <w:tc>
          <w:tcPr>
            <w:tcW w:w="1920" w:type="dxa"/>
            <w:tcBorders>
              <w:top w:val="single" w:color="000000" w:sz="4" w:space="0"/>
              <w:left w:val="nil"/>
              <w:bottom w:val="single" w:color="000000" w:sz="12" w:space="0"/>
              <w:right w:val="nil"/>
            </w:tcBorders>
            <w:shd w:val="clear" w:color="auto" w:fill="FFFFFF"/>
            <w:vAlign w:val="center"/>
          </w:tcPr>
          <w:p w14:paraId="5F510A8F">
            <w:pPr>
              <w:keepNext w:val="0"/>
              <w:keepLines w:val="0"/>
              <w:widowControl/>
              <w:suppressLineNumbers w:val="0"/>
              <w:shd w:val="clear"/>
              <w:jc w:val="left"/>
              <w:textAlignment w:val="center"/>
              <w:rPr>
                <w:rFonts w:hint="eastAsia" w:ascii="宋体" w:hAnsi="宋体" w:eastAsia="宋体" w:cs="宋体"/>
                <w:b w:val="0"/>
                <w:i w:val="0"/>
                <w:iCs w:val="0"/>
                <w:color w:val="000000"/>
                <w:sz w:val="20"/>
                <w:szCs w:val="20"/>
                <w:u w:val="none"/>
              </w:rPr>
            </w:pPr>
            <w:r>
              <w:rPr>
                <w:rFonts w:hint="eastAsia" w:ascii="宋体" w:hAnsi="宋体" w:eastAsia="宋体" w:cs="宋体"/>
                <w:b w:val="0"/>
                <w:i w:val="0"/>
                <w:iCs w:val="0"/>
                <w:color w:val="000000"/>
                <w:kern w:val="0"/>
                <w:sz w:val="20"/>
                <w:szCs w:val="20"/>
                <w:u w:val="none"/>
                <w:lang w:val="en-US" w:eastAsia="zh-CN" w:bidi="ar"/>
              </w:rPr>
              <w:t>与期望一致，报告内容准确无误，图表嵌入正确，格式规范。</w:t>
            </w:r>
          </w:p>
        </w:tc>
      </w:tr>
    </w:tbl>
    <w:p w14:paraId="4AB57C6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i w:val="0"/>
          <w:iCs w:val="0"/>
          <w:caps w:val="0"/>
          <w:color w:val="000000"/>
          <w:spacing w:val="0"/>
          <w:sz w:val="24"/>
          <w:szCs w:val="24"/>
          <w:shd w:val="clear" w:fill="FFFFFF"/>
        </w:rPr>
      </w:pPr>
      <w:r>
        <w:rPr>
          <w:rFonts w:hint="eastAsia" w:ascii="宋体" w:hAnsi="宋体" w:eastAsia="宋体" w:cs="宋体"/>
          <w:i w:val="0"/>
          <w:iCs w:val="0"/>
          <w:caps w:val="0"/>
          <w:color w:val="000000"/>
          <w:spacing w:val="0"/>
          <w:sz w:val="24"/>
          <w:szCs w:val="24"/>
          <w:shd w:val="clear" w:fill="FFFFFF"/>
        </w:rPr>
        <w:t>‌</w:t>
      </w:r>
      <w:r>
        <w:rPr>
          <w:rFonts w:hint="default" w:ascii="宋体" w:hAnsi="宋体" w:eastAsia="宋体" w:cs="宋体"/>
          <w:i w:val="0"/>
          <w:iCs w:val="0"/>
          <w:caps w:val="0"/>
          <w:color w:val="000000"/>
          <w:spacing w:val="0"/>
          <w:sz w:val="24"/>
          <w:szCs w:val="24"/>
          <w:shd w:val="clear" w:fill="FFFFFF"/>
        </w:rPr>
        <w:t>⑷ 用户交互与数据管理模块测试‌</w:t>
      </w:r>
      <w:r>
        <w:rPr>
          <w:rFonts w:hint="default" w:ascii="宋体" w:hAnsi="宋体" w:eastAsia="宋体" w:cs="宋体"/>
          <w:i w:val="0"/>
          <w:iCs w:val="0"/>
          <w:caps w:val="0"/>
          <w:color w:val="000000"/>
          <w:spacing w:val="0"/>
          <w:sz w:val="24"/>
          <w:szCs w:val="24"/>
          <w:shd w:val="clear" w:fill="FFFFFF"/>
        </w:rPr>
        <w:br w:type="textWrapping"/>
      </w:r>
      <w:r>
        <w:rPr>
          <w:rFonts w:hint="eastAsia" w:ascii="宋体" w:hAnsi="宋体" w:eastAsia="宋体" w:cs="宋体"/>
          <w:i w:val="0"/>
          <w:iCs w:val="0"/>
          <w:caps w:val="0"/>
          <w:color w:val="000000"/>
          <w:spacing w:val="0"/>
          <w:sz w:val="24"/>
          <w:szCs w:val="24"/>
          <w:shd w:val="clear" w:fill="FFFFFF"/>
          <w:lang w:val="en-US" w:eastAsia="zh-CN"/>
        </w:rPr>
        <w:tab/>
      </w:r>
      <w:r>
        <w:rPr>
          <w:rFonts w:hint="default" w:ascii="宋体" w:hAnsi="宋体" w:eastAsia="宋体" w:cs="宋体"/>
          <w:i w:val="0"/>
          <w:iCs w:val="0"/>
          <w:caps w:val="0"/>
          <w:color w:val="000000"/>
          <w:spacing w:val="0"/>
          <w:sz w:val="24"/>
          <w:szCs w:val="24"/>
          <w:shd w:val="clear" w:fill="FFFFFF"/>
        </w:rPr>
        <w:t>该模块测试旨在验证客户端界面的易用性及数据管理功能的可靠性。</w:t>
      </w:r>
    </w:p>
    <w:p w14:paraId="1C3B079F">
      <w:pPr>
        <w:pStyle w:val="6"/>
        <w:shd w:val="clear"/>
        <w:bidi w:val="0"/>
        <w:rPr>
          <w:rFonts w:hint="eastAsia"/>
          <w:lang w:eastAsia="zh-CN"/>
        </w:rPr>
      </w:pPr>
      <w:r>
        <w:rPr>
          <w:rFonts w:hint="eastAsia"/>
        </w:rPr>
        <w:t xml:space="preserve">表 </w:t>
      </w:r>
      <w:r>
        <w:rPr>
          <w:rFonts w:hint="eastAsia"/>
          <w:lang w:val="en-US" w:eastAsia="zh-CN"/>
        </w:rPr>
        <w:t>6-4</w:t>
      </w:r>
      <w:r>
        <w:rPr>
          <w:rFonts w:hint="eastAsia"/>
          <w:lang w:eastAsia="zh-CN"/>
        </w:rPr>
        <w:t xml:space="preserve"> 用户交互与数据管理模块测试</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870"/>
        <w:gridCol w:w="2880"/>
        <w:gridCol w:w="1920"/>
      </w:tblGrid>
      <w:tr w14:paraId="1C9EF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560" w:type="dxa"/>
            <w:tcBorders>
              <w:top w:val="single" w:color="000000" w:sz="12" w:space="0"/>
              <w:left w:val="nil"/>
              <w:bottom w:val="single" w:color="000000" w:sz="4" w:space="0"/>
              <w:right w:val="nil"/>
              <w:tl2br w:val="nil"/>
            </w:tcBorders>
            <w:shd w:val="clear" w:color="auto" w:fill="FFFFFF"/>
            <w:vAlign w:val="center"/>
          </w:tcPr>
          <w:p w14:paraId="6BD52B9A">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测试模块</w:t>
            </w:r>
          </w:p>
        </w:tc>
        <w:tc>
          <w:tcPr>
            <w:tcW w:w="2870" w:type="dxa"/>
            <w:tcBorders>
              <w:top w:val="single" w:color="000000" w:sz="12" w:space="0"/>
              <w:left w:val="nil"/>
              <w:bottom w:val="single" w:color="000000" w:sz="4" w:space="0"/>
              <w:right w:val="nil"/>
            </w:tcBorders>
            <w:shd w:val="clear" w:color="auto" w:fill="FFFFFF"/>
            <w:vAlign w:val="center"/>
          </w:tcPr>
          <w:p w14:paraId="1ECDA5F3">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输入/操作</w:t>
            </w:r>
          </w:p>
        </w:tc>
        <w:tc>
          <w:tcPr>
            <w:tcW w:w="2880" w:type="dxa"/>
            <w:tcBorders>
              <w:top w:val="single" w:color="000000" w:sz="12" w:space="0"/>
              <w:left w:val="nil"/>
              <w:bottom w:val="single" w:color="000000" w:sz="4" w:space="0"/>
              <w:right w:val="nil"/>
            </w:tcBorders>
            <w:shd w:val="clear" w:color="auto" w:fill="FFFFFF"/>
            <w:vAlign w:val="center"/>
          </w:tcPr>
          <w:p w14:paraId="16169EBC">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期望结果</w:t>
            </w:r>
          </w:p>
        </w:tc>
        <w:tc>
          <w:tcPr>
            <w:tcW w:w="1920" w:type="dxa"/>
            <w:tcBorders>
              <w:top w:val="single" w:color="000000" w:sz="12" w:space="0"/>
              <w:left w:val="nil"/>
              <w:bottom w:val="single" w:color="000000" w:sz="4" w:space="0"/>
              <w:right w:val="nil"/>
            </w:tcBorders>
            <w:shd w:val="clear" w:color="auto" w:fill="FFFFFF"/>
            <w:vAlign w:val="center"/>
          </w:tcPr>
          <w:p w14:paraId="098C970E">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实际结果</w:t>
            </w:r>
          </w:p>
        </w:tc>
      </w:tr>
      <w:tr w14:paraId="75ED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0" w:hRule="atLeast"/>
        </w:trPr>
        <w:tc>
          <w:tcPr>
            <w:tcW w:w="1560" w:type="dxa"/>
            <w:tcBorders>
              <w:top w:val="single" w:color="000000" w:sz="4" w:space="0"/>
              <w:left w:val="nil"/>
              <w:bottom w:val="nil"/>
              <w:right w:val="nil"/>
            </w:tcBorders>
            <w:shd w:val="clear" w:color="auto" w:fill="FFFFFF"/>
            <w:vAlign w:val="center"/>
          </w:tcPr>
          <w:p w14:paraId="1274056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‌用户权限管理‌</w:t>
            </w:r>
          </w:p>
        </w:tc>
        <w:tc>
          <w:tcPr>
            <w:tcW w:w="2870" w:type="dxa"/>
            <w:tcBorders>
              <w:top w:val="single" w:color="000000" w:sz="4" w:space="0"/>
              <w:left w:val="nil"/>
              <w:bottom w:val="nil"/>
              <w:right w:val="nil"/>
            </w:tcBorders>
            <w:shd w:val="clear" w:color="auto" w:fill="FFFFFF"/>
            <w:vAlign w:val="center"/>
          </w:tcPr>
          <w:p w14:paraId="13789B82">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使用“实验员”账号登录。</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尝试访问“用户管理”或“系统配置”界面。</w:t>
            </w:r>
          </w:p>
        </w:tc>
        <w:tc>
          <w:tcPr>
            <w:tcW w:w="2880" w:type="dxa"/>
            <w:tcBorders>
              <w:top w:val="single" w:color="000000" w:sz="4" w:space="0"/>
              <w:left w:val="nil"/>
              <w:bottom w:val="nil"/>
              <w:right w:val="nil"/>
            </w:tcBorders>
            <w:shd w:val="clear" w:color="auto" w:fill="FFFFFF"/>
            <w:vAlign w:val="center"/>
          </w:tcPr>
          <w:p w14:paraId="10B46587">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“实验员”仅能进行试验操作、查看历史数据，无法进入系统管理界面。</w:t>
            </w:r>
          </w:p>
        </w:tc>
        <w:tc>
          <w:tcPr>
            <w:tcW w:w="1920" w:type="dxa"/>
            <w:tcBorders>
              <w:top w:val="single" w:color="000000" w:sz="4" w:space="0"/>
              <w:left w:val="nil"/>
              <w:bottom w:val="nil"/>
              <w:right w:val="nil"/>
            </w:tcBorders>
            <w:shd w:val="clear" w:color="auto" w:fill="FFFFFF"/>
            <w:vAlign w:val="center"/>
          </w:tcPr>
          <w:p w14:paraId="3F36BFEF">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与期望一致，权限控制有效。</w:t>
            </w:r>
          </w:p>
        </w:tc>
      </w:tr>
      <w:tr w14:paraId="25470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35" w:hRule="atLeast"/>
        </w:trPr>
        <w:tc>
          <w:tcPr>
            <w:tcW w:w="1560" w:type="dxa"/>
            <w:tcBorders>
              <w:top w:val="nil"/>
              <w:left w:val="nil"/>
              <w:bottom w:val="single" w:color="000000" w:sz="12" w:space="0"/>
              <w:right w:val="nil"/>
            </w:tcBorders>
            <w:shd w:val="clear" w:color="auto" w:fill="FFFFFF"/>
            <w:vAlign w:val="center"/>
          </w:tcPr>
          <w:p w14:paraId="1A76206B">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‌历史数据查询</w:t>
            </w:r>
          </w:p>
        </w:tc>
        <w:tc>
          <w:tcPr>
            <w:tcW w:w="2870" w:type="dxa"/>
            <w:tcBorders>
              <w:top w:val="nil"/>
              <w:left w:val="nil"/>
              <w:bottom w:val="single" w:color="000000" w:sz="12" w:space="0"/>
              <w:right w:val="nil"/>
            </w:tcBorders>
            <w:shd w:val="clear" w:color="auto" w:fill="FFFFFF"/>
            <w:vAlign w:val="center"/>
          </w:tcPr>
          <w:p w14:paraId="193D567D">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 在数据管理界面，选择日期范围、产品型号等条件进行组合查询。</w:t>
            </w:r>
            <w:r>
              <w:rPr>
                <w:rFonts w:hint="eastAsia" w:ascii="宋体" w:hAnsi="宋体" w:eastAsia="宋体" w:cs="宋体"/>
                <w:b w:val="0"/>
                <w:i w:val="0"/>
                <w:iCs w:val="0"/>
                <w:color w:val="000000"/>
                <w:kern w:val="0"/>
                <w:sz w:val="21"/>
                <w:szCs w:val="21"/>
                <w:u w:val="none"/>
                <w:lang w:val="en-US" w:eastAsia="zh-CN" w:bidi="ar"/>
              </w:rPr>
              <w:br w:type="textWrapping"/>
            </w:r>
            <w:r>
              <w:rPr>
                <w:rFonts w:hint="eastAsia" w:ascii="宋体" w:hAnsi="宋体" w:eastAsia="宋体" w:cs="宋体"/>
                <w:b w:val="0"/>
                <w:i w:val="0"/>
                <w:iCs w:val="0"/>
                <w:color w:val="000000"/>
                <w:kern w:val="0"/>
                <w:sz w:val="21"/>
                <w:szCs w:val="21"/>
                <w:u w:val="none"/>
                <w:lang w:val="en-US" w:eastAsia="zh-CN" w:bidi="ar"/>
              </w:rPr>
              <w:t>2. 选中一条记录，点击“导出数据”。</w:t>
            </w:r>
          </w:p>
        </w:tc>
        <w:tc>
          <w:tcPr>
            <w:tcW w:w="2880" w:type="dxa"/>
            <w:tcBorders>
              <w:top w:val="nil"/>
              <w:left w:val="nil"/>
              <w:bottom w:val="single" w:color="000000" w:sz="12" w:space="0"/>
              <w:right w:val="nil"/>
            </w:tcBorders>
            <w:shd w:val="clear" w:color="auto" w:fill="FFFFFF"/>
            <w:vAlign w:val="center"/>
          </w:tcPr>
          <w:p w14:paraId="1F015405">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系统准确列出符合条件的所有试验记录。能够成功导出该次试验的原始CSV数据文件。</w:t>
            </w:r>
          </w:p>
        </w:tc>
        <w:tc>
          <w:tcPr>
            <w:tcW w:w="1920" w:type="dxa"/>
            <w:tcBorders>
              <w:top w:val="nil"/>
              <w:left w:val="nil"/>
              <w:bottom w:val="single" w:color="000000" w:sz="12" w:space="0"/>
              <w:right w:val="nil"/>
            </w:tcBorders>
            <w:shd w:val="clear" w:color="auto" w:fill="FFFFFF"/>
            <w:vAlign w:val="center"/>
          </w:tcPr>
          <w:p w14:paraId="6720EC20">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与期望一致，查询功能准确，数据导出完整。</w:t>
            </w:r>
          </w:p>
        </w:tc>
      </w:tr>
    </w:tbl>
    <w:p w14:paraId="55934A0A">
      <w:pPr>
        <w:pStyle w:val="3"/>
        <w:shd w:val="clear"/>
        <w:bidi w:val="0"/>
        <w:rPr>
          <w:rFonts w:hint="eastAsia" w:ascii="宋体" w:hAnsi="宋体" w:eastAsia="宋体" w:cs="宋体"/>
          <w:lang w:val="en-US" w:eastAsia="zh-CN"/>
        </w:rPr>
      </w:pPr>
      <w:bookmarkStart w:id="71" w:name="_Toc13774"/>
      <w:r>
        <w:rPr>
          <w:rFonts w:hint="eastAsia" w:ascii="宋体" w:hAnsi="宋体" w:eastAsia="宋体" w:cs="宋体"/>
          <w:lang w:val="en-US" w:eastAsia="zh-CN"/>
        </w:rPr>
        <w:t>6.3兼容性测试</w:t>
      </w:r>
      <w:bookmarkEnd w:id="71"/>
    </w:p>
    <w:p w14:paraId="5475B4D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本系统为基于.NET Framework/WinForms的桌面应用程序，其兼容性测试主要针对不同的Windows操作系统版本进行。测试旨在确保软件在主流Windows环境下的安装、运行及核心功能均正常。测试结果如下表所示：</w:t>
      </w:r>
    </w:p>
    <w:p w14:paraId="7FB83575">
      <w:pPr>
        <w:pStyle w:val="6"/>
        <w:shd w:val="clear"/>
        <w:bidi w:val="0"/>
        <w:rPr>
          <w:rFonts w:hint="eastAsia"/>
          <w:lang w:eastAsia="zh-CN"/>
        </w:rPr>
      </w:pPr>
      <w:r>
        <w:rPr>
          <w:rFonts w:hint="eastAsia"/>
        </w:rPr>
        <w:t>表</w:t>
      </w:r>
      <w:r>
        <w:rPr>
          <w:rFonts w:hint="eastAsia"/>
          <w:lang w:val="en-US" w:eastAsia="zh-CN"/>
        </w:rPr>
        <w:t>6-5</w:t>
      </w:r>
      <w:r>
        <w:rPr>
          <w:rFonts w:hint="eastAsia"/>
          <w:lang w:eastAsia="zh-CN"/>
        </w:rPr>
        <w:t>兼容性测试</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870"/>
        <w:gridCol w:w="2880"/>
        <w:gridCol w:w="1920"/>
      </w:tblGrid>
      <w:tr w14:paraId="43E95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560" w:type="dxa"/>
            <w:tcBorders>
              <w:top w:val="single" w:color="000000" w:sz="12" w:space="0"/>
              <w:left w:val="nil"/>
              <w:bottom w:val="single" w:color="000000" w:sz="4" w:space="0"/>
              <w:right w:val="nil"/>
              <w:tl2br w:val="nil"/>
            </w:tcBorders>
            <w:shd w:val="clear" w:color="auto" w:fill="FFFFFF"/>
            <w:vAlign w:val="center"/>
          </w:tcPr>
          <w:p w14:paraId="0D9E9225">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操作系统</w:t>
            </w:r>
          </w:p>
        </w:tc>
        <w:tc>
          <w:tcPr>
            <w:tcW w:w="2870" w:type="dxa"/>
            <w:tcBorders>
              <w:top w:val="single" w:color="000000" w:sz="12" w:space="0"/>
              <w:left w:val="nil"/>
              <w:bottom w:val="single" w:color="000000" w:sz="4" w:space="0"/>
              <w:right w:val="nil"/>
            </w:tcBorders>
            <w:shd w:val="clear" w:color="auto" w:fill="FFFFFF"/>
            <w:vAlign w:val="center"/>
          </w:tcPr>
          <w:p w14:paraId="173C19B1">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版本</w:t>
            </w:r>
          </w:p>
        </w:tc>
        <w:tc>
          <w:tcPr>
            <w:tcW w:w="2880" w:type="dxa"/>
            <w:tcBorders>
              <w:top w:val="single" w:color="000000" w:sz="12" w:space="0"/>
              <w:left w:val="nil"/>
              <w:bottom w:val="single" w:color="000000" w:sz="4" w:space="0"/>
              <w:right w:val="nil"/>
            </w:tcBorders>
            <w:shd w:val="clear" w:color="auto" w:fill="FFFFFF"/>
            <w:vAlign w:val="center"/>
          </w:tcPr>
          <w:p w14:paraId="47309FA2">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功能完整性</w:t>
            </w:r>
          </w:p>
        </w:tc>
        <w:tc>
          <w:tcPr>
            <w:tcW w:w="1920" w:type="dxa"/>
            <w:tcBorders>
              <w:top w:val="single" w:color="000000" w:sz="12" w:space="0"/>
              <w:left w:val="nil"/>
              <w:bottom w:val="single" w:color="000000" w:sz="4" w:space="0"/>
              <w:right w:val="nil"/>
            </w:tcBorders>
            <w:shd w:val="clear" w:color="auto" w:fill="FFFFFF"/>
            <w:vAlign w:val="center"/>
          </w:tcPr>
          <w:p w14:paraId="20CD7E46">
            <w:pPr>
              <w:keepNext w:val="0"/>
              <w:keepLines w:val="0"/>
              <w:widowControl/>
              <w:suppressLineNumbers w:val="0"/>
              <w:shd w:val="clear"/>
              <w:jc w:val="center"/>
              <w:textAlignment w:val="center"/>
              <w:rPr>
                <w:rFonts w:hint="eastAsia" w:ascii="黑体" w:hAnsi="黑体" w:eastAsia="黑体" w:cs="黑体"/>
                <w:b w:val="0"/>
                <w:bCs/>
                <w:i w:val="0"/>
                <w:iCs w:val="0"/>
                <w:color w:val="000000"/>
                <w:sz w:val="21"/>
                <w:szCs w:val="21"/>
                <w:u w:val="none"/>
              </w:rPr>
            </w:pPr>
            <w:r>
              <w:rPr>
                <w:rFonts w:hint="eastAsia" w:ascii="黑体" w:hAnsi="黑体" w:eastAsia="黑体" w:cs="黑体"/>
                <w:b w:val="0"/>
                <w:bCs/>
                <w:i w:val="0"/>
                <w:iCs w:val="0"/>
                <w:color w:val="000000"/>
                <w:kern w:val="0"/>
                <w:sz w:val="21"/>
                <w:szCs w:val="21"/>
                <w:u w:val="none"/>
                <w:lang w:val="en-US" w:eastAsia="zh-CN" w:bidi="ar"/>
              </w:rPr>
              <w:t>运行稳定性</w:t>
            </w:r>
          </w:p>
        </w:tc>
      </w:tr>
      <w:tr w14:paraId="50239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560" w:type="dxa"/>
            <w:tcBorders>
              <w:top w:val="single" w:color="000000" w:sz="4" w:space="0"/>
              <w:left w:val="nil"/>
              <w:bottom w:val="nil"/>
              <w:right w:val="nil"/>
            </w:tcBorders>
            <w:shd w:val="clear" w:color="auto" w:fill="FFFFFF"/>
            <w:vAlign w:val="center"/>
          </w:tcPr>
          <w:p w14:paraId="1B4A1AE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‌Windows‌</w:t>
            </w:r>
          </w:p>
        </w:tc>
        <w:tc>
          <w:tcPr>
            <w:tcW w:w="2870" w:type="dxa"/>
            <w:tcBorders>
              <w:top w:val="single" w:color="000000" w:sz="4" w:space="0"/>
              <w:left w:val="nil"/>
              <w:bottom w:val="nil"/>
              <w:right w:val="nil"/>
            </w:tcBorders>
            <w:shd w:val="clear" w:color="auto" w:fill="FFFFFF"/>
            <w:vAlign w:val="center"/>
          </w:tcPr>
          <w:p w14:paraId="03EDF4BA">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10 (专业版, 64位)</w:t>
            </w:r>
          </w:p>
        </w:tc>
        <w:tc>
          <w:tcPr>
            <w:tcW w:w="2880" w:type="dxa"/>
            <w:tcBorders>
              <w:top w:val="single" w:color="000000" w:sz="4" w:space="0"/>
              <w:left w:val="nil"/>
              <w:bottom w:val="nil"/>
              <w:right w:val="nil"/>
            </w:tcBorders>
            <w:shd w:val="clear" w:color="auto" w:fill="FFFFFF"/>
            <w:vAlign w:val="center"/>
          </w:tcPr>
          <w:p w14:paraId="26FA6006">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全部功能支持，包括设备通信、界面显示、报告生成等。</w:t>
            </w:r>
          </w:p>
        </w:tc>
        <w:tc>
          <w:tcPr>
            <w:tcW w:w="1920" w:type="dxa"/>
            <w:tcBorders>
              <w:top w:val="single" w:color="000000" w:sz="4" w:space="0"/>
              <w:left w:val="nil"/>
              <w:bottom w:val="nil"/>
              <w:right w:val="nil"/>
            </w:tcBorders>
            <w:shd w:val="clear" w:color="auto" w:fill="FFFFFF"/>
            <w:vAlign w:val="center"/>
          </w:tcPr>
          <w:p w14:paraId="04474BA1">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运行稳定，无崩溃或卡顿现象。</w:t>
            </w:r>
          </w:p>
        </w:tc>
      </w:tr>
      <w:tr w14:paraId="164B4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5" w:hRule="atLeast"/>
        </w:trPr>
        <w:tc>
          <w:tcPr>
            <w:tcW w:w="1560" w:type="dxa"/>
            <w:tcBorders>
              <w:top w:val="nil"/>
              <w:left w:val="nil"/>
              <w:bottom w:val="single" w:color="000000" w:sz="12" w:space="0"/>
              <w:right w:val="nil"/>
            </w:tcBorders>
            <w:shd w:val="clear" w:color="auto" w:fill="FFFFFF"/>
            <w:vAlign w:val="center"/>
          </w:tcPr>
          <w:p w14:paraId="5E8B5D1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‌Windows‌</w:t>
            </w:r>
          </w:p>
        </w:tc>
        <w:tc>
          <w:tcPr>
            <w:tcW w:w="2870" w:type="dxa"/>
            <w:tcBorders>
              <w:top w:val="nil"/>
              <w:left w:val="nil"/>
              <w:bottom w:val="single" w:color="000000" w:sz="12" w:space="0"/>
              <w:right w:val="nil"/>
            </w:tcBorders>
            <w:shd w:val="clear" w:color="auto" w:fill="FFFFFF"/>
            <w:vAlign w:val="center"/>
          </w:tcPr>
          <w:p w14:paraId="2B5E7960">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11 (专业版, 64位)</w:t>
            </w:r>
          </w:p>
        </w:tc>
        <w:tc>
          <w:tcPr>
            <w:tcW w:w="2880" w:type="dxa"/>
            <w:tcBorders>
              <w:top w:val="nil"/>
              <w:left w:val="nil"/>
              <w:bottom w:val="single" w:color="000000" w:sz="12" w:space="0"/>
              <w:right w:val="nil"/>
            </w:tcBorders>
            <w:shd w:val="clear" w:color="auto" w:fill="FFFFFF"/>
            <w:vAlign w:val="center"/>
          </w:tcPr>
          <w:p w14:paraId="2433BB35">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全部功能支持，界面适配良好。</w:t>
            </w:r>
          </w:p>
        </w:tc>
        <w:tc>
          <w:tcPr>
            <w:tcW w:w="1920" w:type="dxa"/>
            <w:tcBorders>
              <w:top w:val="nil"/>
              <w:left w:val="nil"/>
              <w:bottom w:val="single" w:color="000000" w:sz="12" w:space="0"/>
              <w:right w:val="nil"/>
            </w:tcBorders>
            <w:shd w:val="clear" w:color="auto" w:fill="FFFFFF"/>
            <w:vAlign w:val="center"/>
          </w:tcPr>
          <w:p w14:paraId="7A45131A">
            <w:pPr>
              <w:keepNext w:val="0"/>
              <w:keepLines w:val="0"/>
              <w:widowControl/>
              <w:suppressLineNumbers w:val="0"/>
              <w:shd w:val="clear"/>
              <w:jc w:val="left"/>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运行稳定，性能表现正常。</w:t>
            </w:r>
          </w:p>
        </w:tc>
      </w:tr>
    </w:tbl>
    <w:p w14:paraId="2DE0F5EB">
      <w:pPr>
        <w:pStyle w:val="3"/>
        <w:shd w:val="clear"/>
        <w:bidi w:val="0"/>
        <w:rPr>
          <w:rFonts w:hint="eastAsia" w:ascii="宋体" w:hAnsi="宋体" w:eastAsia="宋体" w:cs="宋体"/>
          <w:lang w:val="en-US" w:eastAsia="zh-CN"/>
        </w:rPr>
      </w:pPr>
      <w:bookmarkStart w:id="72" w:name="_Toc30679"/>
      <w:r>
        <w:rPr>
          <w:rFonts w:hint="eastAsia" w:ascii="宋体" w:hAnsi="宋体" w:eastAsia="宋体" w:cs="宋体"/>
          <w:lang w:val="en-US" w:eastAsia="zh-CN"/>
        </w:rPr>
        <w:t>6.4 实验测试与数据分析</w:t>
      </w:r>
      <w:bookmarkEnd w:id="72"/>
    </w:p>
    <w:p w14:paraId="1BE321F7">
      <w:pPr>
        <w:pStyle w:val="12"/>
        <w:keepNext w:val="0"/>
        <w:keepLines w:val="0"/>
        <w:pageBreakBefore w:val="0"/>
        <w:widowControl/>
        <w:suppressLineNumbers w:val="0"/>
        <w:shd w:val="clea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333333"/>
          <w:spacing w:val="0"/>
          <w:kern w:val="2"/>
          <w:sz w:val="24"/>
          <w:szCs w:val="24"/>
          <w:shd w:val="clear" w:fill="FFFFFF"/>
          <w:lang w:val="en-US" w:eastAsia="zh-CN" w:bidi="ar-SA"/>
        </w:rPr>
      </w:pPr>
      <w:r>
        <w:rPr>
          <w:rFonts w:hint="eastAsia" w:ascii="宋体" w:hAnsi="宋体" w:eastAsia="宋体" w:cs="宋体"/>
          <w:i w:val="0"/>
          <w:iCs w:val="0"/>
          <w:caps w:val="0"/>
          <w:color w:val="333333"/>
          <w:spacing w:val="0"/>
          <w:kern w:val="2"/>
          <w:sz w:val="24"/>
          <w:szCs w:val="24"/>
          <w:shd w:val="clear" w:fill="FFFFFF"/>
          <w:lang w:val="en-US" w:eastAsia="zh-CN" w:bidi="ar-SA"/>
        </w:rPr>
        <w:t>经过多次完整试验的数据采集与统计分析，本系统在温度控制精度方面表现出了显著优于ISO标准要求的性能水平。汇总了试验在三个控制精度指标上的统计结果。</w:t>
      </w:r>
    </w:p>
    <w:p w14:paraId="1975FA34">
      <w:pPr>
        <w:pStyle w:val="6"/>
        <w:shd w:val="clear"/>
        <w:bidi w:val="0"/>
        <w:rPr>
          <w:rFonts w:hint="eastAsia"/>
          <w:lang w:val="en-US" w:eastAsia="zh-CN"/>
        </w:rPr>
      </w:pPr>
      <w:r>
        <w:rPr>
          <w:rFonts w:hint="eastAsia"/>
          <w:lang w:val="en-US" w:eastAsia="zh-CN"/>
        </w:rPr>
        <w:t xml:space="preserve">表 6-6 </w:t>
      </w:r>
      <w:r>
        <w:rPr>
          <w:rFonts w:hint="eastAsia"/>
          <w:lang w:eastAsia="zh-CN"/>
        </w:rPr>
        <w:t>温度控制精度统计结果</w:t>
      </w:r>
    </w:p>
    <w:tbl>
      <w:tblPr>
        <w:tblStyle w:val="13"/>
        <w:tblW w:w="92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60"/>
        <w:gridCol w:w="2424"/>
        <w:gridCol w:w="2659"/>
        <w:gridCol w:w="141"/>
        <w:gridCol w:w="2446"/>
      </w:tblGrid>
      <w:tr w14:paraId="2DE51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560" w:type="dxa"/>
            <w:tcBorders>
              <w:top w:val="single" w:color="000000" w:sz="12" w:space="0"/>
              <w:left w:val="nil"/>
              <w:bottom w:val="single" w:color="000000" w:sz="4" w:space="0"/>
              <w:right w:val="nil"/>
              <w:tl2br w:val="nil"/>
            </w:tcBorders>
            <w:shd w:val="clear" w:color="auto" w:fill="FFFFFF"/>
            <w:vAlign w:val="center"/>
          </w:tcPr>
          <w:p w14:paraId="42A3906B">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统计指标</w:t>
            </w:r>
          </w:p>
        </w:tc>
        <w:tc>
          <w:tcPr>
            <w:tcW w:w="2424" w:type="dxa"/>
            <w:tcBorders>
              <w:top w:val="single" w:color="000000" w:sz="12" w:space="0"/>
              <w:left w:val="nil"/>
              <w:bottom w:val="single" w:color="000000" w:sz="4" w:space="0"/>
              <w:right w:val="nil"/>
            </w:tcBorders>
            <w:shd w:val="clear" w:color="auto" w:fill="FFFFFF"/>
            <w:vAlign w:val="center"/>
          </w:tcPr>
          <w:p w14:paraId="0C46F577">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升温超调量(°C)</w:t>
            </w:r>
          </w:p>
        </w:tc>
        <w:tc>
          <w:tcPr>
            <w:tcW w:w="2659" w:type="dxa"/>
            <w:tcBorders>
              <w:top w:val="single" w:color="000000" w:sz="12" w:space="0"/>
              <w:left w:val="nil"/>
              <w:bottom w:val="single" w:color="000000" w:sz="4" w:space="0"/>
              <w:right w:val="nil"/>
            </w:tcBorders>
            <w:shd w:val="clear" w:color="auto" w:fill="FFFFFF"/>
            <w:vAlign w:val="center"/>
          </w:tcPr>
          <w:p w14:paraId="6A22CE47">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稳态波动峰峰值(°C)</w:t>
            </w:r>
          </w:p>
        </w:tc>
        <w:tc>
          <w:tcPr>
            <w:tcW w:w="2587" w:type="dxa"/>
            <w:gridSpan w:val="2"/>
            <w:tcBorders>
              <w:top w:val="single" w:color="000000" w:sz="12" w:space="0"/>
              <w:left w:val="nil"/>
              <w:bottom w:val="single" w:color="000000" w:sz="4" w:space="0"/>
              <w:right w:val="nil"/>
            </w:tcBorders>
            <w:shd w:val="clear" w:color="auto" w:fill="FFFFFF"/>
            <w:vAlign w:val="center"/>
          </w:tcPr>
          <w:p w14:paraId="0CE4ACE6">
            <w:pPr>
              <w:keepNext w:val="0"/>
              <w:keepLines w:val="0"/>
              <w:widowControl/>
              <w:suppressLineNumbers w:val="0"/>
              <w:shd w:val="clear"/>
              <w:jc w:val="center"/>
              <w:textAlignment w:val="center"/>
              <w:rPr>
                <w:rFonts w:hint="eastAsia" w:ascii="黑体" w:hAnsi="黑体" w:eastAsia="黑体" w:cs="黑体"/>
                <w:b w:val="0"/>
                <w:i w:val="0"/>
                <w:iCs w:val="0"/>
                <w:color w:val="000000"/>
                <w:sz w:val="21"/>
                <w:szCs w:val="21"/>
                <w:u w:val="none"/>
              </w:rPr>
            </w:pPr>
            <w:r>
              <w:rPr>
                <w:rFonts w:hint="eastAsia" w:ascii="黑体" w:hAnsi="黑体" w:eastAsia="黑体" w:cs="黑体"/>
                <w:b w:val="0"/>
                <w:i w:val="0"/>
                <w:iCs w:val="0"/>
                <w:color w:val="000000"/>
                <w:kern w:val="0"/>
                <w:sz w:val="21"/>
                <w:szCs w:val="21"/>
                <w:u w:val="none"/>
                <w:lang w:val="en-US" w:eastAsia="zh-CN" w:bidi="ar"/>
              </w:rPr>
              <w:t>10分钟漂移(°C/10min)</w:t>
            </w:r>
          </w:p>
        </w:tc>
      </w:tr>
      <w:tr w14:paraId="47F1D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560" w:type="dxa"/>
            <w:tcBorders>
              <w:top w:val="single" w:color="000000" w:sz="4" w:space="0"/>
              <w:left w:val="nil"/>
              <w:bottom w:val="nil"/>
              <w:right w:val="nil"/>
            </w:tcBorders>
            <w:shd w:val="clear" w:color="auto" w:fill="FFFFFF"/>
            <w:vAlign w:val="center"/>
          </w:tcPr>
          <w:p w14:paraId="73C0FF0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平均值</w:t>
            </w:r>
          </w:p>
        </w:tc>
        <w:tc>
          <w:tcPr>
            <w:tcW w:w="2424" w:type="dxa"/>
            <w:tcBorders>
              <w:top w:val="single" w:color="000000" w:sz="4" w:space="0"/>
              <w:left w:val="nil"/>
              <w:bottom w:val="nil"/>
              <w:right w:val="nil"/>
            </w:tcBorders>
            <w:shd w:val="clear" w:color="auto" w:fill="FFFFFF"/>
            <w:vAlign w:val="center"/>
          </w:tcPr>
          <w:p w14:paraId="14FA15B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3.2</w:t>
            </w:r>
          </w:p>
        </w:tc>
        <w:tc>
          <w:tcPr>
            <w:tcW w:w="2800" w:type="dxa"/>
            <w:gridSpan w:val="2"/>
            <w:tcBorders>
              <w:top w:val="single" w:color="000000" w:sz="4" w:space="0"/>
              <w:left w:val="nil"/>
              <w:bottom w:val="nil"/>
              <w:right w:val="nil"/>
            </w:tcBorders>
            <w:shd w:val="clear" w:color="auto" w:fill="FFFFFF"/>
            <w:vAlign w:val="center"/>
          </w:tcPr>
          <w:p w14:paraId="7792148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5.1</w:t>
            </w:r>
          </w:p>
        </w:tc>
        <w:tc>
          <w:tcPr>
            <w:tcW w:w="2446" w:type="dxa"/>
            <w:tcBorders>
              <w:top w:val="single" w:color="000000" w:sz="4" w:space="0"/>
              <w:left w:val="nil"/>
              <w:bottom w:val="nil"/>
              <w:right w:val="nil"/>
            </w:tcBorders>
            <w:shd w:val="clear" w:color="auto" w:fill="FFFFFF"/>
            <w:vAlign w:val="center"/>
          </w:tcPr>
          <w:p w14:paraId="4CBF995C">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0.8</w:t>
            </w:r>
          </w:p>
        </w:tc>
      </w:tr>
      <w:tr w14:paraId="66BC8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560" w:type="dxa"/>
            <w:tcBorders>
              <w:top w:val="nil"/>
              <w:left w:val="nil"/>
              <w:bottom w:val="nil"/>
              <w:right w:val="nil"/>
            </w:tcBorders>
            <w:shd w:val="clear" w:color="auto" w:fill="FFFFFF"/>
            <w:vAlign w:val="center"/>
          </w:tcPr>
          <w:p w14:paraId="69EF3647">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标准差</w:t>
            </w:r>
          </w:p>
        </w:tc>
        <w:tc>
          <w:tcPr>
            <w:tcW w:w="2424" w:type="dxa"/>
            <w:tcBorders>
              <w:top w:val="nil"/>
              <w:left w:val="nil"/>
              <w:bottom w:val="nil"/>
              <w:right w:val="nil"/>
            </w:tcBorders>
            <w:shd w:val="clear" w:color="auto" w:fill="FFFFFF"/>
            <w:vAlign w:val="center"/>
          </w:tcPr>
          <w:p w14:paraId="04DEE31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0.9</w:t>
            </w:r>
          </w:p>
        </w:tc>
        <w:tc>
          <w:tcPr>
            <w:tcW w:w="2800" w:type="dxa"/>
            <w:gridSpan w:val="2"/>
            <w:tcBorders>
              <w:top w:val="nil"/>
              <w:left w:val="nil"/>
              <w:bottom w:val="nil"/>
              <w:right w:val="nil"/>
            </w:tcBorders>
            <w:shd w:val="clear" w:color="auto" w:fill="FFFFFF"/>
            <w:vAlign w:val="center"/>
          </w:tcPr>
          <w:p w14:paraId="49E11685">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0.5</w:t>
            </w:r>
          </w:p>
        </w:tc>
        <w:tc>
          <w:tcPr>
            <w:tcW w:w="2446" w:type="dxa"/>
            <w:tcBorders>
              <w:top w:val="nil"/>
              <w:left w:val="nil"/>
              <w:bottom w:val="nil"/>
              <w:right w:val="nil"/>
            </w:tcBorders>
            <w:shd w:val="clear" w:color="auto" w:fill="FFFFFF"/>
            <w:vAlign w:val="center"/>
          </w:tcPr>
          <w:p w14:paraId="0A3D2D64">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0.3</w:t>
            </w:r>
          </w:p>
        </w:tc>
      </w:tr>
      <w:tr w14:paraId="2AD04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560" w:type="dxa"/>
            <w:tcBorders>
              <w:top w:val="nil"/>
              <w:left w:val="nil"/>
              <w:bottom w:val="nil"/>
              <w:right w:val="nil"/>
            </w:tcBorders>
            <w:shd w:val="clear" w:color="auto" w:fill="FFFFFF"/>
            <w:vAlign w:val="center"/>
          </w:tcPr>
          <w:p w14:paraId="3B05408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最大值</w:t>
            </w:r>
          </w:p>
        </w:tc>
        <w:tc>
          <w:tcPr>
            <w:tcW w:w="2424" w:type="dxa"/>
            <w:tcBorders>
              <w:top w:val="nil"/>
              <w:left w:val="nil"/>
              <w:bottom w:val="nil"/>
              <w:right w:val="nil"/>
            </w:tcBorders>
            <w:shd w:val="clear" w:color="auto" w:fill="FFFFFF"/>
            <w:vAlign w:val="center"/>
          </w:tcPr>
          <w:p w14:paraId="0B3CB63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4.8</w:t>
            </w:r>
          </w:p>
        </w:tc>
        <w:tc>
          <w:tcPr>
            <w:tcW w:w="2800" w:type="dxa"/>
            <w:gridSpan w:val="2"/>
            <w:tcBorders>
              <w:top w:val="nil"/>
              <w:left w:val="nil"/>
              <w:bottom w:val="nil"/>
              <w:right w:val="nil"/>
            </w:tcBorders>
            <w:shd w:val="clear" w:color="auto" w:fill="FFFFFF"/>
            <w:vAlign w:val="center"/>
          </w:tcPr>
          <w:p w14:paraId="3804AEC1">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5.8</w:t>
            </w:r>
          </w:p>
        </w:tc>
        <w:tc>
          <w:tcPr>
            <w:tcW w:w="2446" w:type="dxa"/>
            <w:tcBorders>
              <w:top w:val="nil"/>
              <w:left w:val="nil"/>
              <w:bottom w:val="nil"/>
              <w:right w:val="nil"/>
            </w:tcBorders>
            <w:shd w:val="clear" w:color="auto" w:fill="FFFFFF"/>
            <w:vAlign w:val="center"/>
          </w:tcPr>
          <w:p w14:paraId="4991A0F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1.4</w:t>
            </w:r>
          </w:p>
        </w:tc>
      </w:tr>
      <w:tr w14:paraId="3A964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560" w:type="dxa"/>
            <w:tcBorders>
              <w:top w:val="nil"/>
              <w:left w:val="nil"/>
              <w:bottom w:val="nil"/>
              <w:right w:val="nil"/>
            </w:tcBorders>
            <w:shd w:val="clear" w:color="auto" w:fill="FFFFFF"/>
            <w:vAlign w:val="center"/>
          </w:tcPr>
          <w:p w14:paraId="32B926E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最小值</w:t>
            </w:r>
          </w:p>
        </w:tc>
        <w:tc>
          <w:tcPr>
            <w:tcW w:w="2424" w:type="dxa"/>
            <w:tcBorders>
              <w:top w:val="nil"/>
              <w:left w:val="nil"/>
              <w:bottom w:val="nil"/>
              <w:right w:val="nil"/>
            </w:tcBorders>
            <w:shd w:val="clear" w:color="auto" w:fill="FFFFFF"/>
            <w:vAlign w:val="center"/>
          </w:tcPr>
          <w:p w14:paraId="600DCC26">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1.9</w:t>
            </w:r>
          </w:p>
        </w:tc>
        <w:tc>
          <w:tcPr>
            <w:tcW w:w="2800" w:type="dxa"/>
            <w:gridSpan w:val="2"/>
            <w:tcBorders>
              <w:top w:val="nil"/>
              <w:left w:val="nil"/>
              <w:bottom w:val="nil"/>
              <w:right w:val="nil"/>
            </w:tcBorders>
            <w:shd w:val="clear" w:color="auto" w:fill="FFFFFF"/>
            <w:vAlign w:val="center"/>
          </w:tcPr>
          <w:p w14:paraId="74D4E5DD">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4.2</w:t>
            </w:r>
          </w:p>
        </w:tc>
        <w:tc>
          <w:tcPr>
            <w:tcW w:w="2446" w:type="dxa"/>
            <w:tcBorders>
              <w:top w:val="nil"/>
              <w:left w:val="nil"/>
              <w:bottom w:val="nil"/>
              <w:right w:val="nil"/>
            </w:tcBorders>
            <w:shd w:val="clear" w:color="auto" w:fill="FFFFFF"/>
            <w:vAlign w:val="center"/>
          </w:tcPr>
          <w:p w14:paraId="09C6D8FA">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0.3</w:t>
            </w:r>
          </w:p>
        </w:tc>
      </w:tr>
      <w:tr w14:paraId="696EB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1560" w:type="dxa"/>
            <w:tcBorders>
              <w:top w:val="nil"/>
              <w:left w:val="nil"/>
              <w:bottom w:val="single" w:color="000000" w:sz="12" w:space="0"/>
              <w:right w:val="nil"/>
            </w:tcBorders>
            <w:shd w:val="clear" w:color="auto" w:fill="FFFFFF"/>
            <w:vAlign w:val="center"/>
          </w:tcPr>
          <w:p w14:paraId="633278B8">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ISO标准要求</w:t>
            </w:r>
          </w:p>
        </w:tc>
        <w:tc>
          <w:tcPr>
            <w:tcW w:w="2424" w:type="dxa"/>
            <w:tcBorders>
              <w:top w:val="nil"/>
              <w:left w:val="nil"/>
              <w:bottom w:val="single" w:color="000000" w:sz="12" w:space="0"/>
              <w:right w:val="nil"/>
            </w:tcBorders>
            <w:shd w:val="clear" w:color="auto" w:fill="FFFFFF"/>
            <w:vAlign w:val="center"/>
          </w:tcPr>
          <w:p w14:paraId="4F94A37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未明确规定</w:t>
            </w:r>
          </w:p>
        </w:tc>
        <w:tc>
          <w:tcPr>
            <w:tcW w:w="2800" w:type="dxa"/>
            <w:gridSpan w:val="2"/>
            <w:tcBorders>
              <w:top w:val="nil"/>
              <w:left w:val="nil"/>
              <w:bottom w:val="single" w:color="000000" w:sz="12" w:space="0"/>
              <w:right w:val="nil"/>
            </w:tcBorders>
            <w:shd w:val="clear" w:color="auto" w:fill="FFFFFF"/>
            <w:vAlign w:val="center"/>
          </w:tcPr>
          <w:p w14:paraId="0656A9C3">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≤10.0(对应±5°C)</w:t>
            </w:r>
          </w:p>
        </w:tc>
        <w:tc>
          <w:tcPr>
            <w:tcW w:w="2446" w:type="dxa"/>
            <w:tcBorders>
              <w:top w:val="nil"/>
              <w:left w:val="nil"/>
              <w:bottom w:val="single" w:color="000000" w:sz="12" w:space="0"/>
              <w:right w:val="nil"/>
            </w:tcBorders>
            <w:shd w:val="clear" w:color="auto" w:fill="FFFFFF"/>
            <w:vAlign w:val="center"/>
          </w:tcPr>
          <w:p w14:paraId="65EE0E9F">
            <w:pPr>
              <w:keepNext w:val="0"/>
              <w:keepLines w:val="0"/>
              <w:widowControl/>
              <w:suppressLineNumbers w:val="0"/>
              <w:shd w:val="clear"/>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≤2.0</w:t>
            </w:r>
          </w:p>
        </w:tc>
      </w:tr>
    </w:tbl>
    <w:p w14:paraId="614D761F">
      <w:pPr>
        <w:shd w:val="clear"/>
        <w:bidi w:val="0"/>
        <w:rPr>
          <w:rFonts w:hint="eastAsia"/>
          <w:lang w:val="en-US" w:eastAsia="zh-CN"/>
        </w:rPr>
      </w:pPr>
    </w:p>
    <w:p w14:paraId="4D7B70D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从表6-</w:t>
      </w:r>
      <w:r>
        <w:rPr>
          <w:rFonts w:hint="eastAsia" w:ascii="宋体" w:hAnsi="宋体" w:eastAsia="宋体" w:cs="宋体"/>
          <w:i w:val="0"/>
          <w:iCs w:val="0"/>
          <w:caps w:val="0"/>
          <w:color w:val="333333"/>
          <w:spacing w:val="0"/>
          <w:sz w:val="24"/>
          <w:szCs w:val="24"/>
          <w:shd w:val="clear" w:fill="FFFFFF"/>
          <w:lang w:val="en-US" w:eastAsia="zh-CN"/>
        </w:rPr>
        <w:t>6</w:t>
      </w:r>
      <w:r>
        <w:rPr>
          <w:rFonts w:hint="eastAsia" w:ascii="宋体" w:hAnsi="宋体" w:eastAsia="宋体" w:cs="宋体"/>
          <w:i w:val="0"/>
          <w:iCs w:val="0"/>
          <w:caps w:val="0"/>
          <w:color w:val="333333"/>
          <w:spacing w:val="0"/>
          <w:sz w:val="24"/>
          <w:szCs w:val="24"/>
          <w:shd w:val="clear" w:fill="FFFFFF"/>
        </w:rPr>
        <w:t>可以清晰地看出，本系统在全部三项指标上均满足并显著优于ISO11820-2020标准的强制性技术要求。升温超调量的平均值仅为3.2°C，最大一次试验的超调量也未超过5°C，这表明多阶段自适应升温策略在抑制温度冲高方面具有显著效果。该策略依据功率把升温过程分成好几个阶段，在低温段的时候，以较高功率让温度迅速上升，缩短等待时间，当温度快接近目标区间的时候，自动降低功率的输出，利用炉膛热惯性使温度平稳地朝目标值接近着，这样就防止了传统PID控制当中因积分饱和产生的严重超调情形</w:t>
      </w:r>
      <w:r>
        <w:rPr>
          <w:rFonts w:hint="eastAsia" w:ascii="宋体" w:hAnsi="宋体" w:eastAsia="宋体" w:cs="宋体"/>
          <w:i w:val="0"/>
          <w:iCs w:val="0"/>
          <w:caps w:val="0"/>
          <w:color w:val="333333"/>
          <w:spacing w:val="0"/>
          <w:sz w:val="24"/>
          <w:szCs w:val="24"/>
          <w:shd w:val="clear" w:fill="FFFFFF"/>
          <w:vertAlign w:val="superscript"/>
          <w:lang w:eastAsia="zh-CN"/>
        </w:rPr>
        <w:fldChar w:fldCharType="begin"/>
      </w:r>
      <w:r>
        <w:instrText xml:space="preserve"> REF _Ref10359 \r  \* MERGEFORMAT</w:instrText>
      </w:r>
      <w:r>
        <w:rPr>
          <w:rFonts w:hint="eastAsia" w:ascii="宋体" w:hAnsi="宋体" w:eastAsia="宋体" w:cs="宋体"/>
          <w:i w:val="0"/>
          <w:iCs w:val="0"/>
          <w:caps w:val="0"/>
          <w:color w:val="333333"/>
          <w:spacing w:val="0"/>
          <w:sz w:val="24"/>
          <w:szCs w:val="24"/>
          <w:shd w:val="clear" w:fill="FFFFFF"/>
          <w:vertAlign w:val="superscript"/>
          <w:lang w:eastAsia="zh-CN"/>
        </w:rPr>
        <w:fldChar w:fldCharType="separate"/>
      </w:r>
      <w:r>
        <w:rPr>
          <w:rFonts w:hint="eastAsia" w:ascii="宋体" w:hAnsi="宋体" w:eastAsia="宋体" w:cs="宋体"/>
          <w:i w:val="0"/>
          <w:iCs w:val="0"/>
          <w:caps w:val="0"/>
          <w:color w:val="333333"/>
          <w:spacing w:val="0"/>
          <w:sz w:val="24"/>
          <w:szCs w:val="24"/>
          <w:shd w:val="clear" w:fill="FFFFFF"/>
          <w:vertAlign w:val="superscript"/>
          <w:lang w:eastAsia="zh-CN"/>
        </w:rPr>
        <w:t>[8]</w:t>
      </w:r>
      <w:r>
        <w:rPr>
          <w:rFonts w:hint="eastAsia" w:ascii="宋体" w:hAnsi="宋体" w:eastAsia="宋体" w:cs="宋体"/>
          <w:i w:val="0"/>
          <w:iCs w:val="0"/>
          <w:caps w:val="0"/>
          <w:color w:val="333333"/>
          <w:spacing w:val="0"/>
          <w:sz w:val="24"/>
          <w:szCs w:val="24"/>
          <w:shd w:val="clear" w:fill="FFFFFF"/>
          <w:vertAlign w:val="superscript"/>
          <w:lang w:eastAsia="zh-CN"/>
        </w:rPr>
        <w:fldChar w:fldCharType="end"/>
      </w:r>
      <w:r>
        <w:rPr>
          <w:rFonts w:hint="eastAsia" w:ascii="宋体" w:hAnsi="宋体" w:eastAsia="宋体" w:cs="宋体"/>
          <w:i w:val="0"/>
          <w:iCs w:val="0"/>
          <w:caps w:val="0"/>
          <w:color w:val="333333"/>
          <w:spacing w:val="0"/>
          <w:sz w:val="24"/>
          <w:szCs w:val="24"/>
          <w:shd w:val="clear" w:fill="FFFFFF"/>
        </w:rPr>
        <w:t>。</w:t>
      </w:r>
    </w:p>
    <w:p w14:paraId="019F6FD1">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10分钟当中温度漂移平均数值是0.8°C/10min，最大的一次试验漂移率也只是1.4°C/10min，远远低于标准所规定的2°C/10min上限，系统集成的MathNe.Numerics数值计算库是漂移率精确计算所依托的对象，该库于后台自动做高精度的最小二乘线性回归计算，使漂移率的计算从传统人工操作当中的主观经验判断换成客观数学推导，在人工操作的模式情形下，试验员一般只能凭肉眼瞧温度显示值的变化趋势，对漂移情况做粗略估计，这种估计没有量化的准确程度，还易受到注意力的波动以及主观偏见的影响，本系统凭借算法自动化大大削减了这一环节的人为失误</w:t>
      </w:r>
      <w:r>
        <w:rPr>
          <w:rFonts w:hint="eastAsia" w:ascii="宋体" w:hAnsi="宋体" w:eastAsia="宋体" w:cs="宋体"/>
          <w:i w:val="0"/>
          <w:iCs w:val="0"/>
          <w:caps w:val="0"/>
          <w:color w:val="333333"/>
          <w:spacing w:val="0"/>
          <w:sz w:val="24"/>
          <w:szCs w:val="24"/>
          <w:shd w:val="clear" w:fill="FFFFFF"/>
        </w:rPr>
        <w:t>。</w:t>
      </w:r>
    </w:p>
    <w:p w14:paraId="06C8D6D3">
      <w:pPr>
        <w:pStyle w:val="3"/>
        <w:shd w:val="clear"/>
        <w:bidi w:val="0"/>
        <w:rPr>
          <w:rFonts w:hint="eastAsia" w:ascii="宋体" w:hAnsi="宋体" w:eastAsia="宋体" w:cs="宋体"/>
          <w:lang w:val="en-US" w:eastAsia="zh-CN"/>
        </w:rPr>
      </w:pPr>
      <w:bookmarkStart w:id="73" w:name="_Toc6098"/>
      <w:r>
        <w:rPr>
          <w:rFonts w:hint="eastAsia" w:ascii="宋体" w:hAnsi="宋体" w:eastAsia="宋体" w:cs="宋体"/>
          <w:lang w:val="en-US" w:eastAsia="zh-CN"/>
        </w:rPr>
        <w:t>6.5本章小结</w:t>
      </w:r>
      <w:bookmarkEnd w:id="73"/>
    </w:p>
    <w:p w14:paraId="51516093">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本章节针对ISO 11820建筑材料不燃性试验自动化系统的实现情况开展了整体的测试工作，首先明确了系统测试目的跟主要内容，通过设计且开展针对试验流程控制、智能温度控制、数据采集、报告生成和用户交互等核心功能模块的一些测试用例，用黑盒测试方法，验证了所有功能都可以按照设计要求正确完成，对系统在不同Windows版本操作系统下的兼容性予以测试，验证了其对环境有良好的适应能力</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测试结果表明，该系统各项功能运行正常、稳定，达到了预期的设计目标，能够满足建筑材料不燃性试验自动化、标准化的实际应用需求。</w:t>
      </w:r>
    </w:p>
    <w:p w14:paraId="0528F779">
      <w:pPr>
        <w:shd w:val="clear"/>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br w:type="page"/>
      </w:r>
    </w:p>
    <w:p w14:paraId="08734FD4">
      <w:pPr>
        <w:pStyle w:val="2"/>
        <w:shd w:val="clear"/>
        <w:bidi w:val="0"/>
        <w:rPr>
          <w:rFonts w:hint="eastAsia" w:ascii="宋体" w:hAnsi="宋体" w:eastAsia="宋体" w:cs="宋体"/>
          <w:lang w:val="en-US" w:eastAsia="zh-CN"/>
        </w:rPr>
      </w:pPr>
      <w:bookmarkStart w:id="74" w:name="_Toc32654"/>
      <w:r>
        <w:rPr>
          <w:rFonts w:hint="eastAsia" w:ascii="宋体" w:hAnsi="宋体" w:eastAsia="宋体" w:cs="宋体"/>
          <w:lang w:val="en-US" w:eastAsia="zh-CN"/>
        </w:rPr>
        <w:t>7 展望与总结</w:t>
      </w:r>
      <w:bookmarkEnd w:id="74"/>
    </w:p>
    <w:p w14:paraId="29069872">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针对建筑材料防火安全性能评估的标准要求，使自动化控制技术跟智能温度判定算法深度关联起来，做出一套基于PC端的建筑不燃性试验自动化系统，该系统以状态机流程控制以及混合温度控制算法为核心的技术，结合.NET、WinForms同SQL Server等现代信息技术，做到了试验流程自动开展进程、温度数据实时高精度采集操作以及标准报告自动生成效果，让传统手动试验的规范性、效率和可追溯性有较为明显的提升。</w:t>
      </w:r>
    </w:p>
    <w:p w14:paraId="3BD1408A">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本文的一处创新是依据ISO 11820国际标准搭建起全流程自动化控制模型，创造性地应用基于状态机的流程管理，使试验步骤严格并有防错作用，运用“多阶段自适应开环控制 + 闭环PID调节”混合策略达成平稳升温以及精确恒温，基于MathNe.Numerics库做线性拟合分析，创建出基于时间窗口来判定的三重稳定性算法，做到了对炉温是否符合标准规定的自动、客观判别，彻底把人工判读的模糊性消除。系统以集成Modbus RTU通信和数据持久化服务的方式，达成了试验数据从收集、处理到存档的全链路数字化，试验报告生成效率提升，并且有仿真测试功能的客户端界面，可在无硬件环境当中验证系统逻辑，加大了系统的可测试性与培训意义。</w:t>
      </w:r>
    </w:p>
    <w:p w14:paraId="543B05B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虽说系统在功能实现以及标准符合性验证之上取得了预期成绩，但仍然存在一些局限要改进：硬件兼容性拓展的空间十分有限，目前系统主要面向特定型号的温控及采集器具，把其他品牌或接口协议的设备进行集成，要额外开发适配层，数据分析深度需要再加强，系统当前聚焦于试验过程自动化控制和数据的记录，在海量历史试验数据和材料防火性能关联规律的挖掘上能力较弱。</w:t>
      </w:r>
    </w:p>
    <w:p w14:paraId="5D0BA40C">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后续未来的工作会把重点放在以下几个方面：</w:t>
      </w:r>
    </w:p>
    <w:p w14:paraId="3DBA6E40">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1.系统架构优化与云端化演进：摸索把核心控制服务部署到边缘计算设备或云平台的可能情况，开发Web端或者移动端轻量化监控界面，达成多台试验设备的集中管理跟远程运维事项，拔高实验室的数字化管理层次</w:t>
      </w:r>
    </w:p>
    <w:p w14:paraId="1FF3B559">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智能分析与预测能力升级：引入机器学习相关算法，以积累的大量涵盖材料成分、升温曲线、最终质量损失率等的试验数据训练预测模型，尝试在试验着手前对材料不燃性等级做初步的预估，或分析工艺参数对结果起到的影响，给新材料研发提供以数据为驱动的决策提议</w:t>
      </w:r>
    </w:p>
    <w:p w14:paraId="79E25074">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3.功能模块化与标准扩展：对系统进行模块化架构设计，开发能够插拔的“试验标准”适配模块，使其能简便地拓展，以支持ISO 1716（燃烧热值测定）等别的相关建筑材料防火测试标准，开发有关材料防火性能的通用自动化测试平台。</w:t>
      </w:r>
    </w:p>
    <w:p w14:paraId="06C8E678">
      <w:pPr>
        <w:shd w:val="clea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33F0D2E8">
      <w:pPr>
        <w:shd w:val="clear"/>
        <w:bidi w:val="0"/>
        <w:rPr>
          <w:rFonts w:hint="eastAsia"/>
          <w:lang w:val="en-US" w:eastAsia="zh-CN"/>
        </w:rPr>
      </w:pPr>
    </w:p>
    <w:p w14:paraId="05D608F1">
      <w:pPr>
        <w:pStyle w:val="2"/>
        <w:shd w:val="clear"/>
        <w:bidi w:val="0"/>
        <w:jc w:val="center"/>
        <w:rPr>
          <w:rFonts w:hint="eastAsia"/>
          <w:lang w:val="en-US" w:eastAsia="zh-CN"/>
        </w:rPr>
      </w:pPr>
      <w:bookmarkStart w:id="75" w:name="_Toc17278"/>
      <w:r>
        <w:rPr>
          <w:rFonts w:hint="eastAsia"/>
          <w:lang w:val="en-US" w:eastAsia="zh-CN"/>
        </w:rPr>
        <w:t>致谢</w:t>
      </w:r>
      <w:bookmarkEnd w:id="75"/>
    </w:p>
    <w:p w14:paraId="33B53D5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行文于此，四年的本科生涯即将收官。那些被文献填满的深夜、被数据反复验证的焦灼、被思路阻塞又豁然贯通的瞬间，构成了这段求索岁月最真实的肌理。我深知，当这篇论文画上句号，这扇门便会在身后轻轻合拢，而我终将走向另一片更为开阔的原野。</w:t>
      </w:r>
    </w:p>
    <w:p w14:paraId="23051DB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感谢我的导师。从选题的确立到框架的搭建，从初稿的粗糙到终稿的规整，您以严谨的治学态度和耐心的指导贯穿始终。每一次讨论中您提出的问题，都迫使我重新审视那些我以为已经理解的概念；每一处批注里隐含的期许，都成为我反复打磨的动力。您教会我的不仅是做学问的方法，更是一种面对未知时应有的审慎与笃定。</w:t>
      </w:r>
    </w:p>
    <w:p w14:paraId="420D7B32">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感谢我的同窗与挚友。那些在教室争论不休的午后，那些在寝室相互打气的凌晨，那些在彼此陷入瓶颈时递过来的一杯咖啡或一句提醒，都让这条本有些孤寂的学术之路多了温度。与你们的交流常常比独自苦读更能激发灵感，这份并肩前行的情谊，是我收获的意外之喜。</w:t>
      </w:r>
    </w:p>
    <w:p w14:paraId="10331718">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感谢我的家人。你们的支持从不以言语渲染，却落实在每一次电话里的叮嘱、每一笔汇款的备注、每一个我归家时餐桌上多出的那道菜。你们是我所有选择背后最稳固的依托，让我得以心无旁骛地完成这段学业。</w:t>
      </w:r>
    </w:p>
    <w:p w14:paraId="3DDA159E">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也要感谢那个在无数次自我怀疑中仍未放弃的自己。那些推翻重来的章节、那些调试到凌晨的代码、那些重新修改的文字，最终都沉淀为此刻的从容。</w:t>
      </w:r>
    </w:p>
    <w:p w14:paraId="7CF35127">
      <w:pPr>
        <w:keepNext w:val="0"/>
        <w:keepLines w:val="0"/>
        <w:pageBreakBefore w:val="0"/>
        <w:widowControl w:val="0"/>
        <w:shd w:val="clea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谨以此篇，致我在这座校园里度过的每一个春天。它们倏忽而过，却在我的生命里留下了不可磨灭的刻痕。愿我带着这段岁月赋予的勇气与清醒，继续向前走去。</w:t>
      </w:r>
    </w:p>
    <w:p w14:paraId="6EFEAF39">
      <w:pPr>
        <w:shd w:val="clear"/>
        <w:rPr>
          <w:rFonts w:hint="default"/>
          <w:lang w:val="en-US" w:eastAsia="zh-CN"/>
        </w:rPr>
      </w:pPr>
      <w:r>
        <w:rPr>
          <w:rFonts w:hint="default"/>
          <w:lang w:val="en-US" w:eastAsia="zh-CN"/>
        </w:rPr>
        <w:br w:type="page"/>
      </w:r>
    </w:p>
    <w:p w14:paraId="6D694539">
      <w:pPr>
        <w:pStyle w:val="2"/>
        <w:shd w:val="clear"/>
        <w:bidi w:val="0"/>
        <w:jc w:val="center"/>
        <w:rPr>
          <w:rFonts w:hint="eastAsia" w:ascii="宋体" w:hAnsi="宋体" w:eastAsia="宋体" w:cs="宋体"/>
          <w:sz w:val="32"/>
          <w:szCs w:val="32"/>
          <w:lang w:val="en-US" w:eastAsia="zh-CN"/>
        </w:rPr>
      </w:pPr>
      <w:bookmarkStart w:id="76" w:name="_Toc20403"/>
      <w:r>
        <w:rPr>
          <w:rFonts w:hint="eastAsia" w:ascii="宋体" w:hAnsi="宋体" w:eastAsia="宋体" w:cs="宋体"/>
          <w:sz w:val="32"/>
          <w:szCs w:val="32"/>
          <w:lang w:val="en-US" w:eastAsia="zh-CN"/>
        </w:rPr>
        <w:t>参考文献</w:t>
      </w:r>
      <w:bookmarkEnd w:id="76"/>
    </w:p>
    <w:p w14:paraId="0F3389E7">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rPr>
      </w:pPr>
      <w:bookmarkStart w:id="77" w:name="_Ref31703"/>
      <w:bookmarkStart w:id="78" w:name="_Ref16473"/>
      <w:r>
        <w:rPr>
          <w:rFonts w:hint="eastAsia" w:ascii="宋体" w:hAnsi="宋体" w:eastAsia="宋体" w:cs="宋体"/>
          <w:i w:val="0"/>
          <w:iCs w:val="0"/>
          <w:caps w:val="0"/>
          <w:color w:val="333333"/>
          <w:spacing w:val="0"/>
          <w:sz w:val="24"/>
          <w:szCs w:val="24"/>
          <w:shd w:val="clear" w:fill="FFFFFF"/>
        </w:rPr>
        <w:t>ISO 1182:2020, Reaction to fire tests for products — Non-combustibility test, International Organization for Standardization, Geneva, 2020.</w:t>
      </w:r>
      <w:bookmarkEnd w:id="77"/>
    </w:p>
    <w:p w14:paraId="358E9B2E">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rPr>
      </w:pPr>
      <w:bookmarkStart w:id="79" w:name="_Ref25828"/>
      <w:r>
        <w:rPr>
          <w:rFonts w:hint="eastAsia" w:ascii="宋体" w:hAnsi="宋体" w:eastAsia="宋体" w:cs="宋体"/>
          <w:i w:val="0"/>
          <w:iCs w:val="0"/>
          <w:caps w:val="0"/>
          <w:color w:val="333333"/>
          <w:spacing w:val="0"/>
          <w:sz w:val="24"/>
          <w:szCs w:val="24"/>
          <w:shd w:val="clear" w:fill="FFFFFF"/>
        </w:rPr>
        <w:t>李明,王伟,祝贵军,等.建筑材料不燃性试验炉自动校准装置:202210038237[P].2022-04-15.</w:t>
      </w:r>
      <w:bookmarkEnd w:id="78"/>
      <w:bookmarkEnd w:id="79"/>
    </w:p>
    <w:p w14:paraId="791A2E27">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rPr>
      </w:pPr>
      <w:bookmarkStart w:id="80" w:name="_Ref27895"/>
      <w:r>
        <w:rPr>
          <w:rFonts w:hint="eastAsia" w:ascii="宋体" w:hAnsi="宋体" w:eastAsia="宋体" w:cs="宋体"/>
          <w:i w:val="0"/>
          <w:iCs w:val="0"/>
          <w:caps w:val="0"/>
          <w:color w:val="333333"/>
          <w:spacing w:val="0"/>
          <w:sz w:val="24"/>
          <w:szCs w:val="24"/>
          <w:shd w:val="clear" w:fill="FFFFFF"/>
        </w:rPr>
        <w:t>Legendre, A.M. (1805). Nouvelles méthodes pour la détermination des orbites des comètes. Paris: F. Didot.</w:t>
      </w:r>
      <w:bookmarkEnd w:id="80"/>
    </w:p>
    <w:p w14:paraId="12F78D19">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rPr>
      </w:pPr>
      <w:bookmarkStart w:id="81" w:name="_Ref16973"/>
      <w:r>
        <w:rPr>
          <w:rFonts w:hint="eastAsia" w:ascii="宋体" w:hAnsi="宋体" w:eastAsia="宋体" w:cs="宋体"/>
          <w:i w:val="0"/>
          <w:iCs w:val="0"/>
          <w:caps w:val="0"/>
          <w:color w:val="333333"/>
          <w:spacing w:val="0"/>
          <w:sz w:val="24"/>
          <w:szCs w:val="24"/>
          <w:shd w:val="clear" w:fill="FFFFFF"/>
        </w:rPr>
        <w:t>MahadevRokade,TimStratford,DaveRush,"FireResistanceofConcreteColumns:Meta-AnalysisofCode-BasedMethods,"FireSafetyJournal,2025,104626,ISSN0379-7112</w:t>
      </w:r>
      <w:bookmarkEnd w:id="81"/>
      <w:bookmarkStart w:id="82" w:name="_Ref18779"/>
      <w:r>
        <w:rPr>
          <w:rFonts w:hint="eastAsia" w:ascii="宋体" w:hAnsi="宋体" w:eastAsia="宋体" w:cs="宋体"/>
          <w:i w:val="0"/>
          <w:iCs w:val="0"/>
          <w:caps w:val="0"/>
          <w:color w:val="333333"/>
          <w:spacing w:val="0"/>
          <w:sz w:val="24"/>
          <w:szCs w:val="24"/>
          <w:shd w:val="clear" w:fill="FFFFFF"/>
          <w:lang w:val="en-US" w:eastAsia="zh-CN"/>
        </w:rPr>
        <w:t>.</w:t>
      </w:r>
    </w:p>
    <w:p w14:paraId="525D1891">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ShanakaKristombuBaduge,SadeepThilakarathna,JudeShalithaPerera,MehrdadArashpour,PejmanSharafi,BertrandTeodosio,AnkitShringi,PriyanMendis,"Artificialintelligenceandsmartvisionforbuildingandconstruction4.0:Machineanddeeplearningmethodsandapplications,"AutomationinConstruction,</w:t>
      </w:r>
      <w:r>
        <w:rPr>
          <w:rFonts w:hint="eastAsia" w:ascii="宋体" w:hAnsi="宋体" w:eastAsia="宋体" w:cs="宋体"/>
          <w:i w:val="0"/>
          <w:iCs w:val="0"/>
          <w:caps w:val="0"/>
          <w:color w:val="333333"/>
          <w:spacing w:val="0"/>
          <w:sz w:val="24"/>
          <w:szCs w:val="24"/>
          <w:shd w:val="clear" w:fill="FFFFFF"/>
        </w:rPr>
        <w:t>Volume141,2022,104440,ISSN0926-5805</w:t>
      </w:r>
      <w:bookmarkEnd w:id="82"/>
      <w:bookmarkStart w:id="83" w:name="_Ref22936"/>
      <w:r>
        <w:rPr>
          <w:rFonts w:hint="eastAsia" w:ascii="宋体" w:hAnsi="宋体" w:eastAsia="宋体" w:cs="宋体"/>
          <w:i w:val="0"/>
          <w:iCs w:val="0"/>
          <w:caps w:val="0"/>
          <w:color w:val="333333"/>
          <w:spacing w:val="0"/>
          <w:sz w:val="24"/>
          <w:szCs w:val="24"/>
          <w:shd w:val="clear" w:fill="FFFFFF"/>
          <w:lang w:val="en-US" w:eastAsia="zh-CN"/>
        </w:rPr>
        <w:t>.</w:t>
      </w:r>
    </w:p>
    <w:p w14:paraId="1AAD654A">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lang w:val="en-US" w:eastAsia="zh-CN"/>
        </w:rPr>
      </w:pPr>
      <w:bookmarkStart w:id="84" w:name="_Ref18481"/>
      <w:r>
        <w:rPr>
          <w:rFonts w:hint="eastAsia" w:ascii="宋体" w:hAnsi="宋体" w:eastAsia="宋体" w:cs="宋体"/>
          <w:i w:val="0"/>
          <w:iCs w:val="0"/>
          <w:caps w:val="0"/>
          <w:color w:val="333333"/>
          <w:spacing w:val="0"/>
          <w:sz w:val="24"/>
          <w:szCs w:val="24"/>
          <w:shd w:val="clear" w:fill="FFFFFF"/>
          <w:lang w:val="en-US" w:eastAsia="zh-CN"/>
        </w:rPr>
        <w:t xml:space="preserve">曹洪瑞, 张淑梅, &amp; 张艳. (2016). 基于DSP Builder的直流力矩电机模糊PID控制. 化工自动化及仪表. </w:t>
      </w:r>
      <w:r>
        <w:rPr>
          <w:rFonts w:hint="eastAsia" w:ascii="宋体" w:hAnsi="宋体" w:eastAsia="宋体" w:cs="宋体"/>
          <w:i w:val="0"/>
          <w:iCs w:val="0"/>
          <w:caps w:val="0"/>
          <w:color w:val="333333"/>
          <w:spacing w:val="0"/>
          <w:sz w:val="24"/>
          <w:szCs w:val="24"/>
          <w:shd w:val="clear" w:fill="FFFFFF"/>
          <w:lang w:val="en-US" w:eastAsia="zh-CN"/>
        </w:rPr>
        <w:fldChar w:fldCharType="begin"/>
      </w:r>
      <w:r>
        <w:rPr>
          <w:rFonts w:hint="eastAsia" w:ascii="宋体" w:hAnsi="宋体" w:eastAsia="宋体" w:cs="宋体"/>
          <w:i w:val="0"/>
          <w:iCs w:val="0"/>
          <w:caps w:val="0"/>
          <w:color w:val="333333"/>
          <w:spacing w:val="0"/>
          <w:sz w:val="24"/>
          <w:szCs w:val="24"/>
          <w:shd w:val="clear" w:fill="FFFFFF"/>
          <w:lang w:val="en-US" w:eastAsia="zh-CN"/>
        </w:rPr>
        <w:instrText xml:space="preserve"> HYPERLINK "https://doi.org/10.3969/j.issn.1000-3932.2016.05.002" </w:instrText>
      </w:r>
      <w:r>
        <w:rPr>
          <w:rFonts w:hint="eastAsia" w:ascii="宋体" w:hAnsi="宋体" w:eastAsia="宋体" w:cs="宋体"/>
          <w:i w:val="0"/>
          <w:iCs w:val="0"/>
          <w:caps w:val="0"/>
          <w:color w:val="333333"/>
          <w:spacing w:val="0"/>
          <w:sz w:val="24"/>
          <w:szCs w:val="24"/>
          <w:shd w:val="clear" w:fill="FFFFFF"/>
          <w:lang w:val="en-US" w:eastAsia="zh-CN"/>
        </w:rPr>
        <w:fldChar w:fldCharType="separate"/>
      </w:r>
      <w:r>
        <w:rPr>
          <w:rFonts w:hint="eastAsia" w:ascii="宋体" w:hAnsi="宋体" w:eastAsia="宋体" w:cs="宋体"/>
          <w:i w:val="0"/>
          <w:iCs w:val="0"/>
          <w:caps w:val="0"/>
          <w:color w:val="333333"/>
          <w:spacing w:val="0"/>
          <w:sz w:val="24"/>
          <w:szCs w:val="24"/>
          <w:shd w:val="clear" w:fill="FFFFFF"/>
          <w:lang w:val="en-US" w:eastAsia="zh-CN"/>
        </w:rPr>
        <w:t>https://doi.org/10.3969/j.issn.1000-3932.2016.05.002</w:t>
      </w:r>
      <w:bookmarkEnd w:id="84"/>
      <w:r>
        <w:rPr>
          <w:rFonts w:hint="eastAsia" w:ascii="宋体" w:hAnsi="宋体" w:eastAsia="宋体" w:cs="宋体"/>
          <w:i w:val="0"/>
          <w:iCs w:val="0"/>
          <w:caps w:val="0"/>
          <w:color w:val="333333"/>
          <w:spacing w:val="0"/>
          <w:sz w:val="24"/>
          <w:szCs w:val="24"/>
          <w:shd w:val="clear" w:fill="FFFFFF"/>
          <w:lang w:val="en-US" w:eastAsia="zh-CN"/>
        </w:rPr>
        <w:fldChar w:fldCharType="end"/>
      </w:r>
    </w:p>
    <w:p w14:paraId="58C009AD">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lang w:val="en-US" w:eastAsia="zh-CN"/>
        </w:rPr>
      </w:pPr>
      <w:bookmarkStart w:id="85" w:name="_Ref18925"/>
      <w:r>
        <w:rPr>
          <w:rFonts w:hint="eastAsia" w:ascii="宋体" w:hAnsi="宋体" w:eastAsia="宋体" w:cs="宋体"/>
          <w:i w:val="0"/>
          <w:iCs w:val="0"/>
          <w:caps w:val="0"/>
          <w:color w:val="333333"/>
          <w:spacing w:val="0"/>
          <w:sz w:val="24"/>
          <w:szCs w:val="24"/>
          <w:shd w:val="clear" w:fill="FFFFFF"/>
          <w:lang w:val="en-US" w:eastAsia="zh-CN"/>
        </w:rPr>
        <w:t>姚新元. (2008). 面向系统集成的工艺决策研究. https://doi.org/10.7666/d.d132302</w:t>
      </w:r>
      <w:bookmarkEnd w:id="85"/>
    </w:p>
    <w:p w14:paraId="226140E8">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lang w:val="en-US" w:eastAsia="zh-CN"/>
        </w:rPr>
      </w:pPr>
      <w:bookmarkStart w:id="86" w:name="_Ref18037"/>
      <w:r>
        <w:rPr>
          <w:rFonts w:hint="eastAsia" w:ascii="宋体" w:hAnsi="宋体" w:eastAsia="宋体" w:cs="宋体"/>
          <w:i w:val="0"/>
          <w:iCs w:val="0"/>
          <w:caps w:val="0"/>
          <w:color w:val="333333"/>
          <w:spacing w:val="0"/>
          <w:sz w:val="24"/>
          <w:szCs w:val="24"/>
          <w:shd w:val="clear" w:fill="FFFFFF"/>
          <w:lang w:val="en-US" w:eastAsia="zh-CN"/>
        </w:rPr>
        <w:t xml:space="preserve">石洪贵. (2006). 基于机器视觉的字符识别技术研究. </w:t>
      </w:r>
      <w:r>
        <w:rPr>
          <w:rFonts w:hint="eastAsia" w:ascii="宋体" w:hAnsi="宋体" w:eastAsia="宋体" w:cs="宋体"/>
          <w:i w:val="0"/>
          <w:iCs w:val="0"/>
          <w:caps w:val="0"/>
          <w:color w:val="333333"/>
          <w:spacing w:val="0"/>
          <w:sz w:val="24"/>
          <w:szCs w:val="24"/>
          <w:shd w:val="clear" w:fill="FFFFFF"/>
          <w:lang w:val="en-US" w:eastAsia="zh-CN"/>
        </w:rPr>
        <w:fldChar w:fldCharType="begin"/>
      </w:r>
      <w:r>
        <w:rPr>
          <w:rFonts w:hint="eastAsia" w:ascii="宋体" w:hAnsi="宋体" w:eastAsia="宋体" w:cs="宋体"/>
          <w:i w:val="0"/>
          <w:iCs w:val="0"/>
          <w:caps w:val="0"/>
          <w:color w:val="333333"/>
          <w:spacing w:val="0"/>
          <w:sz w:val="24"/>
          <w:szCs w:val="24"/>
          <w:shd w:val="clear" w:fill="FFFFFF"/>
          <w:lang w:val="en-US" w:eastAsia="zh-CN"/>
        </w:rPr>
        <w:instrText xml:space="preserve"> HYPERLINK "https://doi.org/10.7666/d.y870413" </w:instrText>
      </w:r>
      <w:r>
        <w:rPr>
          <w:rFonts w:hint="eastAsia" w:ascii="宋体" w:hAnsi="宋体" w:eastAsia="宋体" w:cs="宋体"/>
          <w:i w:val="0"/>
          <w:iCs w:val="0"/>
          <w:caps w:val="0"/>
          <w:color w:val="333333"/>
          <w:spacing w:val="0"/>
          <w:sz w:val="24"/>
          <w:szCs w:val="24"/>
          <w:shd w:val="clear" w:fill="FFFFFF"/>
          <w:lang w:val="en-US" w:eastAsia="zh-CN"/>
        </w:rPr>
        <w:fldChar w:fldCharType="separate"/>
      </w:r>
      <w:r>
        <w:rPr>
          <w:rFonts w:hint="eastAsia" w:ascii="宋体" w:hAnsi="宋体" w:eastAsia="宋体" w:cs="宋体"/>
          <w:i w:val="0"/>
          <w:iCs w:val="0"/>
          <w:caps w:val="0"/>
          <w:color w:val="333333"/>
          <w:spacing w:val="0"/>
          <w:sz w:val="24"/>
          <w:szCs w:val="24"/>
          <w:shd w:val="clear" w:fill="FFFFFF"/>
          <w:lang w:val="en-US" w:eastAsia="zh-CN"/>
        </w:rPr>
        <w:t>https://doi.org/10.7666/d.y870413</w:t>
      </w:r>
      <w:bookmarkEnd w:id="86"/>
      <w:r>
        <w:rPr>
          <w:rFonts w:hint="eastAsia" w:ascii="宋体" w:hAnsi="宋体" w:eastAsia="宋体" w:cs="宋体"/>
          <w:i w:val="0"/>
          <w:iCs w:val="0"/>
          <w:caps w:val="0"/>
          <w:color w:val="333333"/>
          <w:spacing w:val="0"/>
          <w:sz w:val="24"/>
          <w:szCs w:val="24"/>
          <w:shd w:val="clear" w:fill="FFFFFF"/>
          <w:lang w:val="en-US" w:eastAsia="zh-CN"/>
        </w:rPr>
        <w:fldChar w:fldCharType="end"/>
      </w:r>
    </w:p>
    <w:p w14:paraId="5B34E2A8">
      <w:pPr>
        <w:keepNext w:val="0"/>
        <w:keepLines w:val="0"/>
        <w:pageBreakBefore w:val="0"/>
        <w:widowControl w:val="0"/>
        <w:numPr>
          <w:ilvl w:val="0"/>
          <w:numId w:val="2"/>
        </w:numPr>
        <w:shd w:val="clear"/>
        <w:kinsoku/>
        <w:wordWrap w:val="0"/>
        <w:overflowPunct/>
        <w:topLinePunct w:val="0"/>
        <w:autoSpaceDE w:val="0"/>
        <w:autoSpaceDN w:val="0"/>
        <w:bidi w:val="0"/>
        <w:adjustRightInd/>
        <w:snapToGrid/>
        <w:spacing w:line="360" w:lineRule="auto"/>
        <w:ind w:left="0" w:leftChars="0" w:firstLine="0" w:firstLineChars="0"/>
        <w:textAlignment w:val="auto"/>
        <w:rPr>
          <w:rFonts w:hint="eastAsia" w:ascii="宋体" w:hAnsi="宋体" w:eastAsia="宋体" w:cs="宋体"/>
          <w:i w:val="0"/>
          <w:iCs w:val="0"/>
          <w:caps w:val="0"/>
          <w:color w:val="333333"/>
          <w:spacing w:val="0"/>
          <w:sz w:val="24"/>
          <w:szCs w:val="24"/>
          <w:shd w:val="clear" w:fill="FFFFFF"/>
          <w:lang w:val="en-US" w:eastAsia="zh-CN"/>
        </w:rPr>
      </w:pPr>
      <w:bookmarkStart w:id="87" w:name="_Ref20728"/>
      <w:r>
        <w:rPr>
          <w:rFonts w:hint="eastAsia" w:ascii="宋体" w:hAnsi="宋体" w:eastAsia="宋体" w:cs="宋体"/>
          <w:i w:val="0"/>
          <w:iCs w:val="0"/>
          <w:caps w:val="0"/>
          <w:color w:val="333333"/>
          <w:spacing w:val="0"/>
          <w:sz w:val="24"/>
          <w:szCs w:val="24"/>
          <w:shd w:val="clear" w:fill="FFFFFF"/>
          <w:lang w:val="en-US" w:eastAsia="zh-CN"/>
        </w:rPr>
        <w:t>Zanoli, S. M., Pepe, C., &amp; Orlietti, L. (2023). Multi-Mode Model Predictive Control Approach for Steel Billets Reheating Furnaces. Sensors, 23(8), 3966–3966. https://doi.org/10.3390/s23083966</w:t>
      </w:r>
      <w:bookmarkEnd w:id="87"/>
    </w:p>
    <w:bookmarkEnd w:id="83"/>
    <w:p w14:paraId="4D060BE3">
      <w:pPr>
        <w:shd w:val="clear"/>
        <w:rPr>
          <w:rFonts w:hint="eastAsia"/>
          <w:lang w:eastAsia="zh-CN"/>
        </w:rPr>
      </w:pPr>
    </w:p>
    <w:sectPr>
      <w:footerReference r:id="rId9" w:type="default"/>
      <w:footerReference r:id="rId10"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KaTeX_Size3">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PingFang SC">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方正小标宋简体">
    <w:altName w:val="宋体"/>
    <w:panose1 w:val="02010601030101010101"/>
    <w:charset w:val="86"/>
    <w:family w:val="auto"/>
    <w:pitch w:val="default"/>
    <w:sig w:usb0="00000000" w:usb1="00000000" w:usb2="00000010" w:usb3="00000000" w:csb0="00040000" w:csb1="00000000"/>
  </w:font>
  <w:font w:name="方正大标宋简体">
    <w:altName w:val="微软雅黑"/>
    <w:panose1 w:val="02010601030101010101"/>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BD66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8A36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69715">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BA83A">
                          <w:pPr>
                            <w:pStyle w:val="8"/>
                            <w:rPr>
                              <w:rFonts w:hint="eastAsia" w:ascii="宋体" w:hAnsi="宋体" w:eastAsia="宋体" w:cs="宋体"/>
                              <w:sz w:val="24"/>
                              <w:szCs w:val="24"/>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2FBA83A">
                    <w:pPr>
                      <w:pStyle w:val="8"/>
                      <w:rPr>
                        <w:rFonts w:hint="eastAsia" w:ascii="宋体" w:hAnsi="宋体" w:eastAsia="宋体" w:cs="宋体"/>
                        <w:sz w:val="24"/>
                        <w:szCs w:val="24"/>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8B3C2">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FE23B">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7BFE23B">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911F2">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09EB7F">
                          <w:pPr>
                            <w:pStyle w:val="8"/>
                            <w:rPr>
                              <w:rFonts w:hint="eastAsia" w:ascii="宋体" w:hAnsi="宋体" w:eastAsia="宋体" w:cs="宋体"/>
                              <w:sz w:val="24"/>
                              <w:szCs w:val="24"/>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009EB7F">
                    <w:pPr>
                      <w:pStyle w:val="8"/>
                      <w:rPr>
                        <w:rFonts w:hint="eastAsia" w:ascii="宋体" w:hAnsi="宋体" w:eastAsia="宋体" w:cs="宋体"/>
                        <w:sz w:val="24"/>
                        <w:szCs w:val="24"/>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8AD7F">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D019E">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752D019E">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0B9CD">
    <w:pPr>
      <w:pStyle w:val="8"/>
      <w:bidi w:val="0"/>
      <w:jc w:val="center"/>
      <w:rPr>
        <w:rFonts w:hint="default"/>
        <w:lang w:val="en-US" w:eastAsia="zh-CN"/>
      </w:rPr>
    </w:pPr>
    <w:r>
      <w:t>建筑材料不燃性实验自动化测控系统研究与实现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AE405">
    <w:pPr>
      <w:pStyle w:val="12"/>
      <w:keepNext w:val="0"/>
      <w:keepLines w:val="0"/>
      <w:widowControl/>
      <w:suppressLineNumbers w:val="0"/>
      <w:spacing w:line="240" w:lineRule="auto"/>
      <w:ind w:left="0" w:firstLine="0"/>
      <w:jc w:val="center"/>
      <w:textAlignment w:val="center"/>
      <w:rPr>
        <w:sz w:val="18"/>
        <w:szCs w:val="18"/>
      </w:rPr>
    </w:pPr>
    <w:r>
      <w:rPr>
        <w:rFonts w:hint="eastAsia" w:ascii="宋体" w:hAnsi="宋体" w:eastAsia="宋体" w:cs="宋体"/>
        <w:color w:val="000000"/>
        <w:spacing w:val="0"/>
        <w:position w:val="0"/>
        <w:sz w:val="18"/>
        <w:szCs w:val="18"/>
      </w:rPr>
      <w:t>西南石油大学本科毕业设计(论文)</w:t>
    </w:r>
  </w:p>
  <w:p w14:paraId="72513D14">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A5E27"/>
    <w:multiLevelType w:val="singleLevel"/>
    <w:tmpl w:val="B28A5E27"/>
    <w:lvl w:ilvl="0" w:tentative="0">
      <w:start w:val="1"/>
      <w:numFmt w:val="decimal"/>
      <w:lvlText w:val="[%1]"/>
      <w:lvlJc w:val="left"/>
      <w:pPr>
        <w:tabs>
          <w:tab w:val="left" w:pos="420"/>
        </w:tabs>
        <w:ind w:left="425" w:leftChars="0" w:hanging="425" w:firstLineChars="0"/>
      </w:pPr>
      <w:rPr>
        <w:rFonts w:hint="default"/>
      </w:rPr>
    </w:lvl>
  </w:abstractNum>
  <w:abstractNum w:abstractNumId="1">
    <w:nsid w:val="B55EB19F"/>
    <w:multiLevelType w:val="singleLevel"/>
    <w:tmpl w:val="B55EB19F"/>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2C63E5"/>
    <w:rsid w:val="00863DFF"/>
    <w:rsid w:val="010D797E"/>
    <w:rsid w:val="01B00C33"/>
    <w:rsid w:val="01C24A49"/>
    <w:rsid w:val="01DD59FB"/>
    <w:rsid w:val="01F11552"/>
    <w:rsid w:val="020D79C3"/>
    <w:rsid w:val="024E4C05"/>
    <w:rsid w:val="02A1710F"/>
    <w:rsid w:val="030950BD"/>
    <w:rsid w:val="05727421"/>
    <w:rsid w:val="05C67A45"/>
    <w:rsid w:val="061439B5"/>
    <w:rsid w:val="0621357A"/>
    <w:rsid w:val="063248CB"/>
    <w:rsid w:val="06734B80"/>
    <w:rsid w:val="07391925"/>
    <w:rsid w:val="07C82CA9"/>
    <w:rsid w:val="08224695"/>
    <w:rsid w:val="08BC6D87"/>
    <w:rsid w:val="08FD6F5C"/>
    <w:rsid w:val="09657E30"/>
    <w:rsid w:val="098436EC"/>
    <w:rsid w:val="09A80FE4"/>
    <w:rsid w:val="0AB66FEF"/>
    <w:rsid w:val="0ABA508A"/>
    <w:rsid w:val="0BEE7835"/>
    <w:rsid w:val="0C4073EC"/>
    <w:rsid w:val="0CBF135A"/>
    <w:rsid w:val="0D796FEF"/>
    <w:rsid w:val="0F2E76D7"/>
    <w:rsid w:val="0F49644A"/>
    <w:rsid w:val="0FA97FA3"/>
    <w:rsid w:val="10073833"/>
    <w:rsid w:val="101822F4"/>
    <w:rsid w:val="106E29B8"/>
    <w:rsid w:val="10C85EBF"/>
    <w:rsid w:val="11E54CF5"/>
    <w:rsid w:val="137C7E7A"/>
    <w:rsid w:val="13C44C6D"/>
    <w:rsid w:val="14332AA2"/>
    <w:rsid w:val="14890660"/>
    <w:rsid w:val="14C62E18"/>
    <w:rsid w:val="14FA1331"/>
    <w:rsid w:val="158C5316"/>
    <w:rsid w:val="15925425"/>
    <w:rsid w:val="15F07D1B"/>
    <w:rsid w:val="16184DFC"/>
    <w:rsid w:val="1841429E"/>
    <w:rsid w:val="189A6FD3"/>
    <w:rsid w:val="19115380"/>
    <w:rsid w:val="191E6BCD"/>
    <w:rsid w:val="1955285F"/>
    <w:rsid w:val="19A367B9"/>
    <w:rsid w:val="19AF3CC9"/>
    <w:rsid w:val="19EC2827"/>
    <w:rsid w:val="1A512FD2"/>
    <w:rsid w:val="1AFE56C7"/>
    <w:rsid w:val="1B0A2E6A"/>
    <w:rsid w:val="1B527023"/>
    <w:rsid w:val="1B576901"/>
    <w:rsid w:val="1C2E319B"/>
    <w:rsid w:val="1C455ADE"/>
    <w:rsid w:val="1D931ABE"/>
    <w:rsid w:val="1DD84D2C"/>
    <w:rsid w:val="1F5E781E"/>
    <w:rsid w:val="1F707818"/>
    <w:rsid w:val="1F856DAB"/>
    <w:rsid w:val="1FD011AD"/>
    <w:rsid w:val="1FF82DDD"/>
    <w:rsid w:val="213E023B"/>
    <w:rsid w:val="213E6DF6"/>
    <w:rsid w:val="21F26EE5"/>
    <w:rsid w:val="23233619"/>
    <w:rsid w:val="23767B8F"/>
    <w:rsid w:val="23C24E74"/>
    <w:rsid w:val="23E41FD5"/>
    <w:rsid w:val="23F83348"/>
    <w:rsid w:val="2451627C"/>
    <w:rsid w:val="248722E9"/>
    <w:rsid w:val="24A94248"/>
    <w:rsid w:val="255211AD"/>
    <w:rsid w:val="25576716"/>
    <w:rsid w:val="263C11DC"/>
    <w:rsid w:val="26896F27"/>
    <w:rsid w:val="26A67839"/>
    <w:rsid w:val="270D36A9"/>
    <w:rsid w:val="27EF7D76"/>
    <w:rsid w:val="27FF406E"/>
    <w:rsid w:val="28577A06"/>
    <w:rsid w:val="28D728F5"/>
    <w:rsid w:val="293D4AAA"/>
    <w:rsid w:val="294A3515"/>
    <w:rsid w:val="29957479"/>
    <w:rsid w:val="29C2556E"/>
    <w:rsid w:val="2A35362F"/>
    <w:rsid w:val="2A491627"/>
    <w:rsid w:val="2A7F3244"/>
    <w:rsid w:val="2B407FEB"/>
    <w:rsid w:val="2B410699"/>
    <w:rsid w:val="2B514BE0"/>
    <w:rsid w:val="2BBC541B"/>
    <w:rsid w:val="2BC51AF4"/>
    <w:rsid w:val="2C2E4F21"/>
    <w:rsid w:val="2C330450"/>
    <w:rsid w:val="2C3547E7"/>
    <w:rsid w:val="2C3E2A2D"/>
    <w:rsid w:val="2C6C2BD8"/>
    <w:rsid w:val="2CA2524D"/>
    <w:rsid w:val="2D6A05F9"/>
    <w:rsid w:val="2DB3268E"/>
    <w:rsid w:val="2DBD7652"/>
    <w:rsid w:val="2EBC237B"/>
    <w:rsid w:val="2EFE7D27"/>
    <w:rsid w:val="2F0977AC"/>
    <w:rsid w:val="2F7455DA"/>
    <w:rsid w:val="2FFB4F4A"/>
    <w:rsid w:val="312E123F"/>
    <w:rsid w:val="31786BA7"/>
    <w:rsid w:val="31CA34A3"/>
    <w:rsid w:val="32254273"/>
    <w:rsid w:val="32A970B0"/>
    <w:rsid w:val="32D12C2B"/>
    <w:rsid w:val="332E3636"/>
    <w:rsid w:val="33433C7A"/>
    <w:rsid w:val="33664B02"/>
    <w:rsid w:val="33FD604E"/>
    <w:rsid w:val="349719DA"/>
    <w:rsid w:val="34E02B31"/>
    <w:rsid w:val="356837BA"/>
    <w:rsid w:val="36164A44"/>
    <w:rsid w:val="36621FAB"/>
    <w:rsid w:val="36922B60"/>
    <w:rsid w:val="3743283D"/>
    <w:rsid w:val="37C54E50"/>
    <w:rsid w:val="37DA21EF"/>
    <w:rsid w:val="37F53D43"/>
    <w:rsid w:val="381256F7"/>
    <w:rsid w:val="387E5850"/>
    <w:rsid w:val="38C840CF"/>
    <w:rsid w:val="392E665A"/>
    <w:rsid w:val="394D3F29"/>
    <w:rsid w:val="3A257964"/>
    <w:rsid w:val="3A2937CE"/>
    <w:rsid w:val="3A574D58"/>
    <w:rsid w:val="3A787036"/>
    <w:rsid w:val="3A820E53"/>
    <w:rsid w:val="3B9603ED"/>
    <w:rsid w:val="3D851D9A"/>
    <w:rsid w:val="3E712FCE"/>
    <w:rsid w:val="3EF6269E"/>
    <w:rsid w:val="3F20245B"/>
    <w:rsid w:val="3F3C12AC"/>
    <w:rsid w:val="402933B9"/>
    <w:rsid w:val="4089014A"/>
    <w:rsid w:val="41C538FC"/>
    <w:rsid w:val="42225BE8"/>
    <w:rsid w:val="42B92EC8"/>
    <w:rsid w:val="43236A0A"/>
    <w:rsid w:val="43B21382"/>
    <w:rsid w:val="43C7216E"/>
    <w:rsid w:val="44444AF2"/>
    <w:rsid w:val="45012D7B"/>
    <w:rsid w:val="453E4BBB"/>
    <w:rsid w:val="45885AA6"/>
    <w:rsid w:val="46E81166"/>
    <w:rsid w:val="47867568"/>
    <w:rsid w:val="47EF4C31"/>
    <w:rsid w:val="484B208D"/>
    <w:rsid w:val="490F7C04"/>
    <w:rsid w:val="49315AE0"/>
    <w:rsid w:val="49BE18E2"/>
    <w:rsid w:val="4A4E58FA"/>
    <w:rsid w:val="4A54394D"/>
    <w:rsid w:val="4AD02BFC"/>
    <w:rsid w:val="4B5259DB"/>
    <w:rsid w:val="4BCF5981"/>
    <w:rsid w:val="4BD5105B"/>
    <w:rsid w:val="4BE764F0"/>
    <w:rsid w:val="4CE216E4"/>
    <w:rsid w:val="4DB12E65"/>
    <w:rsid w:val="4DD1086D"/>
    <w:rsid w:val="4F5E32CE"/>
    <w:rsid w:val="500A5A08"/>
    <w:rsid w:val="512A6CE2"/>
    <w:rsid w:val="52923265"/>
    <w:rsid w:val="52AC63CA"/>
    <w:rsid w:val="53105DB5"/>
    <w:rsid w:val="535F3A8F"/>
    <w:rsid w:val="536F3C21"/>
    <w:rsid w:val="538C0B4D"/>
    <w:rsid w:val="53F20FDD"/>
    <w:rsid w:val="54150012"/>
    <w:rsid w:val="542D1B5D"/>
    <w:rsid w:val="555A5315"/>
    <w:rsid w:val="55C824C6"/>
    <w:rsid w:val="55DF5360"/>
    <w:rsid w:val="565F226A"/>
    <w:rsid w:val="568B6064"/>
    <w:rsid w:val="569E6A95"/>
    <w:rsid w:val="574540B4"/>
    <w:rsid w:val="58A27E95"/>
    <w:rsid w:val="590B3A0F"/>
    <w:rsid w:val="599F73C0"/>
    <w:rsid w:val="5A2C5AEF"/>
    <w:rsid w:val="5A47275E"/>
    <w:rsid w:val="5AF076C2"/>
    <w:rsid w:val="5B335C56"/>
    <w:rsid w:val="5BF9783A"/>
    <w:rsid w:val="5C114178"/>
    <w:rsid w:val="5C7659A5"/>
    <w:rsid w:val="5CE3388F"/>
    <w:rsid w:val="5E062D59"/>
    <w:rsid w:val="5E4A0596"/>
    <w:rsid w:val="5E727157"/>
    <w:rsid w:val="5ECC563B"/>
    <w:rsid w:val="5EDC62D0"/>
    <w:rsid w:val="5FE94ADE"/>
    <w:rsid w:val="6021514E"/>
    <w:rsid w:val="60380C34"/>
    <w:rsid w:val="60A24FBB"/>
    <w:rsid w:val="60AA20C1"/>
    <w:rsid w:val="61C56BBB"/>
    <w:rsid w:val="61EC076B"/>
    <w:rsid w:val="61F47A98"/>
    <w:rsid w:val="62C57589"/>
    <w:rsid w:val="62E54D15"/>
    <w:rsid w:val="62E65BA6"/>
    <w:rsid w:val="6322173D"/>
    <w:rsid w:val="6345638C"/>
    <w:rsid w:val="63727480"/>
    <w:rsid w:val="63C35930"/>
    <w:rsid w:val="6488096B"/>
    <w:rsid w:val="64AE2ACA"/>
    <w:rsid w:val="653F68FF"/>
    <w:rsid w:val="661E63E5"/>
    <w:rsid w:val="66B45A48"/>
    <w:rsid w:val="6715766E"/>
    <w:rsid w:val="676468DA"/>
    <w:rsid w:val="680A0702"/>
    <w:rsid w:val="681A272F"/>
    <w:rsid w:val="6824021C"/>
    <w:rsid w:val="687A05CB"/>
    <w:rsid w:val="694B109D"/>
    <w:rsid w:val="6968677A"/>
    <w:rsid w:val="6A411085"/>
    <w:rsid w:val="6AAC4C17"/>
    <w:rsid w:val="6AFD0EDD"/>
    <w:rsid w:val="6B0D2453"/>
    <w:rsid w:val="6B5274DB"/>
    <w:rsid w:val="6CD3474E"/>
    <w:rsid w:val="6D1A237D"/>
    <w:rsid w:val="6D653C86"/>
    <w:rsid w:val="6DB602F7"/>
    <w:rsid w:val="6E133B3C"/>
    <w:rsid w:val="6E180552"/>
    <w:rsid w:val="6E697944"/>
    <w:rsid w:val="6E873273"/>
    <w:rsid w:val="6ED13133"/>
    <w:rsid w:val="6F6349E7"/>
    <w:rsid w:val="70333E81"/>
    <w:rsid w:val="7084648B"/>
    <w:rsid w:val="709C24CA"/>
    <w:rsid w:val="709D782C"/>
    <w:rsid w:val="712B2CEC"/>
    <w:rsid w:val="71BC39CF"/>
    <w:rsid w:val="73855D46"/>
    <w:rsid w:val="73A16261"/>
    <w:rsid w:val="73AE7C9B"/>
    <w:rsid w:val="73D94D40"/>
    <w:rsid w:val="7465798E"/>
    <w:rsid w:val="749F7D09"/>
    <w:rsid w:val="74C5372F"/>
    <w:rsid w:val="74D32507"/>
    <w:rsid w:val="75706FDE"/>
    <w:rsid w:val="758B601F"/>
    <w:rsid w:val="75C8797B"/>
    <w:rsid w:val="762C63E5"/>
    <w:rsid w:val="764C5C54"/>
    <w:rsid w:val="7696084C"/>
    <w:rsid w:val="77B71467"/>
    <w:rsid w:val="79A5662B"/>
    <w:rsid w:val="7AA37820"/>
    <w:rsid w:val="7ABD4E1C"/>
    <w:rsid w:val="7AE53AF5"/>
    <w:rsid w:val="7B7610C6"/>
    <w:rsid w:val="7BD227A0"/>
    <w:rsid w:val="7BF47319"/>
    <w:rsid w:val="7C3D5C73"/>
    <w:rsid w:val="7C61520D"/>
    <w:rsid w:val="7D360B0D"/>
    <w:rsid w:val="7D967C15"/>
    <w:rsid w:val="7DCE568F"/>
    <w:rsid w:val="7DDD71DA"/>
    <w:rsid w:val="7E0E1118"/>
    <w:rsid w:val="7E4A216B"/>
    <w:rsid w:val="7E7D1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6" w:lineRule="auto"/>
      <w:jc w:val="left"/>
      <w:outlineLvl w:val="0"/>
    </w:pPr>
    <w:rPr>
      <w:rFonts w:ascii="黑体" w:hAnsi="黑体" w:eastAsia="宋体" w:cs="黑体"/>
      <w:b/>
      <w:kern w:val="44"/>
      <w:sz w:val="32"/>
      <w:szCs w:val="30"/>
    </w:rPr>
  </w:style>
  <w:style w:type="paragraph" w:styleId="3">
    <w:name w:val="heading 2"/>
    <w:basedOn w:val="1"/>
    <w:next w:val="1"/>
    <w:link w:val="19"/>
    <w:unhideWhenUsed/>
    <w:qFormat/>
    <w:uiPriority w:val="0"/>
    <w:pPr>
      <w:keepNext/>
      <w:keepLines/>
      <w:spacing w:before="260" w:beforeLines="0" w:beforeAutospacing="0" w:after="260" w:afterLines="0" w:afterAutospacing="0" w:line="413" w:lineRule="auto"/>
      <w:jc w:val="left"/>
      <w:outlineLvl w:val="1"/>
    </w:pPr>
    <w:rPr>
      <w:rFonts w:ascii="Arial" w:hAnsi="Arial" w:eastAsia="宋体"/>
      <w:b/>
      <w:sz w:val="30"/>
    </w:rPr>
  </w:style>
  <w:style w:type="paragraph" w:styleId="4">
    <w:name w:val="heading 3"/>
    <w:basedOn w:val="1"/>
    <w:next w:val="1"/>
    <w:link w:val="18"/>
    <w:unhideWhenUsed/>
    <w:qFormat/>
    <w:uiPriority w:val="0"/>
    <w:pPr>
      <w:keepNext/>
      <w:keepLines/>
      <w:spacing w:before="260" w:beforeLines="0" w:beforeAutospacing="0" w:after="260" w:afterLines="0" w:afterAutospacing="0" w:line="413" w:lineRule="auto"/>
      <w:jc w:val="left"/>
      <w:outlineLvl w:val="2"/>
    </w:pPr>
    <w:rPr>
      <w:rFonts w:eastAsia="宋体" w:asciiTheme="minorAscii" w:hAnsiTheme="minorAscii"/>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caption"/>
    <w:basedOn w:val="1"/>
    <w:next w:val="1"/>
    <w:unhideWhenUsed/>
    <w:qFormat/>
    <w:uiPriority w:val="0"/>
    <w:pPr>
      <w:widowControl/>
      <w:spacing w:line="360" w:lineRule="auto"/>
      <w:ind w:firstLine="480" w:firstLineChars="200"/>
      <w:jc w:val="center"/>
    </w:pPr>
    <w:rPr>
      <w:rFonts w:ascii="黑体" w:hAnsi="黑体" w:eastAsia="黑体" w:cs="黑体"/>
      <w:sz w:val="20"/>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标题 3 Char"/>
    <w:link w:val="4"/>
    <w:uiPriority w:val="0"/>
    <w:rPr>
      <w:rFonts w:eastAsia="宋体" w:asciiTheme="minorAscii" w:hAnsiTheme="minorAscii"/>
      <w:b/>
      <w:sz w:val="28"/>
    </w:rPr>
  </w:style>
  <w:style w:type="character" w:customStyle="1" w:styleId="19">
    <w:name w:val="标题 2 Char"/>
    <w:link w:val="3"/>
    <w:uiPriority w:val="0"/>
    <w:rPr>
      <w:rFonts w:ascii="Arial" w:hAnsi="Arial" w:eastAsia="宋体"/>
      <w:b/>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866</Words>
  <Characters>950</Characters>
  <Lines>0</Lines>
  <Paragraphs>0</Paragraphs>
  <TotalTime>0</TotalTime>
  <ScaleCrop>false</ScaleCrop>
  <LinksUpToDate>false</LinksUpToDate>
  <CharactersWithSpaces>959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2026-05-08T06:59:00Z</dcterms:created>
  <dc:creator>WPS_1713613401</dc:creator>
  <cp:lastModifiedBy>WPS_1713613401</cp:lastModifiedBy>
  <dcterms:modified xsi:type="dcterms:W3CDTF">2026-05-11T16:30:32Z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8FE03665687E4D9989AD09BFD7CA6585_11</vt:lpwstr>
  </property>
  <property fmtid="{D5CDD505-2E9C-101B-9397-08002B2CF9AE}" pid="4" name="KSOTemplateDocerSaveRecord">
    <vt:lpwstr>eyJoZGlkIjoiNjQ5NzM4ZTU4ODQ3NjhlZTNjYTkwMTE1OTdmYTBiZTIiLCJ1c2VySWQiOiIxNTk0NTU1Mjc3In0=</vt:lpwstr>
  </property>
</Properties>
</file>