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b w:val="1"/>
        </w:rPr>
      </w:pPr>
      <w:bookmarkStart w:colFirst="0" w:colLast="0" w:name="_87tykp1u0l36" w:id="0"/>
      <w:bookmarkEnd w:id="0"/>
      <w:r w:rsidDel="00000000" w:rsidR="00000000" w:rsidRPr="00000000">
        <w:rPr>
          <w:rFonts w:ascii="Google Sans" w:cs="Google Sans" w:eastAsia="Google Sans" w:hAnsi="Google Sans"/>
          <w:b w:val="1"/>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Does the organisation (Botium Toys) currently have this control in place? </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 Does the organisation (Botium Toys) currently adhere to this compliance best practice?</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2">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2">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3">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after="200" w:line="360" w:lineRule="auto"/>
        <w:rPr>
          <w:sz w:val="24"/>
          <w:szCs w:val="24"/>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sz w:val="24"/>
          <w:szCs w:val="24"/>
          <w:rtl w:val="0"/>
        </w:rPr>
        <w:t xml:space="preserve">The following is a summary of recommendations that must be implemented immediately to ensure that risk to assets is reduced and the company’s overall security posture is improved. </w:t>
      </w: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improve the confidentiality of customers’ data and Botium Toy’s security posture, multiple security controls must be implemented immediately by the security team. These include administrative controls such as lleast privilege access to assets, centralised password management, separation of duties, stronger password policies, regular schedules for legacy systems monitoring and maintenance. </w:t>
      </w:r>
    </w:p>
    <w:p w:rsidR="00000000" w:rsidDel="00000000" w:rsidP="00000000" w:rsidRDefault="00000000" w:rsidRPr="00000000" w14:paraId="00000077">
      <w:pPr>
        <w:spacing w:after="240" w:before="240" w:line="36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Other technical controls include configuring an intrusion detection system to identify anomalous traffic and encryption for data at rest and in transit. Assets need to be properly classified and additional controls implemented to protect sensitive information from threat actors.   </w:t>
      </w:r>
    </w:p>
    <w:p w:rsidR="00000000" w:rsidDel="00000000" w:rsidP="00000000" w:rsidRDefault="00000000" w:rsidRPr="00000000" w14:paraId="00000078">
      <w:pPr>
        <w:spacing w:after="240" w:before="24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79">
      <w:pPr>
        <w:spacing w:after="240" w:before="24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