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Malicious actors are constantly targeting business email communications posing an even greater risk to business communications. They are most often vulnerable to phishing or packet sniffing attacks where the attacker convinces the user to click on a malicious link or sniffs the communication and alters sensitive information, eg, bank payment details. Compromised user database or financial records leak can easily occur when a user reuses passwords for several accounts. Also, having 20 remote employees possibly using their own personal devices to connect to the bank’s systems introduces multiple endpoints and widens the attack surface.  It’s highly unlikely that the bank’s safe is left unlocked as with a hurricane disrupting the institution’s supply chain.</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