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b w:val="1"/>
          <w:rtl w:val="0"/>
        </w:rPr>
        <w:t xml:space="preserve">Shadowing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If there are two separate variables with the same name, in separate (but nested) scopes.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Ex: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let x = 3;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if(x === 3) {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   let x = 4;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   console.log(x);    // 4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console.log(x);        // 3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Let’s note two key observations: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Variable shadowing is completely valid JavaScript.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When within the scope of the local x (the if block), there is no way to access the global x.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Temporal Dead Zone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If we try to access a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let / const</w:t>
      </w: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 variable after it has been declared (at the point where it was hoisted to) and before it has been assigned a value, we get an error. This time between the variable being declared and the first time it is assigned a value is called the temporal dead zone (the TDZ).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4"/>
          <w:szCs w:val="24"/>
          <w:highlight w:val="white"/>
          <w:rtl w:val="0"/>
        </w:rPr>
        <w:t xml:space="preserve">Key observation about the TDZ: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If we attempt to access a let / const variable after it is defined but before it is assigned a value, we get an error.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This differs from var variables, which would return undefined in the same situation.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function f() {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    let x;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// TDZ begins here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    console.log(x);    // ReferenceError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// TDZ ends here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    x = 3;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    console.log(x);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