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EF7702" w:rsidP="00CD7005" w:rsidRDefault="006137AF" w14:paraId="68D38F8D" w14:textId="77777777">
      <w:pPr>
        <w:pStyle w:val="Heading1"/>
      </w:pPr>
      <w:r>
        <w:t xml:space="preserve">Migration plan: </w:t>
      </w:r>
      <w:r w:rsidR="008830FD">
        <w:t>Customer Name</w:t>
      </w:r>
    </w:p>
    <w:p w:rsidR="00EF7702" w:rsidRDefault="006137AF" w14:paraId="1736FC60" w14:textId="77777777">
      <w:r>
        <w:t xml:space="preserve">This document will also form the basis of “As Built” documentation. </w:t>
      </w:r>
    </w:p>
    <w:p w:rsidR="00601F00" w:rsidRDefault="00601F00" w14:paraId="69EE84F8" w14:textId="77777777"/>
    <w:p w:rsidR="00601F00" w:rsidRDefault="00601F00" w14:paraId="4FC01985" w14:textId="7E70153A">
      <w:r>
        <w:t>The purpose of this document is to outline the migration plan, provide build instructions for build engineers and provide information for the customer.</w:t>
      </w:r>
    </w:p>
    <w:p w:rsidR="00EF7702" w:rsidRDefault="00EF7702" w14:paraId="337CB4C9" w14:textId="77777777"/>
    <w:p w:rsidR="00EF7702" w:rsidRDefault="006137AF" w14:paraId="5230488D" w14:textId="77777777">
      <w:r w:rsidR="32C9028A">
        <w:rPr/>
        <w:t>A lot of the documentation required is “infrastructure as code” in GIT repositories so the main purpose of this document is to outline the base configuratio</w:t>
      </w:r>
      <w:r w:rsidR="32C9028A">
        <w:rPr/>
        <w:t xml:space="preserve">n, High Level Stack, Code Repositories </w:t>
      </w:r>
      <w:r w:rsidR="32C9028A">
        <w:rPr/>
        <w:t>and Approach.</w:t>
      </w:r>
    </w:p>
    <w:p w:rsidR="00EF7702" w:rsidP="32C9028A" w:rsidRDefault="006137AF" w14:noSpellErr="1" w14:paraId="623AD05B" w14:textId="01C9FED3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bookmarkStart w:name="_8imzwilw3vjp" w:colFirst="0" w:colLast="0" w:id="0"/>
      <w:bookmarkEnd w:id="0"/>
    </w:p>
    <w:p w:rsidR="00EF7702" w:rsidP="32C9028A" w:rsidRDefault="006137AF" w14:noSpellErr="1" w14:paraId="5BC59CB1" w14:textId="3277E70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A38E2F2" w:rsidR="1A38E2F2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>High Level Activities</w:t>
      </w:r>
    </w:p>
    <w:p w:rsidR="00EF7702" w:rsidP="32C9028A" w:rsidRDefault="006137AF" w14:noSpellErr="1" w14:paraId="261A7C9A" w14:textId="24406B1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A38E2F2" w:rsidR="1A38E2F2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en-US"/>
        </w:rPr>
        <w:t>(Some of these may have already been completed as part of the initial discovery work prior to migration)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32C9028A" w:rsidTr="1A38E2F2" w14:paraId="3F5B5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0F6AB262" w14:textId="1790D57E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0647C767" w14:textId="2E275BFD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Purpose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DF5165D" w14:textId="6EA68353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Responsibility</w:t>
            </w:r>
          </w:p>
        </w:tc>
      </w:tr>
      <w:tr w:rsidR="32C9028A" w:rsidTr="1A38E2F2" w14:paraId="253A7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70FFF7A0" w14:textId="17AC62D1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Access to customer infrastructure, code and schemas.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724EA6C9" w14:textId="6D56E76E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</w:t>
            </w: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cess</w:t>
            </w: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provided to Teem to be able to review existing assets including code, technology and data schemas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B42FDC5" w14:textId="7B3437E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Customer</w:t>
            </w:r>
          </w:p>
        </w:tc>
      </w:tr>
      <w:tr w:rsidR="32C9028A" w:rsidTr="1A38E2F2" w14:paraId="39597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01947D66" w14:textId="5ADB9139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Setup new environments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153314DD" w14:textId="0A8D9E1D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Create new environments to run customer applications and data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7EB7E07A" w14:textId="2415C2B2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Teem</w:t>
            </w:r>
          </w:p>
        </w:tc>
      </w:tr>
      <w:tr w:rsidR="32C9028A" w:rsidTr="1A38E2F2" w14:paraId="12A9C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6B518490" w14:textId="509C9961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Security configuration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5BCBF645" w14:textId="7C5E2EE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Ensure all environments meet AWS best practice / advisory requirements.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DA2A3FE" w14:textId="7296E77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Teem</w:t>
            </w:r>
          </w:p>
        </w:tc>
      </w:tr>
      <w:tr w:rsidR="32C9028A" w:rsidTr="1A38E2F2" w14:paraId="29BC8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6ABC4E30" w14:textId="02E87E5F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Deployment Setup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A341FBA" w14:textId="13797972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Ensure code can be deployed in a continuous integration model.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8A79926" w14:textId="4D2F64C8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Teem</w:t>
            </w:r>
          </w:p>
        </w:tc>
      </w:tr>
      <w:tr w:rsidR="32C9028A" w:rsidTr="1A38E2F2" w14:paraId="44CA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DE221CE" w14:textId="156DC405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 migration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04D9FC7B" w14:textId="56BCD3E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Migrate data (different intervals during project including Smoke testing, dry runs and final migration).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52803684" w14:textId="1A02863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Teem</w:t>
            </w:r>
          </w:p>
        </w:tc>
      </w:tr>
      <w:tr w:rsidR="32C9028A" w:rsidTr="1A38E2F2" w14:paraId="13B7D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3A55410D" w14:textId="26641090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7F341050" w14:textId="7DFC971A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Testing and validation of environment configuration in dev, prod (pre-go live)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48623052" w14:textId="3351F889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Teem/Customer</w:t>
            </w:r>
          </w:p>
        </w:tc>
      </w:tr>
      <w:tr w:rsidR="32C9028A" w:rsidTr="1A38E2F2" w14:paraId="7C524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57B0B929" w14:textId="0490D032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Final Migration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284570F" w14:textId="13FC7EEF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Work together on final cutover of environment including DNS changes, final data migration.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top"/>
          </w:tcPr>
          <w:p w:rsidR="32C9028A" w:rsidP="32C9028A" w:rsidRDefault="32C9028A" w14:noSpellErr="1" w14:paraId="2ACB429A" w14:textId="43FE2F82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A38E2F2" w:rsidR="1A38E2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Teem/Customer</w:t>
            </w:r>
          </w:p>
        </w:tc>
      </w:tr>
    </w:tbl>
    <w:p w:rsidR="00EF7702" w:rsidP="00CD7005" w:rsidRDefault="006137AF" w14:paraId="215C38A5" w14:noSpellErr="1" w14:textId="227D9A8A">
      <w:pPr>
        <w:pStyle w:val="Heading2"/>
      </w:pPr>
      <w:r w:rsidR="1A38E2F2">
        <w:rPr/>
        <w:t>Initial configuration</w:t>
      </w:r>
    </w:p>
    <w:p w:rsidR="00EF7702" w:rsidP="00CD7005" w:rsidRDefault="00CD7005" w14:paraId="69F5C93C" w14:textId="44B1C259">
      <w:pPr>
        <w:pStyle w:val="Heading3"/>
      </w:pPr>
      <w:bookmarkStart w:name="_oauqag7d3yq5" w:colFirst="0" w:colLast="0" w:id="1"/>
      <w:bookmarkEnd w:id="1"/>
      <w:r>
        <w:t xml:space="preserve">Customer </w:t>
      </w:r>
      <w:r w:rsidR="006137AF">
        <w:t>AWS accounts</w:t>
      </w:r>
    </w:p>
    <w:p w:rsidR="00EF7702" w:rsidRDefault="006137AF" w14:paraId="153604F3" w14:textId="3590B113">
      <w:r>
        <w:t>The following AWS a</w:t>
      </w:r>
      <w:r>
        <w:t xml:space="preserve">ccounts will be </w:t>
      </w:r>
      <w:r w:rsidR="00CD7005">
        <w:t>created/used</w:t>
      </w:r>
      <w:r>
        <w:t xml:space="preserve"> as part of the migration.</w:t>
      </w:r>
    </w:p>
    <w:p w:rsidR="00EF7702" w:rsidRDefault="00EF7702" w14:paraId="5468A54F" w14:textId="77777777"/>
    <w:tbl>
      <w:tblPr>
        <w:tblStyle w:val="a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715"/>
        <w:gridCol w:w="4260"/>
      </w:tblGrid>
      <w:tr w:rsidR="00EF7702" w14:paraId="0EF38793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D9AA9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1536F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Account ID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38F7A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EF7702" w14:paraId="1B398E07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8830FD" w:rsidRDefault="006137AF" w14:paraId="2FA4D7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Root</w:t>
            </w:r>
            <w:r w:rsidR="008830FD">
              <w:t>-user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EF7702" w14:paraId="61E2FC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5BF9FE2B" w14:textId="77777777">
            <w:pPr>
              <w:widowControl w:val="0"/>
              <w:spacing w:line="240" w:lineRule="auto"/>
            </w:pPr>
            <w:r>
              <w:t>IAM User Authentication for Cross Account IAM Access to Sub Accounts.</w:t>
            </w:r>
          </w:p>
          <w:p w:rsidR="00EF7702" w:rsidRDefault="00EF7702" w14:paraId="2098900A" w14:textId="77777777">
            <w:pPr>
              <w:widowControl w:val="0"/>
              <w:spacing w:line="240" w:lineRule="auto"/>
            </w:pPr>
          </w:p>
          <w:p w:rsidR="00EF7702" w:rsidRDefault="006137AF" w14:paraId="17DA9000" w14:textId="77777777">
            <w:pPr>
              <w:widowControl w:val="0"/>
              <w:spacing w:line="240" w:lineRule="auto"/>
            </w:pPr>
            <w:r>
              <w:t>Cloud Automation Tasks (</w:t>
            </w:r>
            <w:proofErr w:type="spellStart"/>
            <w:r>
              <w:t>Ansible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…)</w:t>
            </w:r>
          </w:p>
          <w:p w:rsidR="00EF7702" w:rsidRDefault="00EF7702" w14:paraId="36D3049A" w14:textId="77777777">
            <w:pPr>
              <w:widowControl w:val="0"/>
              <w:spacing w:line="240" w:lineRule="auto"/>
            </w:pPr>
          </w:p>
          <w:p w:rsidR="00EF7702" w:rsidRDefault="006137AF" w14:paraId="58644F0D" w14:textId="77777777">
            <w:pPr>
              <w:widowControl w:val="0"/>
              <w:spacing w:line="240" w:lineRule="auto"/>
            </w:pPr>
            <w:r>
              <w:t>Route53 DNS Records</w:t>
            </w:r>
          </w:p>
        </w:tc>
      </w:tr>
      <w:tr w:rsidR="00EF7702" w14:paraId="35DAC17A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A0A5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Dev/Test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8ACD9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TBD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2A2DB0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Development, Test environments for Applications (</w:t>
            </w:r>
            <w:proofErr w:type="spellStart"/>
            <w:r>
              <w:t>OpenShift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</w:tr>
      <w:tr w:rsidR="00EF7702" w14:paraId="37EEBCF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243D3E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EF7702" w14:paraId="5C8A5B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2D67261" w14:textId="0EED8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Production Apps</w:t>
            </w:r>
            <w:r w:rsidR="00423649">
              <w:t xml:space="preserve"> and Data</w:t>
            </w:r>
            <w:r>
              <w:t xml:space="preserve"> account</w:t>
            </w:r>
          </w:p>
        </w:tc>
      </w:tr>
      <w:tr w:rsidR="00EF7702" w14:paraId="5A37E7B1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5CD445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8830FD" w14:paraId="56846715" w14:textId="77777777">
            <w:pPr>
              <w:widowControl w:val="0"/>
              <w:spacing w:line="240" w:lineRule="auto"/>
            </w:pPr>
            <w:r>
              <w:t>Not provisioned/required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307381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ops team/support including monitoring, VPC peering to other accounts for access via VPN/Bastion hosts etc.</w:t>
            </w:r>
          </w:p>
        </w:tc>
      </w:tr>
    </w:tbl>
    <w:p w:rsidR="00EF7702" w:rsidRDefault="00EF7702" w14:paraId="2DC04FA3" w14:textId="77777777"/>
    <w:p w:rsidR="008830FD" w:rsidP="00CD7005" w:rsidRDefault="008830FD" w14:paraId="45BBEDFE" w14:textId="77777777">
      <w:pPr>
        <w:pStyle w:val="Heading3"/>
      </w:pPr>
      <w:r w:rsidRPr="008830FD">
        <w:t>Teem Ops AWS Accounts</w:t>
      </w:r>
    </w:p>
    <w:p w:rsidRPr="008830FD" w:rsidR="008830FD" w:rsidRDefault="008830FD" w14:paraId="55A5F194" w14:textId="7279A4EC">
      <w:r>
        <w:t xml:space="preserve">The </w:t>
      </w:r>
      <w:r w:rsidR="00CD7005">
        <w:t xml:space="preserve">existing </w:t>
      </w:r>
      <w:r>
        <w:t>Teem Ops AWS Accounts are used by Teem Ops for the purposes of secure, 3</w:t>
      </w:r>
      <w:r w:rsidRPr="008830FD">
        <w:rPr>
          <w:vertAlign w:val="superscript"/>
        </w:rPr>
        <w:t>rd</w:t>
      </w:r>
      <w:r>
        <w:t xml:space="preserve"> party access for support, provisioning and operations management. </w:t>
      </w:r>
    </w:p>
    <w:tbl>
      <w:tblPr>
        <w:tblStyle w:val="a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715"/>
        <w:gridCol w:w="4260"/>
      </w:tblGrid>
      <w:tr w:rsidR="008830FD" w:rsidTr="000C3391" w14:paraId="7338A807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5A319F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3CBF9D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Account ID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1DFFA3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8830FD" w:rsidTr="000C3391" w14:paraId="313E24F9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5F92FA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Teem Ops Launch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24AA41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32B051C8" w14:textId="77777777">
            <w:pPr>
              <w:widowControl w:val="0"/>
              <w:spacing w:line="240" w:lineRule="auto"/>
            </w:pPr>
            <w:r>
              <w:t xml:space="preserve">IAM </w:t>
            </w:r>
            <w:r>
              <w:t>Authentication for cross account provisioning of apps, servers and databases.</w:t>
            </w:r>
          </w:p>
        </w:tc>
      </w:tr>
      <w:tr w:rsidR="008830FD" w:rsidTr="000C3391" w14:paraId="4CA86DC2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381D2A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Teem Ops </w:t>
            </w:r>
            <w:r>
              <w:lastRenderedPageBreak/>
              <w:t>Support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51F7BD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2825C94E" w14:textId="77777777">
            <w:pPr>
              <w:widowControl w:val="0"/>
              <w:spacing w:line="240" w:lineRule="auto"/>
            </w:pPr>
            <w:r>
              <w:t xml:space="preserve">Teem Ops support and operations </w:t>
            </w:r>
            <w:r>
              <w:lastRenderedPageBreak/>
              <w:t xml:space="preserve">functions including maintenance, troubleshooting and VPN. </w:t>
            </w:r>
          </w:p>
        </w:tc>
      </w:tr>
      <w:tr w:rsidR="008830FD" w:rsidTr="000C3391" w14:paraId="2F77F6BC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74877C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Teem Ops Billing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0CC7B4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0FD" w:rsidP="000C3391" w:rsidRDefault="008830FD" w14:paraId="6476751E" w14:textId="77777777">
            <w:pPr>
              <w:widowControl w:val="0"/>
              <w:spacing w:line="240" w:lineRule="auto"/>
            </w:pPr>
            <w:r>
              <w:t>Parent Billing Account for all “Managed/Billing” Customers only.</w:t>
            </w:r>
          </w:p>
        </w:tc>
      </w:tr>
    </w:tbl>
    <w:p w:rsidR="00EF7702" w:rsidP="00CD7005" w:rsidRDefault="006137AF" w14:paraId="28416749" w14:textId="77777777">
      <w:pPr>
        <w:pStyle w:val="Heading3"/>
      </w:pPr>
      <w:bookmarkStart w:name="_lpavi7874ejz" w:colFirst="0" w:colLast="0" w:id="2"/>
      <w:bookmarkEnd w:id="2"/>
      <w:r>
        <w:t>DNS</w:t>
      </w:r>
    </w:p>
    <w:p w:rsidR="00EF7702" w:rsidRDefault="006137AF" w14:paraId="70241EF4" w14:textId="77777777">
      <w:r>
        <w:t>Public Route53 hosted zones will be in the Root AWS account.</w:t>
      </w:r>
    </w:p>
    <w:p w:rsidR="00EF7702" w:rsidRDefault="006137AF" w14:paraId="34C462C3" w14:textId="77777777">
      <w:r>
        <w:t>Private Hosted zones will be in the Ops AWS Account</w:t>
      </w:r>
    </w:p>
    <w:p w:rsidR="00EF7702" w:rsidRDefault="00EF7702" w14:paraId="6D0DB0DF" w14:textId="77777777"/>
    <w:p w:rsidR="00EF7702" w:rsidRDefault="006137AF" w14:paraId="414759A4" w14:textId="77777777">
      <w:r>
        <w:t>The Zones required are as follows:</w:t>
      </w:r>
    </w:p>
    <w:p w:rsidR="00EF7702" w:rsidRDefault="00EF7702" w14:paraId="6946C184" w14:textId="77777777"/>
    <w:tbl>
      <w:tblPr>
        <w:tblStyle w:val="a0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F7702" w14:paraId="46A7FCA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5A7AD6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35743B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Used for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70FD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Public/Private</w:t>
            </w:r>
          </w:p>
        </w:tc>
      </w:tr>
      <w:tr w:rsidR="00EF7702" w14:paraId="68A635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8830FD" w14:paraId="359363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&lt;customer&gt;.com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7250F2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endpoints</w:t>
            </w:r>
          </w:p>
          <w:p w:rsidR="00EF7702" w:rsidRDefault="006137AF" w14:paraId="26810A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endpoints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3F6D8C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(Root AWS Account)</w:t>
            </w:r>
          </w:p>
        </w:tc>
      </w:tr>
      <w:tr w:rsidR="00EF7702" w14:paraId="562C20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8830FD" w14:paraId="4B546D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&lt;customer&gt;</w:t>
            </w:r>
            <w:r w:rsidR="006137AF">
              <w:t>.internal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0FF5E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Private DNS entries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5FC651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Private (Ops AWS Account)</w:t>
            </w:r>
          </w:p>
        </w:tc>
      </w:tr>
    </w:tbl>
    <w:p w:rsidR="00EF7702" w:rsidRDefault="00EF7702" w14:paraId="75D73C2F" w14:textId="77777777"/>
    <w:p w:rsidR="00EF7702" w:rsidP="00CD7005" w:rsidRDefault="006137AF" w14:paraId="5D2CDB9F" w14:textId="77777777">
      <w:pPr>
        <w:pStyle w:val="Heading3"/>
      </w:pPr>
      <w:bookmarkStart w:name="_3w823c32cdwl" w:colFirst="0" w:colLast="0" w:id="3"/>
      <w:bookmarkEnd w:id="3"/>
      <w:r>
        <w:t>IAM Roles and Users</w:t>
      </w:r>
    </w:p>
    <w:p w:rsidR="00EF7702" w:rsidRDefault="006137AF" w14:paraId="1CF2490B" w14:textId="77777777">
      <w:r>
        <w:t>IAM Roles and users will be setup to allow access via cross account IAM / Assume Role.</w:t>
      </w:r>
    </w:p>
    <w:p w:rsidR="00EF7702" w:rsidRDefault="00EF7702" w14:paraId="15E8DC27" w14:textId="77777777"/>
    <w:p w:rsidR="00EF7702" w:rsidRDefault="006137AF" w14:paraId="21527DA4" w14:textId="77777777">
      <w:pPr>
        <w:rPr>
          <w:b/>
          <w:i/>
        </w:rPr>
      </w:pPr>
      <w:r>
        <w:rPr>
          <w:b/>
          <w:i/>
        </w:rPr>
        <w:t>Roles</w:t>
      </w:r>
    </w:p>
    <w:p w:rsidR="00EF7702" w:rsidRDefault="006137AF" w14:paraId="74AABC44" w14:textId="77777777">
      <w:r>
        <w:t>These roles will be setup in the Dev/Test, Prod and Ops AWS Accounts.</w:t>
      </w:r>
    </w:p>
    <w:p w:rsidR="00EF7702" w:rsidRDefault="006137AF" w14:paraId="550565AD" w14:textId="77777777">
      <w:pPr>
        <w:numPr>
          <w:ilvl w:val="0"/>
          <w:numId w:val="3"/>
        </w:numPr>
        <w:contextualSpacing/>
        <w:rPr/>
      </w:pPr>
      <w:proofErr w:type="spellStart"/>
      <w:r w:rsidR="32C9028A">
        <w:rPr/>
        <w:t>OrganizationAccountAccessRole</w:t>
      </w:r>
      <w:proofErr w:type="spellEnd"/>
      <w:r w:rsidR="32C9028A">
        <w:rPr/>
        <w:t>: Default role</w:t>
      </w:r>
    </w:p>
    <w:p w:rsidR="00EF7702" w:rsidRDefault="006137AF" w14:paraId="4B1A8A1E" w14:textId="6D69313F">
      <w:pPr>
        <w:numPr>
          <w:ilvl w:val="0"/>
          <w:numId w:val="3"/>
        </w:numPr>
        <w:contextualSpacing/>
      </w:pPr>
      <w:proofErr w:type="spellStart"/>
      <w:r>
        <w:t>CloudOps</w:t>
      </w:r>
      <w:r>
        <w:t>Role</w:t>
      </w:r>
      <w:proofErr w:type="spellEnd"/>
      <w:r>
        <w:t>: Used by cloud engineers for automation only.</w:t>
      </w:r>
      <w:r w:rsidR="00384725">
        <w:t xml:space="preserve"> – existing cloud formation template provided by Teem Cloud Services</w:t>
      </w:r>
    </w:p>
    <w:p w:rsidR="008830FD" w:rsidRDefault="00C238B0" w14:paraId="54318CCB" w14:textId="51F3F229">
      <w:pPr>
        <w:numPr>
          <w:ilvl w:val="0"/>
          <w:numId w:val="3"/>
        </w:numPr>
        <w:contextualSpacing/>
      </w:pPr>
      <w:proofErr w:type="spellStart"/>
      <w:r>
        <w:t>TeemOps</w:t>
      </w:r>
      <w:r w:rsidR="008830FD">
        <w:t>Role</w:t>
      </w:r>
      <w:proofErr w:type="spellEnd"/>
      <w:r w:rsidR="008830FD">
        <w:t>: Used only by Teem Ops App</w:t>
      </w:r>
      <w:r w:rsidR="00384725">
        <w:t xml:space="preserve"> – existing cloud formation template provided by Teem Ops</w:t>
      </w:r>
    </w:p>
    <w:p w:rsidR="000D5BD4" w:rsidRDefault="000D5BD4" w14:paraId="00FB4755" w14:textId="42EC4AA4">
      <w:pPr>
        <w:numPr>
          <w:ilvl w:val="0"/>
          <w:numId w:val="3"/>
        </w:numPr>
        <w:contextualSpacing/>
      </w:pPr>
      <w:proofErr w:type="spellStart"/>
      <w:r>
        <w:t>ReadOnlyOpsRole</w:t>
      </w:r>
      <w:proofErr w:type="spellEnd"/>
      <w:r>
        <w:t xml:space="preserve">: Used by </w:t>
      </w:r>
      <w:proofErr w:type="spellStart"/>
      <w:r>
        <w:t>Cyberfense</w:t>
      </w:r>
      <w:proofErr w:type="spellEnd"/>
      <w:r>
        <w:t xml:space="preserve"> and Teem for only</w:t>
      </w:r>
    </w:p>
    <w:p w:rsidR="00EF7702" w:rsidRDefault="00EF7702" w14:paraId="0BF3372B" w14:textId="77777777"/>
    <w:p w:rsidR="00384725" w:rsidRDefault="00384725" w14:paraId="10A83B82" w14:textId="77777777"/>
    <w:p w:rsidR="00EF7702" w:rsidRDefault="008830FD" w14:paraId="0C9823EC" w14:textId="20FF989C">
      <w:r>
        <w:t xml:space="preserve">Teem Ops </w:t>
      </w:r>
      <w:r w:rsidR="006137AF">
        <w:t xml:space="preserve">Role </w:t>
      </w:r>
      <w:r w:rsidR="006137AF">
        <w:t>will require following rules.</w:t>
      </w:r>
    </w:p>
    <w:p w:rsidR="00EF7702" w:rsidRDefault="006137AF" w14:paraId="43A6CA29" w14:textId="77777777">
      <w:pPr>
        <w:numPr>
          <w:ilvl w:val="0"/>
          <w:numId w:val="2"/>
        </w:numPr>
        <w:contextualSpacing/>
      </w:pPr>
      <w:r>
        <w:t xml:space="preserve">STS session token identifier must exist. (reduces risk of Account Takeover by compromised root account </w:t>
      </w:r>
      <w:r w:rsidR="008830FD">
        <w:t>Teem</w:t>
      </w:r>
      <w:r>
        <w:t xml:space="preserve"> Ops Users credentials).</w:t>
      </w:r>
    </w:p>
    <w:p w:rsidR="00384725" w:rsidRDefault="00384725" w14:paraId="088E5CDC" w14:textId="588D22A3">
      <w:pPr>
        <w:numPr>
          <w:ilvl w:val="0"/>
          <w:numId w:val="2"/>
        </w:numPr>
        <w:contextualSpacing/>
      </w:pPr>
      <w:r>
        <w:t xml:space="preserve">Only allow access from Trusted Teem Ops Launch account </w:t>
      </w:r>
    </w:p>
    <w:p w:rsidR="00EF7702" w:rsidRDefault="00EF7702" w14:paraId="70A64DED" w14:textId="77777777"/>
    <w:p w:rsidR="00EF7702" w:rsidRDefault="006137AF" w14:paraId="37085E6E" w14:textId="77777777">
      <w:pPr>
        <w:rPr>
          <w:b/>
          <w:i/>
        </w:rPr>
      </w:pPr>
      <w:r>
        <w:rPr>
          <w:b/>
          <w:i/>
        </w:rPr>
        <w:t>Groups</w:t>
      </w:r>
    </w:p>
    <w:p w:rsidR="00EF7702" w:rsidRDefault="006137AF" w14:paraId="571B7A00" w14:textId="77777777">
      <w:r>
        <w:t>The following group will be setup in root:</w:t>
      </w:r>
    </w:p>
    <w:p w:rsidR="00EF7702" w:rsidRDefault="006137AF" w14:paraId="54243C3F" w14:textId="77777777">
      <w:pPr>
        <w:numPr>
          <w:ilvl w:val="0"/>
          <w:numId w:val="4"/>
        </w:numPr>
        <w:contextualSpacing/>
      </w:pPr>
      <w:proofErr w:type="spellStart"/>
      <w:r>
        <w:t>CloudOps</w:t>
      </w:r>
      <w:proofErr w:type="spellEnd"/>
    </w:p>
    <w:p w:rsidR="008830FD" w:rsidRDefault="008830FD" w14:paraId="0D282C75" w14:textId="77777777"/>
    <w:p w:rsidR="00EF7702" w:rsidRDefault="006137AF" w14:paraId="593E49BD" w14:textId="77777777">
      <w:r>
        <w:t>This group will have only “</w:t>
      </w:r>
      <w:proofErr w:type="spellStart"/>
      <w:r>
        <w:t>STSAssumeRolePolicy</w:t>
      </w:r>
      <w:proofErr w:type="spellEnd"/>
      <w:r>
        <w:t>” so they can acc</w:t>
      </w:r>
      <w:r>
        <w:t>ess sub accounts via IAM Cross Account Role access.</w:t>
      </w:r>
    </w:p>
    <w:p w:rsidR="00EF7702" w:rsidRDefault="00EF7702" w14:paraId="459FAB35" w14:textId="77777777"/>
    <w:p w:rsidR="00EF7702" w:rsidRDefault="006137AF" w14:paraId="1977D80A" w14:textId="77777777">
      <w:pPr>
        <w:rPr>
          <w:b/>
          <w:i/>
        </w:rPr>
      </w:pPr>
      <w:r>
        <w:rPr>
          <w:b/>
          <w:i/>
        </w:rPr>
        <w:t>Users</w:t>
      </w:r>
    </w:p>
    <w:p w:rsidR="00EF7702" w:rsidRDefault="006137AF" w14:paraId="25A7AB8F" w14:textId="77777777">
      <w:r>
        <w:lastRenderedPageBreak/>
        <w:t>For each team member involved in the migration they will be setup as a user in the Root</w:t>
      </w:r>
      <w:r w:rsidR="008830FD">
        <w:t>/IAM</w:t>
      </w:r>
      <w:r>
        <w:t xml:space="preserve"> Account and added to the </w:t>
      </w:r>
      <w:proofErr w:type="spellStart"/>
      <w:r>
        <w:t>CloudOps</w:t>
      </w:r>
      <w:proofErr w:type="spellEnd"/>
      <w:r>
        <w:t xml:space="preserve"> group. </w:t>
      </w:r>
    </w:p>
    <w:p w:rsidR="00EF7702" w:rsidRDefault="00EF7702" w14:paraId="2C6D6212" w14:textId="77777777"/>
    <w:p w:rsidR="00EF7702" w:rsidRDefault="006137AF" w14:paraId="7B580D33" w14:textId="77777777">
      <w:r>
        <w:t>They will then have access to sub accounts which they can access b</w:t>
      </w:r>
      <w:r>
        <w:t>y assuming the above “</w:t>
      </w:r>
      <w:proofErr w:type="spellStart"/>
      <w:r>
        <w:t>CloudOpsRole</w:t>
      </w:r>
      <w:proofErr w:type="spellEnd"/>
      <w:r>
        <w:t>”.</w:t>
      </w:r>
    </w:p>
    <w:p w:rsidR="00EF7702" w:rsidRDefault="00EF7702" w14:paraId="7BFF545C" w14:textId="77777777"/>
    <w:p w:rsidR="00EF7702" w:rsidRDefault="006137AF" w14:paraId="0D5450ED" w14:textId="18537D9B">
      <w:r>
        <w:t xml:space="preserve">MFA is to be </w:t>
      </w:r>
      <w:r w:rsidR="001721CE">
        <w:t>enforced</w:t>
      </w:r>
      <w:r>
        <w:t xml:space="preserve"> for all users.</w:t>
      </w:r>
    </w:p>
    <w:p w:rsidR="00A96096" w:rsidRDefault="00A96096" w14:paraId="1E3B838A" w14:textId="77777777"/>
    <w:p w:rsidR="00A96096" w:rsidRDefault="00A96096" w14:paraId="6C320246" w14:textId="558E19A9">
      <w:r>
        <w:t xml:space="preserve">Password rotation is for 90 </w:t>
      </w:r>
      <w:proofErr w:type="gramStart"/>
      <w:r>
        <w:t>days</w:t>
      </w:r>
      <w:proofErr w:type="gramEnd"/>
      <w:r>
        <w:t xml:space="preserve"> standard. Exceptions granted if required.</w:t>
      </w:r>
    </w:p>
    <w:p w:rsidR="00B009A1" w:rsidP="00CD7005" w:rsidRDefault="00B009A1" w14:paraId="20759A26" w14:textId="5AA77746">
      <w:pPr>
        <w:pStyle w:val="Heading3"/>
      </w:pPr>
      <w:bookmarkStart w:name="_oxtwronw8n0s" w:colFirst="0" w:colLast="0" w:id="5"/>
      <w:bookmarkEnd w:id="5"/>
      <w:r>
        <w:t>KMS Keys</w:t>
      </w:r>
    </w:p>
    <w:p w:rsidR="00B009A1" w:rsidP="00B009A1" w:rsidRDefault="00601F00" w14:paraId="21B8A2FC" w14:textId="01230F9E">
      <w:r>
        <w:t xml:space="preserve"> </w:t>
      </w:r>
      <w:r w:rsidR="00B009A1">
        <w:t>(For Enterprise Support customers a separate KMS AWS Account will be setup for key management).</w:t>
      </w:r>
    </w:p>
    <w:p w:rsidRPr="00B009A1" w:rsidR="00601F00" w:rsidP="00B009A1" w:rsidRDefault="00601F00" w14:paraId="391ADE24" w14:textId="08661855">
      <w:r>
        <w:t>KMS keys are setup to provide encryption of EBS/Root volumes and any other service, RDS Snapshots for example that can be encrypted at rest.</w:t>
      </w:r>
    </w:p>
    <w:p w:rsidR="00EF7702" w:rsidP="00CD7005" w:rsidRDefault="006137AF" w14:paraId="76B13F2E" w14:textId="77777777">
      <w:pPr>
        <w:pStyle w:val="Heading3"/>
      </w:pPr>
      <w:r>
        <w:t>EC2 Resources</w:t>
      </w:r>
    </w:p>
    <w:p w:rsidR="00EF7702" w:rsidRDefault="006137AF" w14:paraId="08D1B290" w14:textId="77777777">
      <w:r>
        <w:t>These resources will need to be created prior to migration.</w:t>
      </w:r>
    </w:p>
    <w:p w:rsidR="00EF7702" w:rsidP="00CD7005" w:rsidRDefault="006137AF" w14:paraId="185A2281" w14:textId="7353C662">
      <w:pPr>
        <w:numPr>
          <w:ilvl w:val="0"/>
          <w:numId w:val="5"/>
        </w:numPr>
        <w:contextualSpacing/>
      </w:pPr>
      <w:r>
        <w:t xml:space="preserve">EC2 </w:t>
      </w:r>
      <w:proofErr w:type="spellStart"/>
      <w:r>
        <w:t>Keypairs</w:t>
      </w:r>
      <w:proofErr w:type="spellEnd"/>
      <w:r>
        <w:t xml:space="preserve"> created</w:t>
      </w:r>
      <w:r w:rsidR="00CD7005">
        <w:t xml:space="preserve"> – stored and managed by Secrets management tooling (in Teem Ops).</w:t>
      </w:r>
    </w:p>
    <w:p w:rsidR="00EF7702" w:rsidRDefault="006137AF" w14:paraId="54EA7D50" w14:textId="77777777">
      <w:pPr>
        <w:pStyle w:val="Heading1"/>
      </w:pPr>
      <w:bookmarkStart w:name="_ynyp7vddrz1m" w:colFirst="0" w:colLast="0" w:id="6"/>
      <w:bookmarkEnd w:id="6"/>
      <w:r>
        <w:t>Approach</w:t>
      </w:r>
    </w:p>
    <w:p w:rsidR="00EF7702" w:rsidRDefault="006137AF" w14:paraId="42D646B8" w14:textId="6FEE9449">
      <w:proofErr w:type="spellStart"/>
      <w:r>
        <w:t>Ansible</w:t>
      </w:r>
      <w:proofErr w:type="spellEnd"/>
      <w:r>
        <w:t xml:space="preserve"> will be used to automate the new infrastructure in the </w:t>
      </w:r>
      <w:r>
        <w:t>AWS accoun</w:t>
      </w:r>
      <w:r>
        <w:t>ts.</w:t>
      </w:r>
    </w:p>
    <w:p w:rsidR="00EF7702" w:rsidRDefault="00EF7702" w14:paraId="31CE7591" w14:textId="77777777"/>
    <w:p w:rsidR="00EF7702" w:rsidRDefault="006137AF" w14:paraId="5880F9DD" w14:textId="071056BF">
      <w:r>
        <w:t xml:space="preserve">Based on the review, the preference for </w:t>
      </w:r>
      <w:r>
        <w:t xml:space="preserve">the Migration is to use these </w:t>
      </w:r>
      <w:proofErr w:type="spellStart"/>
      <w:r>
        <w:t>Ansible</w:t>
      </w:r>
      <w:proofErr w:type="spellEnd"/>
      <w:r>
        <w:t xml:space="preserve"> scripts so that </w:t>
      </w:r>
      <w:r w:rsidR="00CD7005">
        <w:t>the customer</w:t>
      </w:r>
      <w:r>
        <w:t xml:space="preserve"> can also spin up additional AWS environments in separate accounts for </w:t>
      </w:r>
      <w:proofErr w:type="spellStart"/>
      <w:r>
        <w:t>dev</w:t>
      </w:r>
      <w:proofErr w:type="spellEnd"/>
      <w:r>
        <w:t xml:space="preserve"> or test in the future.</w:t>
      </w:r>
    </w:p>
    <w:p w:rsidR="00EF7702" w:rsidRDefault="00EF7702" w14:paraId="66FE8A58" w14:textId="77777777"/>
    <w:p w:rsidR="00EF7702" w:rsidRDefault="006137AF" w14:paraId="4E0E43DC" w14:textId="77777777">
      <w:pPr>
        <w:rPr>
          <w:b/>
        </w:rPr>
      </w:pPr>
      <w:r>
        <w:rPr>
          <w:b/>
        </w:rPr>
        <w:t>Manual steps</w:t>
      </w:r>
    </w:p>
    <w:p w:rsidR="00EF7702" w:rsidRDefault="006137AF" w14:paraId="144E2C5C" w14:textId="77777777">
      <w:r>
        <w:t xml:space="preserve">In addition to using </w:t>
      </w:r>
      <w:proofErr w:type="spellStart"/>
      <w:r>
        <w:t>Ansible</w:t>
      </w:r>
      <w:proofErr w:type="spellEnd"/>
      <w:r>
        <w:t xml:space="preserve"> some manual steps are required which are not part of th</w:t>
      </w:r>
      <w:r>
        <w:t xml:space="preserve">e </w:t>
      </w:r>
      <w:proofErr w:type="spellStart"/>
      <w:r>
        <w:t>Ansible</w:t>
      </w:r>
      <w:proofErr w:type="spellEnd"/>
      <w:r>
        <w:t xml:space="preserve"> code. </w:t>
      </w:r>
    </w:p>
    <w:p w:rsidR="00EF7702" w:rsidRDefault="00EF7702" w14:paraId="16088C4F" w14:textId="77777777"/>
    <w:p w:rsidR="00EF7702" w:rsidRDefault="006137AF" w14:paraId="60FB5FBB" w14:textId="77777777">
      <w:r>
        <w:t>This includes:</w:t>
      </w:r>
    </w:p>
    <w:p w:rsidR="00EF7702" w:rsidRDefault="006137AF" w14:paraId="26946925" w14:textId="724028E5">
      <w:pPr>
        <w:numPr>
          <w:ilvl w:val="0"/>
          <w:numId w:val="6"/>
        </w:numPr>
        <w:contextualSpacing/>
      </w:pPr>
      <w:r>
        <w:t xml:space="preserve">OS/App Configuration for </w:t>
      </w:r>
      <w:r w:rsidR="00CD7005">
        <w:t>any VPN tooling</w:t>
      </w:r>
    </w:p>
    <w:p w:rsidR="00CD7005" w:rsidRDefault="00CD7005" w14:paraId="61C2338A" w14:textId="226DCB62">
      <w:pPr>
        <w:numPr>
          <w:ilvl w:val="0"/>
          <w:numId w:val="6"/>
        </w:numPr>
        <w:contextualSpacing/>
      </w:pPr>
      <w:r>
        <w:t>VPC Connectivity to other VPCs or VPNs</w:t>
      </w:r>
    </w:p>
    <w:p w:rsidR="00EF7702" w:rsidRDefault="006137AF" w14:paraId="26926C9C" w14:textId="77777777">
      <w:pPr>
        <w:numPr>
          <w:ilvl w:val="0"/>
          <w:numId w:val="6"/>
        </w:numPr>
        <w:contextualSpacing/>
      </w:pPr>
      <w:r>
        <w:t>EC2 key pair management</w:t>
      </w:r>
    </w:p>
    <w:p w:rsidR="00EF7702" w:rsidRDefault="006137AF" w14:paraId="5A5D710A" w14:textId="77777777">
      <w:pPr>
        <w:numPr>
          <w:ilvl w:val="0"/>
          <w:numId w:val="6"/>
        </w:numPr>
        <w:contextualSpacing/>
      </w:pPr>
      <w:r>
        <w:t xml:space="preserve">Any additional infrastructure that is not part of the </w:t>
      </w:r>
      <w:proofErr w:type="spellStart"/>
      <w:r>
        <w:t>Ansible</w:t>
      </w:r>
      <w:proofErr w:type="spellEnd"/>
      <w:r>
        <w:t xml:space="preserve"> playbooks.</w:t>
      </w:r>
    </w:p>
    <w:p w:rsidR="00EF7702" w:rsidRDefault="006137AF" w14:paraId="4DC67AB4" w14:textId="77777777">
      <w:pPr>
        <w:pStyle w:val="Heading2"/>
      </w:pPr>
      <w:bookmarkStart w:name="_exuao1duivmj" w:colFirst="0" w:colLast="0" w:id="7"/>
      <w:bookmarkEnd w:id="7"/>
      <w:r>
        <w:t>VPCs</w:t>
      </w:r>
    </w:p>
    <w:p w:rsidR="00EF7702" w:rsidRDefault="006137AF" w14:paraId="525E1EB6" w14:textId="77777777">
      <w:r>
        <w:t xml:space="preserve">The VPCs will be set up as part of </w:t>
      </w:r>
      <w:proofErr w:type="spellStart"/>
      <w:r>
        <w:t>Ansible</w:t>
      </w:r>
      <w:proofErr w:type="spellEnd"/>
      <w:r>
        <w:t>. These are outlined as follows:</w:t>
      </w:r>
    </w:p>
    <w:p w:rsidR="00EF7702" w:rsidRDefault="00EF7702" w14:paraId="7FCD055A" w14:textId="77777777"/>
    <w:tbl>
      <w:tblPr>
        <w:tblStyle w:val="a1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555"/>
        <w:gridCol w:w="3029"/>
      </w:tblGrid>
      <w:tr w:rsidR="00EF7702" w14:paraId="4CC4B76B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77535A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VPC Name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53CBCC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</w:t>
            </w:r>
            <w:r>
              <w:rPr>
                <w:b/>
              </w:rPr>
              <w:t>cription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C67FF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CIDR</w:t>
            </w:r>
          </w:p>
        </w:tc>
      </w:tr>
      <w:tr w:rsidR="00EF7702" w14:paraId="03D7D058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31BD57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Ops (Ops Account)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7E0AA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Monitoring, Bastion, VPN servers.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11083B4E" w14:textId="58227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  <w:r w:rsidR="001C6DA6">
              <w:t>X</w:t>
            </w:r>
            <w:r>
              <w:t>.0.0/16</w:t>
            </w:r>
          </w:p>
        </w:tc>
      </w:tr>
      <w:tr w:rsidR="00EF7702" w14:paraId="009D5756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9606B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 (Prod Account)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5308FBCB" w14:textId="6F6F7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for prod </w:t>
            </w:r>
            <w:r>
              <w:t>servers, RDS/Data, S3 Buckets, ELBS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1AB082F9" w14:textId="22E63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1C6DA6">
              <w:t>0.X</w:t>
            </w:r>
            <w:r>
              <w:t>.0.0/16</w:t>
            </w:r>
          </w:p>
        </w:tc>
      </w:tr>
      <w:tr w:rsidR="00EF7702" w14:paraId="4AB57618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2F2C3FA8" w14:textId="1E18B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(</w:t>
            </w:r>
            <w:r w:rsidR="001C6DA6">
              <w:t>Dev</w:t>
            </w:r>
            <w:r>
              <w:t xml:space="preserve"> Account)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4F92D976" w14:textId="224F61E6">
            <w:pPr>
              <w:widowControl w:val="0"/>
              <w:spacing w:line="240" w:lineRule="auto"/>
            </w:pPr>
            <w:r>
              <w:t xml:space="preserve">Used for Test </w:t>
            </w:r>
            <w:r>
              <w:t>servers, RDS/Data, S3 Buckets, ELBS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4FAD6982" w14:textId="09A4B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  <w:r w:rsidR="001C6DA6">
              <w:t>X</w:t>
            </w:r>
            <w:r>
              <w:t>.0.0/16</w:t>
            </w:r>
          </w:p>
        </w:tc>
      </w:tr>
      <w:tr w:rsidR="00EF7702" w14:paraId="25ED3706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2E8056B4" w14:textId="56F0D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(</w:t>
            </w:r>
            <w:r w:rsidR="001C6DA6">
              <w:t>Dev</w:t>
            </w:r>
            <w:r>
              <w:t xml:space="preserve"> Account)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0C8B0505" w14:textId="5A6B68A1">
            <w:pPr>
              <w:widowControl w:val="0"/>
              <w:spacing w:line="240" w:lineRule="auto"/>
            </w:pPr>
            <w:r>
              <w:t xml:space="preserve">Used for Dev </w:t>
            </w:r>
            <w:r>
              <w:t>servers, RDS/Data, S3 Buckets, ELBS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1C6DA6" w:rsidRDefault="006137AF" w14:paraId="4C4C4B2F" w14:textId="510FFFB5">
            <w:pPr>
              <w:widowControl w:val="0"/>
              <w:spacing w:line="240" w:lineRule="auto"/>
            </w:pPr>
            <w:r>
              <w:t>10.</w:t>
            </w:r>
            <w:r w:rsidR="001C6DA6">
              <w:t>X</w:t>
            </w:r>
            <w:r>
              <w:t>.0.0/16</w:t>
            </w:r>
          </w:p>
        </w:tc>
      </w:tr>
    </w:tbl>
    <w:p w:rsidR="00EF7702" w:rsidRDefault="00EF7702" w14:paraId="186498B4" w14:textId="77777777"/>
    <w:p w:rsidR="00EF7702" w:rsidRDefault="006137AF" w14:paraId="6642FBB8" w14:textId="77777777">
      <w:pPr>
        <w:rPr>
          <w:b/>
        </w:rPr>
      </w:pPr>
      <w:r>
        <w:rPr>
          <w:b/>
        </w:rPr>
        <w:t>Route53 Private Hosted Zone Configuration</w:t>
      </w:r>
    </w:p>
    <w:p w:rsidR="00EF7702" w:rsidRDefault="00EF7702" w14:paraId="32BFA2E1" w14:textId="77777777"/>
    <w:p w:rsidR="00EF7702" w:rsidRDefault="006137AF" w14:paraId="7CD84DD4" w14:textId="77777777">
      <w:r>
        <w:t>The Ops VPC requires the following to be configured as part of the build:</w:t>
      </w:r>
    </w:p>
    <w:p w:rsidR="00EF7702" w:rsidRDefault="006137AF" w14:paraId="112EB1C8" w14:textId="77777777">
      <w:pPr>
        <w:numPr>
          <w:ilvl w:val="0"/>
          <w:numId w:val="1"/>
        </w:numPr>
        <w:contextualSpacing/>
      </w:pPr>
      <w:proofErr w:type="spellStart"/>
      <w:r>
        <w:t>enableDnsHostnames</w:t>
      </w:r>
      <w:proofErr w:type="spellEnd"/>
    </w:p>
    <w:p w:rsidR="00EF7702" w:rsidRDefault="006137AF" w14:paraId="4767118F" w14:textId="77777777">
      <w:pPr>
        <w:numPr>
          <w:ilvl w:val="0"/>
          <w:numId w:val="1"/>
        </w:numPr>
        <w:contextualSpacing/>
      </w:pPr>
      <w:proofErr w:type="spellStart"/>
      <w:r>
        <w:t>enableDnsSupport</w:t>
      </w:r>
      <w:proofErr w:type="spellEnd"/>
    </w:p>
    <w:p w:rsidR="00EF7702" w:rsidRDefault="00EF7702" w14:paraId="581974DD" w14:textId="77777777"/>
    <w:p w:rsidR="00EF7702" w:rsidRDefault="006137AF" w14:paraId="63A51AEC" w14:textId="77777777">
      <w:r>
        <w:t>Configured via the API or in Console:</w:t>
      </w:r>
    </w:p>
    <w:p w:rsidR="00EF7702" w:rsidRDefault="006137AF" w14:paraId="5006CB5E" w14:textId="77777777">
      <w:r>
        <w:rPr>
          <w:noProof/>
        </w:rPr>
        <w:drawing>
          <wp:inline distT="114300" distB="114300" distL="114300" distR="114300" wp14:anchorId="723B8B2C" wp14:editId="71571310">
            <wp:extent cx="1619250" cy="390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702" w:rsidP="00423649" w:rsidRDefault="006137AF" w14:paraId="153A5021" w14:textId="33E48627">
      <w:pPr>
        <w:pStyle w:val="Heading1"/>
      </w:pPr>
      <w:bookmarkStart w:name="_7dejijaztulx" w:colFirst="0" w:colLast="0" w:id="8"/>
      <w:bookmarkEnd w:id="8"/>
      <w:r>
        <w:t>Ops Servers</w:t>
      </w:r>
    </w:p>
    <w:tbl>
      <w:tblPr>
        <w:tblStyle w:val="a2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9"/>
      </w:tblGrid>
      <w:tr w:rsidR="00EF7702" w14:paraId="0E1348C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7920C4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erver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792E8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9EE17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F7702" w:rsidTr="00410820" w14:paraId="4CBB47B4" w14:textId="77777777">
        <w:trPr>
          <w:trHeight w:val="704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173F79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OpenVPN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P="00F21FC5" w:rsidRDefault="006137AF" w14:paraId="7925E1DE" w14:textId="70C6B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Connectivity from </w:t>
            </w:r>
            <w:r w:rsidR="00F21FC5">
              <w:t xml:space="preserve">customer </w:t>
            </w:r>
            <w:r>
              <w:t>laptops/desktops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410820" w14:paraId="3D56F9D5" w14:textId="773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F7702" w14:paraId="65B2CCD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7BAB0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601B0F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Bast</w:t>
            </w:r>
            <w:r>
              <w:t>ion host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410820" w14:paraId="09218332" w14:textId="336C2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:rsidR="00EF7702" w:rsidRDefault="006137AF" w14:paraId="19F26654" w14:textId="77777777">
      <w:pPr>
        <w:pStyle w:val="Heading1"/>
      </w:pPr>
      <w:bookmarkStart w:name="_joxcugm4rigc" w:id="9"/>
      <w:bookmarkEnd w:id="9"/>
      <w:r w:rsidR="006137AF">
        <w:rPr/>
        <w:t>Application</w:t>
      </w:r>
    </w:p>
    <w:p w:rsidR="2CB67FD3" w:rsidRDefault="2CB67FD3" w14:paraId="25454084" w14:textId="5EA81ADF">
      <w:r w:rsidR="2CB67FD3">
        <w:rPr/>
        <w:t>Document all applications here.</w:t>
      </w:r>
    </w:p>
    <w:p w:rsidR="00EF7702" w:rsidRDefault="00423649" w14:paraId="034C5C31" w14:textId="6BD569B7">
      <w:r>
        <w:t>The application is made up of a…</w:t>
      </w:r>
    </w:p>
    <w:p w:rsidR="00EF7702" w:rsidRDefault="006137AF" w14:paraId="237975B5" w14:textId="77777777">
      <w:pPr>
        <w:pStyle w:val="Heading2"/>
      </w:pPr>
      <w:bookmarkStart w:name="_2i32ejyfh1x" w:colFirst="0" w:colLast="0" w:id="10"/>
      <w:bookmarkEnd w:id="10"/>
      <w:r>
        <w:t>App Servers</w:t>
      </w:r>
    </w:p>
    <w:p w:rsidR="00EF7702" w:rsidRDefault="006137AF" w14:paraId="05A55330" w14:textId="77777777">
      <w:r>
        <w:t>The following App Servers will be configured and setup as part of the migration.</w:t>
      </w:r>
    </w:p>
    <w:p w:rsidR="00EF7702" w:rsidRDefault="00EF7702" w14:paraId="327505EC" w14:textId="77777777"/>
    <w:tbl>
      <w:tblPr>
        <w:tblStyle w:val="a3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9"/>
      </w:tblGrid>
      <w:tr w:rsidR="00EF7702" w14:paraId="39AAE13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E70EC0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5D1B925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5CA36F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F7702" w14:paraId="4909C2A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A74655" w14:paraId="6B8EEC1F" w14:textId="2D1AD488">
            <w:pPr>
              <w:widowControl w:val="0"/>
              <w:spacing w:line="240" w:lineRule="auto"/>
            </w:pPr>
            <w:r>
              <w:t>&lt;Technology&gt;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A74655" w14:paraId="650545BD" w14:textId="49FD9FDE">
            <w:pPr>
              <w:widowControl w:val="0"/>
              <w:spacing w:line="240" w:lineRule="auto"/>
            </w:pPr>
            <w:r>
              <w:t>Run application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A74655" w14:paraId="165153D5" w14:textId="21EAEBAE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EF7702" w:rsidRDefault="00EF7702" w14:paraId="1561B7C7" w14:textId="77777777"/>
    <w:p w:rsidR="00EF7702" w:rsidRDefault="006137AF" w14:paraId="60D403FD" w14:textId="77777777">
      <w:pPr>
        <w:pStyle w:val="Heading2"/>
      </w:pPr>
      <w:bookmarkStart w:name="_wvgfs3esjg03" w:colFirst="0" w:colLast="0" w:id="11"/>
      <w:bookmarkEnd w:id="11"/>
      <w:r>
        <w:lastRenderedPageBreak/>
        <w:t>Code Repositories</w:t>
      </w:r>
    </w:p>
    <w:p w:rsidR="00EF7702" w:rsidRDefault="006137AF" w14:paraId="40A9F1AD" w14:textId="77777777">
      <w:r>
        <w:t>There are a number of code repositories.</w:t>
      </w:r>
    </w:p>
    <w:p w:rsidR="00EF7702" w:rsidRDefault="00EF7702" w14:paraId="52A961D9" w14:textId="77777777"/>
    <w:tbl>
      <w:tblPr>
        <w:tblStyle w:val="a4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450"/>
      </w:tblGrid>
      <w:tr w:rsidR="00EF7702" w14:paraId="6644945C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471BA0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9DC5F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EF7702" w14:paraId="6B1D11B3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423649" w14:paraId="6FFC721F" w14:textId="2CD3C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REPO LINK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423649" w14:paraId="42B31442" w14:textId="2B35E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Core application code</w:t>
            </w:r>
          </w:p>
        </w:tc>
      </w:tr>
    </w:tbl>
    <w:p w:rsidR="00EF7702" w:rsidRDefault="00EF7702" w14:paraId="24155AA8" w14:textId="77777777"/>
    <w:p w:rsidR="00EF7702" w:rsidRDefault="006137AF" w14:paraId="62439BF2" w14:textId="77777777">
      <w:pPr>
        <w:pStyle w:val="Heading2"/>
      </w:pPr>
      <w:bookmarkStart w:name="_odbollby5ex2" w:colFirst="0" w:colLast="0" w:id="12"/>
      <w:bookmarkEnd w:id="12"/>
      <w:r>
        <w:t>Containers</w:t>
      </w:r>
    </w:p>
    <w:p w:rsidR="00EF7702" w:rsidRDefault="00EF7702" w14:paraId="56C2869A" w14:textId="77777777"/>
    <w:tbl>
      <w:tblPr>
        <w:tblStyle w:val="a5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F7702" w:rsidTr="00423649" w14:paraId="2E38BD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7FB2AD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Container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6137AF" w14:paraId="04AA21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702" w:rsidRDefault="00423649" w14:paraId="0DDB397A" w14:textId="6580A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</w:tr>
      <w:tr w:rsidR="00423649" w:rsidTr="00423649" w14:paraId="09CC345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105AC51A" w14:textId="79FFC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05482F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3D65E9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F7702" w:rsidRDefault="006137AF" w14:paraId="5F0CC2A4" w14:textId="7C858E2A">
      <w:pPr>
        <w:pStyle w:val="Heading2"/>
      </w:pPr>
      <w:bookmarkStart w:name="_3unkjcv8yz4t" w:colFirst="0" w:colLast="0" w:id="13"/>
      <w:bookmarkStart w:name="_kntmqa3brud1" w:colFirst="0" w:colLast="0" w:id="14"/>
      <w:bookmarkEnd w:id="13"/>
      <w:bookmarkEnd w:id="14"/>
      <w:r>
        <w:t>Buil</w:t>
      </w:r>
      <w:bookmarkStart w:name="_GoBack" w:id="15"/>
      <w:bookmarkEnd w:id="15"/>
      <w:r>
        <w:t xml:space="preserve">d </w:t>
      </w:r>
      <w:r w:rsidR="00423649">
        <w:t xml:space="preserve">and Deployment </w:t>
      </w:r>
      <w:r>
        <w:t>Process</w:t>
      </w:r>
    </w:p>
    <w:p w:rsidR="00EF7702" w:rsidRDefault="006137AF" w14:paraId="0793E9E5" w14:textId="2BFBF8D3">
      <w:r>
        <w:t xml:space="preserve">The build process </w:t>
      </w:r>
      <w:r w:rsidR="00423649">
        <w:t>will use native AWS tooling for</w:t>
      </w:r>
      <w:r>
        <w:t xml:space="preserve"> its underlying build tool and will require a mechanism for deployment.</w:t>
      </w:r>
    </w:p>
    <w:p w:rsidR="00423649" w:rsidRDefault="00423649" w14:paraId="2AABE775" w14:textId="77777777"/>
    <w:p w:rsidR="00EF7702" w:rsidRDefault="006137AF" w14:paraId="5080A146" w14:textId="2C960569">
      <w:r w:rsidR="1A38E2F2">
        <w:rPr/>
        <w:t>The Build and Deployment process is made up of th</w:t>
      </w:r>
      <w:r w:rsidR="1A38E2F2">
        <w:rPr/>
        <w:t xml:space="preserve">e </w:t>
      </w:r>
      <w:r w:rsidR="1A38E2F2">
        <w:rPr/>
        <w:t>foll</w:t>
      </w:r>
      <w:r w:rsidR="1A38E2F2">
        <w:rPr/>
        <w:t>owing</w:t>
      </w:r>
      <w:r w:rsidR="1A38E2F2">
        <w:rPr/>
        <w:t>:</w:t>
      </w:r>
    </w:p>
    <w:p w:rsidR="00EF7702" w:rsidRDefault="00EF7702" w14:paraId="71B7E546" w14:textId="77777777"/>
    <w:tbl>
      <w:tblPr>
        <w:tblStyle w:val="a7"/>
        <w:tblW w:w="84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5455"/>
      </w:tblGrid>
      <w:tr w:rsidR="00423649" w:rsidTr="00423649" w14:paraId="5FD5C0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36E3AF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57CC0D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Used for</w:t>
            </w:r>
          </w:p>
        </w:tc>
      </w:tr>
      <w:tr w:rsidR="00423649" w:rsidTr="00423649" w14:paraId="5D3A4D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2196EF49" w14:textId="77777777">
            <w:r>
              <w:rPr>
                <w:b/>
              </w:rPr>
              <w:t>AWS Code Build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36668C33" w14:textId="77777777">
            <w:r>
              <w:t>AWS Code build is used to build the artefacts. This is done using the above container and stores them in S3.</w:t>
            </w:r>
          </w:p>
        </w:tc>
      </w:tr>
      <w:tr w:rsidR="00423649" w:rsidTr="00423649" w14:paraId="52EF42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20AE6F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 Pipeline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P="00423649" w:rsidRDefault="00423649" w14:paraId="5F0A234E" w14:textId="788A9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Pipeline takes the above artefacts from S3 and deploys them to </w:t>
            </w:r>
            <w:proofErr w:type="spellStart"/>
            <w:r>
              <w:t>dev</w:t>
            </w:r>
            <w:proofErr w:type="spellEnd"/>
            <w:r>
              <w:t xml:space="preserve"> environment.</w:t>
            </w:r>
          </w:p>
        </w:tc>
      </w:tr>
      <w:tr w:rsidR="00423649" w:rsidTr="00423649" w14:paraId="51FBD0C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RDefault="00423649" w14:paraId="25C9A152" w14:textId="44868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Prod Manual Process</w:t>
            </w:r>
          </w:p>
        </w:tc>
        <w:tc>
          <w:tcPr>
            <w:tcW w:w="5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49" w:rsidP="00423649" w:rsidRDefault="00423649" w14:paraId="433E8EDF" w14:textId="46859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the Production Deployment is a manual build, but with a view to automate based on “master” GIT branching strategy.</w:t>
            </w:r>
          </w:p>
        </w:tc>
      </w:tr>
    </w:tbl>
    <w:p w:rsidR="00EF7702" w:rsidRDefault="00EF7702" w14:paraId="6424C8E3" w14:textId="77777777"/>
    <w:sectPr w:rsidR="00EF7702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EAC"/>
    <w:multiLevelType w:val="multilevel"/>
    <w:tmpl w:val="858A6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317729"/>
    <w:multiLevelType w:val="multilevel"/>
    <w:tmpl w:val="741AA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B030BF"/>
    <w:multiLevelType w:val="multilevel"/>
    <w:tmpl w:val="8F509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0A5473"/>
    <w:multiLevelType w:val="multilevel"/>
    <w:tmpl w:val="2A100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97641A"/>
    <w:multiLevelType w:val="multilevel"/>
    <w:tmpl w:val="E654D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9D293F"/>
    <w:multiLevelType w:val="multilevel"/>
    <w:tmpl w:val="45289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EF7702"/>
    <w:rsid w:val="000D5BD4"/>
    <w:rsid w:val="001721CE"/>
    <w:rsid w:val="001C6DA6"/>
    <w:rsid w:val="00384725"/>
    <w:rsid w:val="00410820"/>
    <w:rsid w:val="00423649"/>
    <w:rsid w:val="00601F00"/>
    <w:rsid w:val="006137AF"/>
    <w:rsid w:val="008830FD"/>
    <w:rsid w:val="00A74655"/>
    <w:rsid w:val="00A96096"/>
    <w:rsid w:val="00B009A1"/>
    <w:rsid w:val="00C238B0"/>
    <w:rsid w:val="00CD7005"/>
    <w:rsid w:val="00EF7702"/>
    <w:rsid w:val="00F21FC5"/>
    <w:rsid w:val="1A38E2F2"/>
    <w:rsid w:val="2AC3930F"/>
    <w:rsid w:val="2CB67FD3"/>
    <w:rsid w:val="32C9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52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0F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830FD"/>
    <w:rPr>
      <w:rFonts w:ascii="Times New Roman" w:hAnsi="Times New Roman" w:cs="Times New Roman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microsoft.com/office/2011/relationships/commentsExtended" Target="commentsExtended.xml" Id="rId6" /><Relationship Type="http://schemas.openxmlformats.org/officeDocument/2006/relationships/image" Target="media/image1.png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Ben Fellows</lastModifiedBy>
  <revision>17</revision>
  <dcterms:created xsi:type="dcterms:W3CDTF">2018-07-10T17:42:00.0000000Z</dcterms:created>
  <dcterms:modified xsi:type="dcterms:W3CDTF">2021-08-18T18:18:07.1828753Z</dcterms:modified>
</coreProperties>
</file>