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Project Proposal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Assignment 1: Problem &amp; Dataset</w:t>
      </w:r>
    </w:p>
    <w:p>
      <w:pPr>
        <w:pBdr>
          <w:bottom w:val="single" w:color="1F4E79" w:sz="6" w:space="8"/>
        </w:pBdr>
        <w:spacing w:after="240"/>
        <w:jc w:val="center"/>
      </w:pPr>
      <w:r>
        <w:rPr>
          <w:b/>
          <w:bCs/>
          <w:sz w:val="21"/>
          <w:szCs w:val="21"/>
        </w:rPr>
        <w:t xml:space="preserve">Author: </w:t>
      </w:r>
      <w:r>
        <w:rPr>
          <w:sz w:val="21"/>
          <w:szCs w:val="21"/>
        </w:rPr>
        <w:t xml:space="preserve">Aziz Abdulin</w:t>
      </w:r>
      <w:r>
        <w:rPr>
          <w:b/>
          <w:bCs/>
          <w:sz w:val="21"/>
          <w:szCs w:val="21"/>
        </w:rPr>
        <w:t xml:space="preserve">   ·   Repository: </w:t>
      </w:r>
      <w:hyperlink w:history="1" r:id="rIdh-jylxeu2qkl8oxoeth7-">
        <w:r>
          <w:rPr>
            <w:rStyle w:val="Hyperlink"/>
            <w:sz w:val="21"/>
            <w:szCs w:val="21"/>
          </w:rPr>
          <w:t xml:space="preserve">github.com/awzwz/tender-risk-ml</w:t>
        </w:r>
      </w:hyperlink>
    </w:p>
    <w:p>
      <w:pPr>
        <w:pStyle w:val="Heading1"/>
      </w:pPr>
      <w:r>
        <w:t xml:space="preserve">1. Project title</w:t>
      </w:r>
    </w:p>
    <w:p>
      <w:pPr>
        <w:spacing w:after="120" w:line="276"/>
        <w:jc w:val="both"/>
      </w:pPr>
      <w:r>
        <w:rPr>
          <w:b/>
          <w:bCs/>
        </w:rPr>
        <w:t xml:space="preserve">Tender Risk ML — predicting problematic public procurements in Kazakhstan from open procurement data</w:t>
      </w:r>
    </w:p>
    <w:p>
      <w:pPr>
        <w:pStyle w:val="Heading1"/>
      </w:pPr>
      <w:r>
        <w:t xml:space="preserve">2. Problem description</w:t>
      </w:r>
    </w:p>
    <w:p>
      <w:pPr>
        <w:spacing w:after="120" w:line="276"/>
        <w:jc w:val="both"/>
      </w:pPr>
      <w:r>
        <w:t xml:space="preserve">Kazakhstan's public procurement system (goszakup.gov.kz) processes roughly </w:t>
      </w:r>
      <w:r>
        <w:rPr>
          <w:b/>
          <w:bCs/>
        </w:rPr>
        <w:t xml:space="preserve">1.8 million procurements per year</w:t>
      </w:r>
      <w:r>
        <w:t xml:space="preserve"> (12.9 million in total as of September 2026, with over 40 million supplier bids), spending a significant share of the state budget. Every procurement, lot, bid and contract is published through the open </w:t>
      </w:r>
      <w:r>
        <w:rPr>
          <w:b/>
          <w:bCs/>
        </w:rPr>
        <w:t xml:space="preserve">OWS v3 GraphQL API</w:t>
      </w:r>
      <w:r>
        <w:t xml:space="preserve">. Oversight bodies, journalists and auditors, however, work by hand: they can inspect a few hundred procurements a year, while the signs of a problematic procurement — a single bidder, an implausible price discount, a competitive procedure that “fails” and is re-awarded to a single source, a supplier with a history of terminated contracts — are scattered across several linked tables and are invisible at the level of one record.</w:t>
      </w:r>
    </w:p>
    <w:p>
      <w:pPr>
        <w:spacing w:after="120" w:line="276"/>
        <w:jc w:val="both"/>
      </w:pPr>
      <w:r>
        <w:t xml:space="preserve">The practical consequence is that a large share of contracts end badly. In a sample of FY2024 contracts, about </w:t>
      </w:r>
      <w:r>
        <w:rPr>
          <w:b/>
          <w:bCs/>
        </w:rPr>
        <w:t xml:space="preserve">one in five was terminated or never concluded</w:t>
      </w:r>
      <w:r>
        <w:t xml:space="preserve">, and about </w:t>
      </w:r>
      <w:r>
        <w:rPr>
          <w:b/>
          <w:bCs/>
        </w:rPr>
        <w:t xml:space="preserve">7 % of procurements were cancelled</w:t>
      </w:r>
      <w:r>
        <w:t xml:space="preserve"> after publication. Each such case means a repeated procedure, delayed goods or services, and often wasted budget. Detecting the procurements likely to fail </w:t>
      </w:r>
      <w:r>
        <w:rPr>
          <w:i/>
          <w:iCs/>
        </w:rPr>
        <w:t xml:space="preserve">before</w:t>
      </w:r>
      <w:r>
        <w:t xml:space="preserve"> they fail would let a controlling body concentrate its limited attention where it matters.</w:t>
      </w:r>
    </w:p>
    <w:p>
      <w:pPr>
        <w:spacing w:after="120" w:line="276"/>
        <w:jc w:val="both"/>
      </w:pPr>
      <w:r>
        <w:t xml:space="preserve">An earlier engineering project by the author (Tender Radar) approached this with 31 hand-written risk rules. Rules are transparent but arbitrary: their thresholds were chosen by intuition, and there was no way to measure whether a “risky” procurement actually turned out badly. This project replaces intuition with a </w:t>
      </w:r>
      <w:r>
        <w:rPr>
          <w:b/>
          <w:bCs/>
        </w:rPr>
        <w:t xml:space="preserve">supervised model trained on observed outcomes</w:t>
      </w:r>
      <w:r>
        <w:t xml:space="preserve">, using the rules only as candidate features.</w:t>
      </w:r>
    </w:p>
    <w:p>
      <w:pPr>
        <w:pStyle w:val="Heading1"/>
      </w:pPr>
      <w:r>
        <w:t xml:space="preserve">3. Project goal</w:t>
      </w:r>
    </w:p>
    <w:p>
      <w:pPr>
        <w:spacing w:after="120" w:line="276"/>
        <w:jc w:val="both"/>
      </w:pPr>
      <w:r>
        <w:t xml:space="preserve">Build and evaluate a machine-learning classifier that, using only information available at the time a procurement is published and awarded, predicts whether the procurement will have a </w:t>
      </w:r>
      <w:r>
        <w:rPr>
          <w:b/>
          <w:bCs/>
        </w:rPr>
        <w:t xml:space="preserve">problematic outcome</w:t>
      </w:r>
      <w:r>
        <w:t xml:space="preserve"> — defined as the resulting contract being terminated or never concluded — and identify which characteristics of a procurement are most predictive of that outcome.</w:t>
      </w:r>
    </w:p>
    <w:p>
      <w:pPr>
        <w:pStyle w:val="Heading1"/>
      </w:pPr>
      <w:r>
        <w:t xml:space="preserve">4. Project objectives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Dataset construction.</w:t>
      </w:r>
      <w:r>
        <w:t xml:space="preserve"> Collect a linked snapshot of procurements published in Q1 2024 from the OWS v3 API — procurements, lots, bids, contracts, and the register of unreliable suppliers — and publish it as a reproducible, documented dataset (collection script + data dictionary).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Data preparation and EDA.</w:t>
      </w:r>
      <w:r>
        <w:t xml:space="preserve"> Clean and normalise the data (missing values, duplicates, currency/date formats, text normalisation for Russian/Kazakh lot names), explore distributions and class balance, and define the target variable rigorously with a leakage-safe </w:t>
      </w:r>
      <w:r>
        <w:rPr>
          <w:b/>
          <w:bCs/>
        </w:rPr>
        <w:t xml:space="preserve">time-based train/validation/test split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Feature engineering.</w:t>
      </w:r>
      <w:r>
        <w:t xml:space="preserve"> Derive tabular features (price, number of bidders, discount, trade method, customer and supplier history, the 31 Tender Radar indicators) and text features (TF-IDF over lot names/descriptions).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Baseline modelling and evaluation.</w:t>
      </w:r>
      <w:r>
        <w:t xml:space="preserve"> Train and compare classical models (Logistic Regression, Random Forest, gradient boosting) on the tabular + TF-IDF features; report ROC-AUC, PR-AUC and F1 on the held-out test period, with an interpretation of feature importance.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Model improvement.</w:t>
      </w:r>
      <w:r>
        <w:t xml:space="preserve"> Perform hyperparameter optimisation of the best classical model and add a text branch by </w:t>
      </w:r>
      <w:r>
        <w:rPr>
          <w:b/>
          <w:bCs/>
        </w:rPr>
        <w:t xml:space="preserve">fine-tuning a pre-trained multilingual transformer</w:t>
      </w:r>
      <w:r>
        <w:t xml:space="preserve"> (transfer learning from </w:t>
      </w:r>
      <w:r>
        <w:rPr>
          <w:rFonts w:ascii="Consolas" w:cs="Consolas" w:eastAsia="Consolas" w:hAnsi="Consolas"/>
          <w:sz w:val="21"/>
          <w:szCs w:val="21"/>
        </w:rPr>
        <w:t xml:space="preserve">xlm-roberta-base</w:t>
      </w:r>
      <w:r>
        <w:t xml:space="preserve"> / </w:t>
      </w:r>
      <w:r>
        <w:rPr>
          <w:rFonts w:ascii="Consolas" w:cs="Consolas" w:eastAsia="Consolas" w:hAnsi="Consolas"/>
          <w:sz w:val="21"/>
          <w:szCs w:val="21"/>
        </w:rPr>
        <w:t xml:space="preserve">rubert-tiny2</w:t>
      </w:r>
      <w:r>
        <w:t xml:space="preserve">) on lot descriptions; compare with, and ensemble into, the tabular model.</w:t>
      </w:r>
    </w:p>
    <w:p>
      <w:pPr>
        <w:pStyle w:val="Heading1"/>
      </w:pPr>
      <w:r>
        <w:t xml:space="preserve">5. Type of AI task</w:t>
      </w:r>
    </w:p>
    <w:p>
      <w:pPr>
        <w:spacing w:after="120" w:line="276"/>
        <w:jc w:val="both"/>
      </w:pPr>
      <w:r>
        <w:rPr>
          <w:b/>
          <w:bCs/>
        </w:rPr>
        <w:t xml:space="preserve">Binary classification</w:t>
      </w:r>
      <w:r>
        <w:t xml:space="preserve"> (supervised) on tabular data, with an </w:t>
      </w:r>
      <w:r>
        <w:rPr>
          <w:b/>
          <w:bCs/>
        </w:rPr>
        <w:t xml:space="preserve">NLP component</w:t>
      </w:r>
      <w:r>
        <w:t xml:space="preserve">: lot names and descriptions are free text in Russian and Kazakh, vectorised with TF-IDF for the baseline and, in the fine-tuning stage, encoded by a pre-trained transformer. Because positive cases are the minority (~20 %), evaluation focuses on ROC-AUC, PR-AUC and F1 rather than accuracy.</w:t>
      </w:r>
    </w:p>
    <w:p>
      <w:pPr>
        <w:pStyle w:val="Heading1"/>
      </w:pPr>
      <w:r>
        <w:t xml:space="preserve">6. Dataset</w:t>
      </w:r>
    </w:p>
    <w:p>
      <w:pPr>
        <w:pStyle w:val="Heading2"/>
      </w:pPr>
      <w:r>
        <w:t xml:space="preserve">6.1 Source and access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Source:</w:t>
      </w:r>
      <w:r>
        <w:t xml:space="preserve"> OWS v3 GraphQL API, </w:t>
      </w:r>
      <w:r>
        <w:rPr>
          <w:rFonts w:ascii="Consolas" w:cs="Consolas" w:eastAsia="Consolas" w:hAnsi="Consolas"/>
          <w:sz w:val="21"/>
          <w:szCs w:val="21"/>
        </w:rPr>
        <w:t xml:space="preserve">https://ows.goszakup.gov.kz/v3/graphql</w:t>
      </w:r>
      <w:r>
        <w:t xml:space="preserve"> — the official open-data interface of the public procurement portal. Access via a personal API token (valid until 13 Nov 2026). Data is public.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Scope:</w:t>
      </w:r>
      <w:r>
        <w:t xml:space="preserve"> all procurements with </w:t>
      </w:r>
      <w:r>
        <w:rPr>
          <w:rFonts w:ascii="Consolas" w:cs="Consolas" w:eastAsia="Consolas" w:hAnsi="Consolas"/>
          <w:sz w:val="21"/>
          <w:szCs w:val="21"/>
        </w:rPr>
        <w:t xml:space="preserve">publishDate</w:t>
      </w:r>
      <w:r>
        <w:t xml:space="preserve"> in </w:t>
      </w:r>
      <w:r>
        <w:rPr>
          <w:b/>
          <w:bCs/>
        </w:rPr>
        <w:t xml:space="preserve">2024-01-01 … 2024-03-31</w:t>
      </w:r>
      <w:r>
        <w:t xml:space="preserve"> — </w:t>
      </w:r>
      <w:r>
        <w:rPr>
          <w:b/>
          <w:bCs/>
        </w:rPr>
        <w:t xml:space="preserve">630 762 procurements</w:t>
      </w:r>
      <w:r>
        <w:t xml:space="preserve">, about 35 % of the 1 818 344 FY2024 procurements — and every linked record. Q1 2024 is old enough that every contract has had more than 2 years to reach a final status, so the outcome label is settled.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Collection:</w:t>
      </w:r>
      <w:r>
        <w:t xml:space="preserve"> </w:t>
      </w:r>
      <w:r>
        <w:rPr>
          <w:rFonts w:ascii="Consolas" w:cs="Consolas" w:eastAsia="Consolas" w:hAnsi="Consolas"/>
          <w:sz w:val="21"/>
          <w:szCs w:val="21"/>
        </w:rPr>
        <w:t xml:space="preserve">src/collect.py</w:t>
      </w:r>
      <w:r>
        <w:t xml:space="preserve"> — resumable pagination (</w:t>
      </w:r>
      <w:r>
        <w:rPr>
          <w:rFonts w:ascii="Consolas" w:cs="Consolas" w:eastAsia="Consolas" w:hAnsi="Consolas"/>
          <w:sz w:val="21"/>
          <w:szCs w:val="21"/>
        </w:rPr>
        <w:t xml:space="preserve">limit/after</w:t>
      </w:r>
      <w:r>
        <w:t xml:space="preserve">), stored as JSONL and Parquet. The snapshot is published as a GitHub release asset; the script reproduces it from scratch.</w:t>
      </w:r>
    </w:p>
    <w:p>
      <w:pPr>
        <w:pStyle w:val="Heading2"/>
      </w:pPr>
      <w:r>
        <w:t xml:space="preserve">6.2 Entities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542"/>
        <w:gridCol w:w="1542"/>
        <w:gridCol w:w="5205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Grain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Rows (Q1 2024)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trd_buy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procurement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630 762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id, nameRu, trade method, status, totalSum, countLots, customer BIN, winner BIN, publish/start/end dates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lots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lot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~1 100 000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trdBuyId, nameRu/nameKz, descriptionRu, amount, dumping flag, KTRU code, status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trd_app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bid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~2 500 000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buyId, supplier BIN, per-lot price / discount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contracts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contract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~470 000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trdBuyId, supplier BIN, status, cancellation reason, sums, plan/actual execution dates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rnu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supplier entry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17 638 (all-time)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supplier BIN, start/end dates in the register</w:t>
            </w:r>
          </w:p>
        </w:tc>
      </w:tr>
    </w:tbl>
    <w:p>
      <w:pPr>
        <w:spacing w:after="160" w:before="80"/>
      </w:pPr>
      <w:r>
        <w:rPr>
          <w:i/>
          <w:iCs/>
          <w:color w:val="595959"/>
          <w:sz w:val="19"/>
          <w:szCs w:val="19"/>
        </w:rPr>
        <w:t xml:space="preserve">The </w:t>
      </w:r>
      <w:r>
        <w:rPr>
          <w:rFonts w:ascii="Consolas" w:cs="Consolas" w:eastAsia="Consolas" w:hAnsi="Consolas"/>
          <w:i/>
          <w:iCs/>
          <w:color w:val="595959"/>
          <w:sz w:val="19"/>
          <w:szCs w:val="19"/>
        </w:rPr>
        <w:t xml:space="preserve">trd_buy</w:t>
      </w:r>
      <w:r>
        <w:rPr>
          <w:i/>
          <w:iCs/>
          <w:color w:val="595959"/>
          <w:sz w:val="19"/>
          <w:szCs w:val="19"/>
        </w:rPr>
        <w:t xml:space="preserve"> count is exact (fully collected). The </w:t>
      </w:r>
      <w:r>
        <w:rPr>
          <w:rFonts w:ascii="Consolas" w:cs="Consolas" w:eastAsia="Consolas" w:hAnsi="Consolas"/>
          <w:i/>
          <w:iCs/>
          <w:color w:val="595959"/>
          <w:sz w:val="19"/>
          <w:szCs w:val="19"/>
        </w:rPr>
        <w:t xml:space="preserve">lots</w:t>
      </w:r>
      <w:r>
        <w:rPr>
          <w:i/>
          <w:iCs/>
          <w:color w:val="595959"/>
          <w:sz w:val="19"/>
          <w:szCs w:val="19"/>
        </w:rPr>
        <w:t xml:space="preserve"> estimate is extrapolated from the first 195 000 procurements collected (1.8 lots per procurement); the others from a pilot sample. Exact counts will be reported in A2.</w:t>
      </w:r>
    </w:p>
    <w:p>
      <w:pPr>
        <w:pStyle w:val="Heading2"/>
      </w:pPr>
      <w:r>
        <w:t xml:space="preserve">6.3 Target variable</w:t>
      </w:r>
    </w:p>
    <w:p>
      <w:pPr>
        <w:spacing w:after="120" w:line="276"/>
        <w:jc w:val="both"/>
      </w:pPr>
      <w:r>
        <w:rPr>
          <w:b/>
          <w:bCs/>
        </w:rPr>
        <w:t xml:space="preserve">Primary target — `contract_failed` (binary, per procurement):</w:t>
      </w:r>
      <w:r>
        <w:t xml:space="preserve"> 1 if the contract originating from the procurement has status </w:t>
      </w:r>
      <w:r>
        <w:rPr>
          <w:i/>
          <w:iCs/>
        </w:rPr>
        <w:t xml:space="preserve">Terminated</w:t>
      </w:r>
      <w:r>
        <w:t xml:space="preserve"> (code 350), </w:t>
      </w:r>
      <w:r>
        <w:rPr>
          <w:i/>
          <w:iCs/>
        </w:rPr>
        <w:t xml:space="preserve">Awaiting termination</w:t>
      </w:r>
      <w:r>
        <w:t xml:space="preserve"> (345) or </w:t>
      </w:r>
      <w:r>
        <w:rPr>
          <w:i/>
          <w:iCs/>
        </w:rPr>
        <w:t xml:space="preserve">Not concluded</w:t>
      </w:r>
      <w:r>
        <w:t xml:space="preserve"> (330); 0 if it is </w:t>
      </w:r>
      <w:r>
        <w:rPr>
          <w:i/>
          <w:iCs/>
        </w:rPr>
        <w:t xml:space="preserve">Active</w:t>
      </w:r>
      <w:r>
        <w:t xml:space="preserve">, </w:t>
      </w:r>
      <w:r>
        <w:rPr>
          <w:i/>
          <w:iCs/>
        </w:rPr>
        <w:t xml:space="preserve">Amended</w:t>
      </w:r>
      <w:r>
        <w:t xml:space="preserve"> or </w:t>
      </w:r>
      <w:r>
        <w:rPr>
          <w:i/>
          <w:iCs/>
        </w:rPr>
        <w:t xml:space="preserve">Executed</w:t>
      </w:r>
      <w:r>
        <w:t xml:space="preserve">. Procurements without any contract record are labelled separately and excluded from the primary task.</w:t>
      </w:r>
    </w:p>
    <w:p>
      <w:pPr>
        <w:spacing w:after="120" w:line="276"/>
        <w:jc w:val="both"/>
      </w:pPr>
      <w:r>
        <w:t xml:space="preserve">Sample distribution (first 400 FY2024 contracts): codes 350/345/330 → </w:t>
      </w:r>
      <w:r>
        <w:rPr>
          <w:b/>
          <w:bCs/>
        </w:rPr>
        <w:t xml:space="preserve">23 % positive</w:t>
      </w:r>
      <w:r>
        <w:t xml:space="preserve">; 455 Amended 68 %; 190/390/460 Active/Executed 6 %.</w:t>
      </w:r>
    </w:p>
    <w:p>
      <w:pPr>
        <w:spacing w:after="60"/>
        <w:jc w:val="both"/>
      </w:pPr>
      <w:r>
        <w:rPr>
          <w:b/>
          <w:bCs/>
        </w:rPr>
        <w:t xml:space="preserve">Auxiliary labels</w:t>
      </w:r>
      <w:r>
        <w:t xml:space="preserve"> kept in the dataset for extended analysis: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21"/>
          <w:szCs w:val="21"/>
        </w:rPr>
        <w:t xml:space="preserve">tender_cancelled</w:t>
      </w:r>
      <w:r>
        <w:t xml:space="preserve"> — procurement status </w:t>
      </w:r>
      <w:r>
        <w:rPr>
          <w:i/>
          <w:iCs/>
        </w:rPr>
        <w:t xml:space="preserve">Cancelled</w:t>
      </w:r>
      <w:r>
        <w:t xml:space="preserve"> (430) or </w:t>
      </w:r>
      <w:r>
        <w:rPr>
          <w:i/>
          <w:iCs/>
        </w:rPr>
        <w:t xml:space="preserve">Refused</w:t>
      </w:r>
      <w:r>
        <w:t xml:space="preserve"> (410): ~7 % of procurements.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21"/>
          <w:szCs w:val="21"/>
        </w:rPr>
        <w:t xml:space="preserve">winner_in_rnu</w:t>
      </w:r>
      <w:r>
        <w:t xml:space="preserve"> — the winning supplier appears in the register of unreliable suppliers at any later date (rare).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21"/>
          <w:szCs w:val="21"/>
        </w:rPr>
        <w:t xml:space="preserve">single_source_after_failed</w:t>
      </w:r>
      <w:r>
        <w:t xml:space="preserve"> — trade method “single source after a failed procedure”: ~19 % of procurements, an indicator that competition failed.</w:t>
      </w:r>
    </w:p>
    <w:p>
      <w:pPr>
        <w:spacing w:after="120" w:before="80" w:line="276"/>
        <w:jc w:val="both"/>
      </w:pPr>
      <w:r>
        <w:t xml:space="preserve">Why an </w:t>
      </w:r>
      <w:r>
        <w:rPr>
          <w:i/>
          <w:iCs/>
        </w:rPr>
        <w:t xml:space="preserve">observed outcome</w:t>
      </w:r>
      <w:r>
        <w:t xml:space="preserve"> rather than the rule-based risk score: a model trained on labels produced by hand-written rules only learns those rules. Contract termination is a real, independently recorded event, so the model’s quality can be measured honestly and the rules can be tested as features.</w:t>
      </w:r>
    </w:p>
    <w:p>
      <w:pPr>
        <w:pStyle w:val="Heading2"/>
      </w:pPr>
      <w:r>
        <w:t xml:space="preserve">6.4 Leakage control</w:t>
      </w:r>
    </w:p>
    <w:p>
      <w:pPr>
        <w:spacing w:after="120" w:line="276"/>
        <w:jc w:val="both"/>
      </w:pPr>
      <w:r>
        <w:t xml:space="preserve">Only fields known at publication/award time enter the feature set: procurement and lot attributes, bids, winner identity, and the </w:t>
      </w:r>
      <w:r>
        <w:rPr>
          <w:i/>
          <w:iCs/>
        </w:rPr>
        <w:t xml:space="preserve">history</w:t>
      </w:r>
      <w:r>
        <w:t xml:space="preserve"> of the customer and the supplier </w:t>
      </w:r>
      <w:r>
        <w:rPr>
          <w:b/>
          <w:bCs/>
        </w:rPr>
        <w:t xml:space="preserve">strictly before</w:t>
      </w:r>
      <w:r>
        <w:t xml:space="preserve"> the procurement’s publish date. Contract execution fields (</w:t>
      </w:r>
      <w:r>
        <w:rPr>
          <w:rFonts w:ascii="Consolas" w:cs="Consolas" w:eastAsia="Consolas" w:hAnsi="Consolas"/>
          <w:sz w:val="21"/>
          <w:szCs w:val="21"/>
        </w:rPr>
        <w:t xml:space="preserve">faktSum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faktExecDate</w:t>
      </w:r>
      <w:r>
        <w:t xml:space="preserve">, status) are used for the label only. The split is by time: train on January–February, validate/test on March 2024, so that no future information leaks into training.</w:t>
      </w:r>
    </w:p>
    <w:p>
      <w:pPr>
        <w:pStyle w:val="Heading2"/>
      </w:pPr>
      <w:r>
        <w:t xml:space="preserve">6.5 Feature groups (preliminary)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Procurement:</w:t>
      </w:r>
      <w:r>
        <w:t xml:space="preserve"> trade method, subject type, total sum, number of lots, planned duration, repeat flag, single-organiser flag, construction/light-industry flags, region (KATO).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Competition:</w:t>
      </w:r>
      <w:r>
        <w:t xml:space="preserve"> number of bidders, number of bids per lot, winner’s discount, dumping flag, price dispersion among bids.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Supplier / customer history (prior to publish date):</w:t>
      </w:r>
      <w:r>
        <w:t xml:space="preserve"> number of prior contracts, share terminated, share of wins with the same customer, presence in RNU.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Rule indicators:</w:t>
      </w:r>
      <w:r>
        <w:t xml:space="preserve"> the 31 Tender Radar indicators re-implemented in pandas.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Text:</w:t>
      </w:r>
      <w:r>
        <w:t xml:space="preserve"> TF-IDF (word + char n-grams) of lot </w:t>
      </w:r>
      <w:r>
        <w:rPr>
          <w:rFonts w:ascii="Consolas" w:cs="Consolas" w:eastAsia="Consolas" w:hAnsi="Consolas"/>
          <w:sz w:val="21"/>
          <w:szCs w:val="21"/>
        </w:rPr>
        <w:t xml:space="preserve">nameRu</w:t>
      </w:r>
      <w:r>
        <w:t xml:space="preserve"> / </w:t>
      </w:r>
      <w:r>
        <w:rPr>
          <w:rFonts w:ascii="Consolas" w:cs="Consolas" w:eastAsia="Consolas" w:hAnsi="Consolas"/>
          <w:sz w:val="21"/>
          <w:szCs w:val="21"/>
        </w:rPr>
        <w:t xml:space="preserve">descriptionRu</w:t>
      </w:r>
      <w:r>
        <w:t xml:space="preserve">; transformer embeddings in A3.</w:t>
      </w:r>
    </w:p>
    <w:p>
      <w:pPr>
        <w:pStyle w:val="Heading1"/>
      </w:pPr>
      <w:r>
        <w:t xml:space="preserve">7. Plan and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253"/>
        <w:gridCol w:w="5879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Weeks</w:t>
            </w:r>
          </w:p>
        </w:tc>
        <w:tc>
          <w:tcPr>
            <w:tcW w:type="dxa" w:w="5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A1 Problem &amp; Dataset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1–2</w:t>
            </w:r>
          </w:p>
        </w:tc>
        <w:tc>
          <w:tcPr>
            <w:tcW w:type="dxa" w:w="5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This proposal; raw Q1 2024 snapshot collected and published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A2 Data Preparation &amp; Baseline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3–4</w:t>
            </w:r>
          </w:p>
        </w:tc>
        <w:tc>
          <w:tcPr>
            <w:tcW w:type="dxa" w:w="5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Notebook: structure, missing values, duplicates, cleaning, EDA, visualisations, features + target, time split; brief report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Midterm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Baseline LogReg + Random Forest, ROC-AUC / PR-AUC / F1, slides, justification of model choice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A3 Training &amp; Fine-Tuning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midterm</w:t>
            </w:r>
          </w:p>
        </w:tc>
        <w:tc>
          <w:tcPr>
            <w:tcW w:type="dxa" w:w="5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 comparison incl. LightGBM, hyperparameter optimisation, fine-tuned transformer on lot text, ensemble; experimental results</w:t>
            </w:r>
          </w:p>
        </w:tc>
      </w:tr>
    </w:tbl>
    <w:p>
      <w:pPr>
        <w:pStyle w:val="Heading1"/>
      </w:pPr>
      <w:r>
        <w:t xml:space="preserve">8. Expected results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 public, reproducible dataset of Q1 2024 procurements with a documented outcome label.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 classifier with ROC-AUC clearly above the rule-based score used as a baseline comparator.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 ranked list of the procurement characteristics most associated with contract failure — the practically useful output for an auditor.</w:t>
      </w:r>
    </w:p>
    <w:p>
      <w:pPr>
        <w:pStyle w:val="Heading1"/>
      </w:pPr>
      <w:r>
        <w:t xml:space="preserve">9. Risks and mitigations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token expires 13 Nov 2026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snapshot collected in September; all later work is offline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 imbalance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PR-AUC / F1 as metrics; class weights; threshold tuning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Outcome label noise (termination “by mutual agreement” is not always a failure)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 cancellation reason codes; report results for the strict subset (terminated for breach / not concluded) as a sensitivity analysis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 in two languages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Multilingual models (XLM-R); Kazakh-only lots handled via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nameRu</w:t>
            </w:r>
            <w:r>
              <w:rPr>
                <w:sz w:val="19"/>
                <w:szCs w:val="19"/>
              </w:rPr>
              <w:t xml:space="preserve">, which is almost always present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Compute for transformer fine-tuning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rubert-tiny2</w:t>
            </w:r>
            <w:r>
              <w:rPr>
                <w:sz w:val="19"/>
                <w:szCs w:val="19"/>
              </w:rPr>
              <w:t xml:space="preserve"> fits on CPU / Colab; LoRA for larger models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-jylxeu2qkl8oxoeth7-" Type="http://schemas.openxmlformats.org/officeDocument/2006/relationships/hyperlink" Target="https://github.com/awzwz/tender-risk-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 — Tender Risk ML</dc:title>
  <dc:creator>Aziz Abdulin</dc:creator>
  <cp:lastModifiedBy>Un-named</cp:lastModifiedBy>
  <cp:revision>1</cp:revision>
  <dcterms:created xsi:type="dcterms:W3CDTF">2026-09-22T16:20:47.475Z</dcterms:created>
  <dcterms:modified xsi:type="dcterms:W3CDTF">2026-09-22T16:20:47.481Z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