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제3장 연구 방법론 (Methodology)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전력 대비 정확도 효율 지수(PCAG) 수학적 모델링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절에서는 대형 언어 모델(LLM)의 양자화(Quantization) 단계 축소에 따른 정확도 손실 대비 전력 절감 효과의 한계효용(Marginal Utility)을 정량적으로 평가하기 위해 본 연구에서 제안하는 신규 평가 지표인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'전력 대비 정확도 효율 지수(Power Cost per Accuracy Gain, PCAG)'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수학적 정의, 변수 명세 및 변곡점 조건식을 수립한다.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3.3.1 기본 공식 및 변수 정의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PCAG 지표는 기준 모델(Base Model) 대비 압축된 모델(Quantized Model)의 '정확도 변화율'과 '전력 소모 변화율'의 상관 비율로 정의된다. 이 지표는 알고리즘 압축으로 발생하는 단위 전력 절감량당 모델 성능 유지력을 정량화한다.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jc w:val="both"/>
        <w:rPr>
          <w:b w:val="1"/>
          <w:bCs w:val="1"/>
          <w:sz w:val="22"/>
          <w:szCs w:val="22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shd w:fill="f8fafc" w:val="clear"/>
          <w:rtl w:val="0"/>
        </w:rPr>
        <w:t xml:space="preserve">[공식 3.1] PCAG 기본 정의식 (이산형 모델)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jc w:val="center"/>
        <w:rPr>
          <w:sz w:val="24"/>
          <w:szCs w:val="24"/>
          <w:shd w:fill="f8fafc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PCAG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vertAlign w:val="subscript"/>
          <w:rtl w:val="0"/>
        </w:rPr>
        <w:t xml:space="preserve">k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= Δ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A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vertAlign w:val="subscript"/>
          <w:rtl w:val="0"/>
        </w:rPr>
        <w:t xml:space="preserve">k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/ Δ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P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vertAlign w:val="subscript"/>
          <w:rtl w:val="0"/>
        </w:rPr>
        <w:t xml:space="preserve">k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= (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A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vertAlign w:val="subscript"/>
          <w:rtl w:val="0"/>
        </w:rPr>
        <w:t xml:space="preserve">k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-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A</w:t>
      </w:r>
      <w:r w:rsidDel="00000000" w:rsidR="00000000" w:rsidRPr="00000000">
        <w:rPr>
          <w:sz w:val="24"/>
          <w:szCs w:val="24"/>
          <w:shd w:fill="f8fafc" w:val="clear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) / (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P</w:t>
      </w:r>
      <w:r w:rsidDel="00000000" w:rsidR="00000000" w:rsidRPr="00000000">
        <w:rPr>
          <w:sz w:val="24"/>
          <w:szCs w:val="24"/>
          <w:shd w:fill="f8fafc" w:val="clear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-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P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vertAlign w:val="subscript"/>
          <w:rtl w:val="0"/>
        </w:rPr>
        <w:t xml:space="preserve">k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z w:val="24"/>
          <w:szCs w:val="24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jc w:val="both"/>
        <w:rPr>
          <w:b w:val="1"/>
          <w:bCs w:val="1"/>
          <w:sz w:val="22"/>
          <w:szCs w:val="22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shd w:fill="f8fafc" w:val="clear"/>
          <w:rtl w:val="0"/>
        </w:rPr>
        <w:t xml:space="preserve">[공식 3.2] 연속형 미분 가능 모델 (Continuous Formulation)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jc w:val="center"/>
        <w:rPr>
          <w:sz w:val="24"/>
          <w:szCs w:val="24"/>
          <w:shd w:fill="f8fafc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PCAG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(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b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) = -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dA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(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b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) /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dP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(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b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) = - (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dA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/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db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) / (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dP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/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db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공식에 사용된 개별 변수 및 파라미터의 상세 명세는 [표 3.1]과 같다.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[표 3.1] PCAG 수학적 수식 변수 및 단위 정의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변수 (Variable)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표기 (Symbol)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단위 (Unit)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수학적 정의 및 물리적 의미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기준 모델 정밀도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Bits (비트)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양자화 전 원본 모델의 가중치 정밀도 (기본값: FP16 = 16-bit)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타깃 모델 정밀도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i w:val="1"/>
                <w:iCs w:val="1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Bits (비트)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k번째 양자화가 적용된 모델의 가중치 정밀도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&lt;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, 예: INT8, INT4)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기준 정확도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% (또는 Ratio)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기준 모델(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)의 MMLU / GSM8K 등 표준 벤치마크 추론 정확도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양자화 정확도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i w:val="1"/>
                <w:iCs w:val="1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% (또는 Ratio)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k번째 양자화 모델(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)의 벤치마크 추론 정확도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≤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정확도 변화량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i w:val="1"/>
                <w:iCs w:val="1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Δ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%p (Percentage Point)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양자화에 따른 정확도 손실량 (Δ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≤ 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기준 소비 전력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Watts (W) 또는 Joules/Token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기준 모델(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) 추론 시 발생 시간당 평균 전력 소모량 또는 토큰당 에너지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양자화 소비 전력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i w:val="1"/>
                <w:iCs w:val="1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Watts (W) 또는 Joules/Token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k번째 양자화 모델(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) 추론 시 발생 전력 소모량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&lt;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전력 절감량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i w:val="1"/>
                <w:iCs w:val="1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Δ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Watts (W)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양자화에 따라 절감된 소비 전력량 (Δ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sz w:val="20"/>
                <w:szCs w:val="2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vertAlign w:val="subscript"/>
                <w:rtl w:val="0"/>
              </w:rPr>
              <w:t xml:space="preserve">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&gt; 0)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7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 PCAG 지수의 수치적 해석 및 물리적 구간 분류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PCAG 지수는 압축 수준(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따른 효율성을 3가지 구간으로 분류하여 해석한다.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상승/최적 구간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PCAG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k</w:t>
      </w:r>
      <w:r w:rsidDel="00000000" w:rsidR="00000000" w:rsidRPr="00000000">
        <w:rPr>
          <w:b w:val="1"/>
          <w:bCs w:val="1"/>
          <w:rtl w:val="0"/>
        </w:rPr>
        <w:t xml:space="preserve"> &gt; 0):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전력 절감 폭(Δ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비해 정확도 하락(Δ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)이 극히 미미한 상태. 양자화에 따른 한계효용이 극대화되는 최적의 소프트웨어 최적화 구간.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임계 변곡점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PCAG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0 또는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PCAG</w:t>
      </w:r>
      <w:r w:rsidDel="00000000" w:rsidR="00000000" w:rsidRPr="00000000">
        <w:rPr>
          <w:b w:val="1"/>
          <w:bCs w:val="1"/>
          <w:rtl w:val="0"/>
        </w:rPr>
        <w:t xml:space="preserve">)/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db</w:t>
      </w:r>
      <w:r w:rsidDel="00000000" w:rsidR="00000000" w:rsidRPr="00000000">
        <w:rPr>
          <w:b w:val="1"/>
          <w:bCs w:val="1"/>
          <w:rtl w:val="0"/>
        </w:rPr>
        <w:t xml:space="preserve"> = 0):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양자화 압축에 따른 전력 절감의 한계 이득과 정확도 손실 폭이 평형을 이루는 물리적 효율 한계선.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비효율/붕괴 구간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PCAG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≪ 0 또는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PCAG</w:t>
      </w:r>
      <w:r w:rsidDel="00000000" w:rsidR="00000000" w:rsidRPr="00000000">
        <w:rPr>
          <w:b w:val="1"/>
          <w:bCs w:val="1"/>
          <w:i w:val="1"/>
          <w:iCs w:val="1"/>
          <w:vertAlign w:val="subscript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-∞):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비트 수 축소에 따라 전력 절감량은 미미해지는 반면, 모델 표현력 붕괴로 정확도가 폭락하는 구간. 소프트웨어 최적화의 가치를 상실함.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3.3.3 전력 벽(Power Wall) 변곡점 조건식 수립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연구에서는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전력 벽(Power Wall)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"알고리즘적 양자화를 통한 연산 효율성 개선이 모델의 실질적 성능 유지를 보장하지 못하게 되는 물리적/수학적 지점"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정의한다. 이를 정량적으로 판정하기 위한 조건식은 다음과 같다.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225" w:right="2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jc w:val="both"/>
        <w:rPr>
          <w:b w:val="1"/>
          <w:bCs w:val="1"/>
          <w:sz w:val="22"/>
          <w:szCs w:val="22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shd w:fill="f8fafc" w:val="clear"/>
          <w:rtl w:val="0"/>
        </w:rPr>
        <w:t xml:space="preserve">[조건식 3.1] 2차 미분 기반 변곡점 판정 조건 (Inflection Point Condition)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jc w:val="both"/>
        <w:rPr>
          <w:sz w:val="22"/>
          <w:szCs w:val="22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f8fafc" w:val="clear"/>
          <w:rtl w:val="0"/>
        </w:rPr>
        <w:t xml:space="preserve">비트 정밀도 </w:t>
      </w:r>
      <w:r w:rsidDel="00000000" w:rsidR="00000000" w:rsidRPr="00000000">
        <w:rPr>
          <w:i w:val="1"/>
          <w:iCs w:val="1"/>
          <w:sz w:val="22"/>
          <w:szCs w:val="22"/>
          <w:shd w:fill="f8fafc" w:val="clear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f8fafc" w:val="clear"/>
          <w:rtl w:val="0"/>
        </w:rPr>
        <w:t xml:space="preserve">에 따른 </w:t>
      </w:r>
      <w:r w:rsidDel="00000000" w:rsidR="00000000" w:rsidRPr="00000000">
        <w:rPr>
          <w:i w:val="1"/>
          <w:iCs w:val="1"/>
          <w:sz w:val="22"/>
          <w:szCs w:val="22"/>
          <w:shd w:fill="f8fafc" w:val="clear"/>
          <w:rtl w:val="0"/>
        </w:rPr>
        <w:t xml:space="preserve">PCAG</w:t>
      </w:r>
      <w:r w:rsidDel="00000000" w:rsidR="00000000" w:rsidRPr="00000000">
        <w:rPr>
          <w:sz w:val="22"/>
          <w:szCs w:val="22"/>
          <w:shd w:fill="f8fafc" w:val="clear"/>
          <w:rtl w:val="0"/>
        </w:rPr>
        <w:t xml:space="preserve">(</w:t>
      </w:r>
      <w:r w:rsidDel="00000000" w:rsidR="00000000" w:rsidRPr="00000000">
        <w:rPr>
          <w:i w:val="1"/>
          <w:iCs w:val="1"/>
          <w:sz w:val="22"/>
          <w:szCs w:val="22"/>
          <w:shd w:fill="f8fafc" w:val="clear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f8fafc" w:val="clear"/>
          <w:rtl w:val="0"/>
        </w:rPr>
        <w:t xml:space="preserve">) 곡선에서, 2차 미분값이 0이 되며 곡선의 오목/볼록 성질이 변하는 지점 </w:t>
      </w:r>
      <w:r w:rsidDel="00000000" w:rsidR="00000000" w:rsidRPr="00000000">
        <w:rPr>
          <w:i w:val="1"/>
          <w:iCs w:val="1"/>
          <w:sz w:val="22"/>
          <w:szCs w:val="22"/>
          <w:shd w:fill="f8fafc" w:val="clear"/>
          <w:rtl w:val="0"/>
        </w:rPr>
        <w:t xml:space="preserve">b</w:t>
      </w:r>
      <w:r w:rsidDel="00000000" w:rsidR="00000000" w:rsidRPr="00000000">
        <w:rPr>
          <w:i w:val="1"/>
          <w:iCs w:val="1"/>
          <w:sz w:val="22"/>
          <w:szCs w:val="22"/>
          <w:shd w:fill="f8fafc" w:val="clear"/>
          <w:vertAlign w:val="subscript"/>
          <w:rtl w:val="0"/>
        </w:rPr>
        <w:t xml:space="preserve">wall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f8fafc" w:val="clear"/>
          <w:rtl w:val="0"/>
        </w:rPr>
        <w:t xml:space="preserve">을 산출한다.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jc w:val="center"/>
        <w:rPr>
          <w:sz w:val="24"/>
          <w:szCs w:val="24"/>
          <w:shd w:fill="f8fafc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d</w:t>
      </w:r>
      <w:r w:rsidDel="00000000" w:rsidR="00000000" w:rsidRPr="00000000">
        <w:rPr>
          <w:sz w:val="24"/>
          <w:szCs w:val="24"/>
          <w:shd w:fill="f8fafc" w:val="clear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PCAG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(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b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) /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db</w:t>
      </w:r>
      <w:r w:rsidDel="00000000" w:rsidR="00000000" w:rsidRPr="00000000">
        <w:rPr>
          <w:sz w:val="24"/>
          <w:szCs w:val="24"/>
          <w:shd w:fill="f8fafc" w:val="clear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= 0      and     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d</w:t>
      </w:r>
      <w:r w:rsidDel="00000000" w:rsidR="00000000" w:rsidRPr="00000000">
        <w:rPr>
          <w:sz w:val="24"/>
          <w:szCs w:val="24"/>
          <w:shd w:fill="f8fafc" w:val="clear"/>
          <w:vertAlign w:val="superscript"/>
          <w:rtl w:val="0"/>
        </w:rPr>
        <w:t xml:space="preserve">3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PCAG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(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b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) /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db</w:t>
      </w:r>
      <w:r w:rsidDel="00000000" w:rsidR="00000000" w:rsidRPr="00000000">
        <w:rPr>
          <w:sz w:val="24"/>
          <w:szCs w:val="24"/>
          <w:shd w:fill="f8fafc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8fafc" w:val="clear"/>
          <w:rtl w:val="0"/>
        </w:rPr>
        <w:t xml:space="preserve"> ≠ 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z w:val="24"/>
          <w:szCs w:val="24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jc w:val="both"/>
        <w:rPr>
          <w:b w:val="1"/>
          <w:bCs w:val="1"/>
          <w:sz w:val="22"/>
          <w:szCs w:val="22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shd w:fill="f8fafc" w:val="clear"/>
          <w:rtl w:val="0"/>
        </w:rPr>
        <w:t xml:space="preserve">[조건식 3.2] 한계효용 붕괴 판정 조건 (Marginal Utility Degradation)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jc w:val="both"/>
        <w:rPr>
          <w:sz w:val="22"/>
          <w:szCs w:val="22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f8fafc" w:val="clear"/>
          <w:rtl w:val="0"/>
        </w:rPr>
        <w:t xml:space="preserve">연속적인 양자화 단계 (</w:t>
      </w:r>
      <w:r w:rsidDel="00000000" w:rsidR="00000000" w:rsidRPr="00000000">
        <w:rPr>
          <w:i w:val="1"/>
          <w:iCs w:val="1"/>
          <w:sz w:val="22"/>
          <w:szCs w:val="22"/>
          <w:shd w:fill="f8fafc" w:val="clear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f8fafc" w:val="clear"/>
          <w:rtl w:val="0"/>
        </w:rPr>
        <w:t xml:space="preserve"> → </w:t>
      </w:r>
      <w:r w:rsidDel="00000000" w:rsidR="00000000" w:rsidRPr="00000000">
        <w:rPr>
          <w:i w:val="1"/>
          <w:iCs w:val="1"/>
          <w:sz w:val="22"/>
          <w:szCs w:val="22"/>
          <w:shd w:fill="f8fafc" w:val="clear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f8fafc" w:val="clear"/>
          <w:rtl w:val="0"/>
        </w:rPr>
        <w:t xml:space="preserve">+1) 간 임계 효율 임계값 θ를 설정하여, PCAG의 변화율이 획기적으로 악화되는 한계 비트 </w:t>
      </w:r>
      <w:r w:rsidDel="00000000" w:rsidR="00000000" w:rsidRPr="00000000">
        <w:rPr>
          <w:i w:val="1"/>
          <w:iCs w:val="1"/>
          <w:sz w:val="22"/>
          <w:szCs w:val="22"/>
          <w:shd w:fill="f8fafc" w:val="clear"/>
          <w:rtl w:val="0"/>
        </w:rPr>
        <w:t xml:space="preserve">b</w:t>
      </w:r>
      <w:r w:rsidDel="00000000" w:rsidR="00000000" w:rsidRPr="00000000">
        <w:rPr>
          <w:i w:val="1"/>
          <w:iCs w:val="1"/>
          <w:sz w:val="22"/>
          <w:szCs w:val="22"/>
          <w:shd w:fill="f8fafc" w:val="clear"/>
          <w:vertAlign w:val="subscript"/>
          <w:rtl w:val="0"/>
        </w:rPr>
        <w:t xml:space="preserve">wall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f8fafc" w:val="clear"/>
          <w:rtl w:val="0"/>
        </w:rPr>
        <w:t xml:space="preserve">을 구한다.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jc w:val="center"/>
        <w:rPr>
          <w:sz w:val="24"/>
          <w:szCs w:val="24"/>
          <w:shd w:fill="f8fafc" w:val="clear"/>
        </w:rPr>
      </w:pP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| (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PCAG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vertAlign w:val="subscript"/>
          <w:rtl w:val="0"/>
        </w:rPr>
        <w:t xml:space="preserve">k</w:t>
      </w:r>
      <w:r w:rsidDel="00000000" w:rsidR="00000000" w:rsidRPr="00000000">
        <w:rPr>
          <w:sz w:val="24"/>
          <w:szCs w:val="24"/>
          <w:shd w:fill="f8fafc" w:val="clear"/>
          <w:vertAlign w:val="subscript"/>
          <w:rtl w:val="0"/>
        </w:rPr>
        <w:t xml:space="preserve">+1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-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PCAG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vertAlign w:val="subscript"/>
          <w:rtl w:val="0"/>
        </w:rPr>
        <w:t xml:space="preserve">k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) / (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b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vertAlign w:val="subscript"/>
          <w:rtl w:val="0"/>
        </w:rPr>
        <w:t xml:space="preserve">k</w:t>
      </w:r>
      <w:r w:rsidDel="00000000" w:rsidR="00000000" w:rsidRPr="00000000">
        <w:rPr>
          <w:sz w:val="24"/>
          <w:szCs w:val="24"/>
          <w:shd w:fill="f8fafc" w:val="clear"/>
          <w:vertAlign w:val="subscript"/>
          <w:rtl w:val="0"/>
        </w:rPr>
        <w:t xml:space="preserve">+1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- 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rtl w:val="0"/>
        </w:rPr>
        <w:t xml:space="preserve">b</w:t>
      </w:r>
      <w:r w:rsidDel="00000000" w:rsidR="00000000" w:rsidRPr="00000000">
        <w:rPr>
          <w:i w:val="1"/>
          <w:iCs w:val="1"/>
          <w:sz w:val="24"/>
          <w:szCs w:val="24"/>
          <w:shd w:fill="f8fafc" w:val="clear"/>
          <w:vertAlign w:val="subscript"/>
          <w:rtl w:val="0"/>
        </w:rPr>
        <w:t xml:space="preserve">k</w:t>
      </w:r>
      <w:r w:rsidDel="00000000" w:rsidR="00000000" w:rsidRPr="00000000">
        <w:rPr>
          <w:sz w:val="24"/>
          <w:szCs w:val="24"/>
          <w:shd w:fill="f8fafc" w:val="clear"/>
          <w:rtl w:val="0"/>
        </w:rPr>
        <w:t xml:space="preserve"> ) | &gt; θ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25" w:right="225" w:firstLine="0"/>
        <w:jc w:val="center"/>
        <w:rPr>
          <w:color w:val="4a5568"/>
          <w:sz w:val="18"/>
          <w:szCs w:val="18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sz w:val="18"/>
          <w:szCs w:val="18"/>
          <w:shd w:fill="f8fafc" w:val="clear"/>
          <w:rtl w:val="0"/>
        </w:rPr>
        <w:t xml:space="preserve">(단, θ는 모델 수용성에 대한 임계 감도 값)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상기 수식에 따라,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wall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INT4 이하 영역)로 진행될 경우 PCAG 값은 붕괴하며, 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소프트웨어적 양자화 접근법만으로는 넘을 수 없는 '전력 벽(Power Wall)'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존재함을 수학적으로 증명한다.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00" w:lineRule="auto"/>
    </w:pPr>
    <w:rPr>
      <w:b w:val="1"/>
      <w:bCs w:val="1"/>
      <w:i w:val="0"/>
      <w:iCs w:val="0"/>
      <w:color w:val="1a365d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70" w:lineRule="auto"/>
    </w:pPr>
    <w:rPr>
      <w:b w:val="1"/>
      <w:bCs w:val="1"/>
      <w:i w:val="0"/>
      <w:iCs w:val="0"/>
      <w:color w:val="2b6cb0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10" w:lineRule="auto"/>
    </w:pPr>
    <w:rPr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