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Artopia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Museum Curation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481138" cy="1441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4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 in background → gives instructions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Artwork list on the right (include artworks, scroll up &amp; down)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to place, click and zoom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placing all 3 works, click to confirm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and tips (at least 1 star)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Artwork Info: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Irises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Vincent van Gogh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Self-portrait with grey felt 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Vincent van Gogh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Water Lilies and Japanese Bridge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Claude Monet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Rouen Cathedral, West Façade, Sunlight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Claude Monet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Washerwomen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Paul Gauguin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Self-portrait with Small Monkey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Frida Kahlo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Madonna in the Meadow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Raphael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Dort or Dordrecht: The Dort packet-boat from Rotterdam becalmed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Joseph Mallord William Turner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Gleaners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Jean-François Millet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Anatomy Lesson of Dr Nicolaes Tulp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Rembrandt van Rijn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Madonna of the Rosary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Caravaggio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Massacre of the Innocents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Peter Paul Rubens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