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color w:val="1E64C8"/>
          <w:sz w:val="44"/>
        </w:rPr>
        <w:t>Decision-Support Use Cases</w:t>
      </w:r>
    </w:p>
    <w:p>
      <w:pPr>
        <w:jc w:val="center"/>
      </w:pPr>
      <w:r>
        <w:rPr>
          <w:rFonts w:ascii="Arial" w:hAnsi="Arial"/>
          <w:color w:val="505078"/>
          <w:sz w:val="24"/>
        </w:rPr>
        <w:t>Tips Analytics Interactive Dashboard  |  Sprint 2 · Milestone 5</w:t>
      </w:r>
    </w:p>
    <w:p/>
    <w:p>
      <w:pPr>
        <w:jc w:val="center"/>
      </w:pPr>
      <w:r>
        <w:rPr>
          <w:rFonts w:ascii="Arial" w:hAnsi="Arial"/>
          <w:color w:val="3C3C50"/>
          <w:sz w:val="22"/>
        </w:rPr>
        <w:t>SCT213-C002-0141/2024  GACHOMO NJERU</w:t>
        <w:br/>
        <w:t>SCT213-C002-0063/2024  MWITA NYEHITA</w:t>
        <w:br/>
        <w:t>SCT213-C002-0142/2024  KARWEGA NJERU</w:t>
      </w:r>
    </w:p>
    <w:p/>
    <w:p>
      <w:pPr>
        <w:jc w:val="center"/>
      </w:pPr>
      <w:r>
        <w:rPr>
          <w:rFonts w:ascii="Arial" w:hAnsi="Arial"/>
          <w:color w:val="78788C"/>
          <w:sz w:val="20"/>
        </w:rPr>
        <w:t>May 10, 2026</w:t>
      </w:r>
    </w:p>
    <w:p>
      <w:r>
        <w:br w:type="page"/>
      </w:r>
    </w:p>
    <w:p>
      <w:pPr>
        <w:spacing w:before="360" w:after="120"/>
      </w:pPr>
      <w:r>
        <w:rPr>
          <w:rFonts w:ascii="Arial" w:hAnsi="Arial"/>
          <w:b/>
          <w:color w:val="1E64C8"/>
          <w:sz w:val="32"/>
        </w:rPr>
        <w:t>1. Introduction</w:t>
      </w:r>
    </w:p>
    <w:p>
      <w:pPr>
        <w:spacing w:after="100"/>
      </w:pPr>
      <w:r>
        <w:rPr>
          <w:rFonts w:ascii="Arial" w:hAnsi="Arial"/>
          <w:sz w:val="22"/>
        </w:rPr>
        <w:t>This document defines six decision-support use cases for the Tips Analytics Dashboard. Each use case describes a realistic stakeholder scenario, the analytical question to be answered, the dashboard interactions required, and the decision that can be made from the output. Together, they demonstrate how the interactive system transforms raw restaurant transaction data into actionable management intelligence.</w:t>
      </w:r>
    </w:p>
    <w:p>
      <w:pPr>
        <w:spacing w:before="360" w:after="120"/>
      </w:pPr>
      <w:r>
        <w:rPr>
          <w:rFonts w:ascii="Arial" w:hAnsi="Arial"/>
          <w:b/>
          <w:color w:val="1E64C8"/>
          <w:sz w:val="32"/>
        </w:rPr>
        <w:t>Use Case 1 — Weekend Staffing Optimisation</w:t>
      </w:r>
    </w:p>
    <w:tbl>
      <w:tblPr>
        <w:tblStyle w:val="TableGrid"/>
        <w:tblW w:type="auto" w:w="0"/>
        <w:tblLook w:firstColumn="1" w:firstRow="1" w:lastColumn="0" w:lastRow="0" w:noHBand="0" w:noVBand="1" w:val="04A0"/>
      </w:tblPr>
      <w:tblGrid>
        <w:gridCol w:w="4392"/>
        <w:gridCol w:w="4392"/>
      </w:tblGrid>
      <w:tr>
        <w:tc>
          <w:tcPr>
            <w:tcW w:type="dxa" w:w="4392"/>
          </w:tcPr>
          <w:p>
            <w:r>
              <w:rPr>
                <w:rFonts w:ascii="Arial" w:hAnsi="Arial"/>
                <w:b/>
              </w:rPr>
              <w:t>Field</w:t>
            </w:r>
          </w:p>
        </w:tc>
        <w:tc>
          <w:tcPr>
            <w:tcW w:type="dxa" w:w="4392"/>
          </w:tcPr>
          <w:p>
            <w:r>
              <w:rPr>
                <w:rFonts w:ascii="Arial" w:hAnsi="Arial"/>
                <w:b/>
              </w:rPr>
              <w:t>Detail</w:t>
            </w:r>
          </w:p>
        </w:tc>
      </w:tr>
      <w:tr>
        <w:tc>
          <w:tcPr>
            <w:tcW w:type="dxa" w:w="4392"/>
          </w:tcPr>
          <w:p>
            <w:r>
              <w:rPr>
                <w:b/>
              </w:rPr>
              <w:t>UC ID</w:t>
            </w:r>
          </w:p>
        </w:tc>
        <w:tc>
          <w:tcPr>
            <w:tcW w:type="dxa" w:w="4392"/>
          </w:tcPr>
          <w:p>
            <w:r>
              <w:t>UC-01</w:t>
            </w:r>
          </w:p>
        </w:tc>
      </w:tr>
      <w:tr>
        <w:tc>
          <w:tcPr>
            <w:tcW w:type="dxa" w:w="4392"/>
          </w:tcPr>
          <w:p>
            <w:r>
              <w:rPr>
                <w:b/>
              </w:rPr>
              <w:t>Stakeholder</w:t>
            </w:r>
          </w:p>
        </w:tc>
        <w:tc>
          <w:tcPr>
            <w:tcW w:type="dxa" w:w="4392"/>
          </w:tcPr>
          <w:p>
            <w:r>
              <w:t>Restaurant Operations Manager</w:t>
            </w:r>
          </w:p>
        </w:tc>
      </w:tr>
      <w:tr>
        <w:tc>
          <w:tcPr>
            <w:tcW w:type="dxa" w:w="4392"/>
          </w:tcPr>
          <w:p>
            <w:r>
              <w:rPr>
                <w:b/>
              </w:rPr>
              <w:t>Goal</w:t>
            </w:r>
          </w:p>
        </w:tc>
        <w:tc>
          <w:tcPr>
            <w:tcW w:type="dxa" w:w="4392"/>
          </w:tcPr>
          <w:p>
            <w:r>
              <w:t>Determine whether weekend shifts (Saturday / Sunday) generate significantly higher tips and bills, to justify premium staffing investment.</w:t>
            </w:r>
          </w:p>
        </w:tc>
      </w:tr>
      <w:tr>
        <w:tc>
          <w:tcPr>
            <w:tcW w:type="dxa" w:w="4392"/>
          </w:tcPr>
          <w:p>
            <w:r>
              <w:rPr>
                <w:b/>
              </w:rPr>
              <w:t>Dashboard Actions</w:t>
            </w:r>
          </w:p>
        </w:tc>
        <w:tc>
          <w:tcPr>
            <w:tcW w:type="dxa" w:w="4392"/>
          </w:tcPr>
          <w:p>
            <w:r>
              <w:t>Set Day = Saturday → note KPI values. Reset. Set Day = Sunday → note. Reset. Compare both against Thursday/Friday.</w:t>
            </w:r>
          </w:p>
        </w:tc>
      </w:tr>
      <w:tr>
        <w:tc>
          <w:tcPr>
            <w:tcW w:type="dxa" w:w="4392"/>
          </w:tcPr>
          <w:p>
            <w:r>
              <w:rPr>
                <w:b/>
              </w:rPr>
              <w:t>Key Metrics</w:t>
            </w:r>
          </w:p>
        </w:tc>
        <w:tc>
          <w:tcPr>
            <w:tcW w:type="dxa" w:w="4392"/>
          </w:tcPr>
          <w:p>
            <w:r>
              <w:t>Avg Tip ($), Avg Bill ($), Total Records, Avg Tip %</w:t>
            </w:r>
          </w:p>
        </w:tc>
      </w:tr>
      <w:tr>
        <w:tc>
          <w:tcPr>
            <w:tcW w:type="dxa" w:w="4392"/>
          </w:tcPr>
          <w:p>
            <w:r>
              <w:rPr>
                <w:b/>
              </w:rPr>
              <w:t>Charts Used</w:t>
            </w:r>
          </w:p>
        </w:tc>
        <w:tc>
          <w:tcPr>
            <w:tcW w:type="dxa" w:w="4392"/>
          </w:tcPr>
          <w:p>
            <w:r>
              <w:t>KPI Strip (all cards), Avg Tip &amp; Bill by Day bar chart</w:t>
            </w:r>
          </w:p>
        </w:tc>
      </w:tr>
      <w:tr>
        <w:tc>
          <w:tcPr>
            <w:tcW w:type="dxa" w:w="4392"/>
          </w:tcPr>
          <w:p>
            <w:r>
              <w:rPr>
                <w:b/>
              </w:rPr>
              <w:t>Expected Finding</w:t>
            </w:r>
          </w:p>
        </w:tc>
        <w:tc>
          <w:tcPr>
            <w:tcW w:type="dxa" w:w="4392"/>
          </w:tcPr>
          <w:p>
            <w:r>
              <w:t>Saturday and Sunday show higher average bills and tips, confirming weekend revenue dominance.</w:t>
            </w:r>
          </w:p>
        </w:tc>
      </w:tr>
      <w:tr>
        <w:tc>
          <w:tcPr>
            <w:tcW w:type="dxa" w:w="4392"/>
          </w:tcPr>
          <w:p>
            <w:r>
              <w:rPr>
                <w:b/>
              </w:rPr>
              <w:t>Decision Supported</w:t>
            </w:r>
          </w:p>
        </w:tc>
        <w:tc>
          <w:tcPr>
            <w:tcW w:type="dxa" w:w="4392"/>
          </w:tcPr>
          <w:p>
            <w:r>
              <w:t>Allocate 20–30% more staff on Saturday/Sunday evenings. Set performance bonuses tied to weekend tip averages.</w:t>
            </w:r>
          </w:p>
        </w:tc>
      </w:tr>
      <w:tr>
        <w:tc>
          <w:tcPr>
            <w:tcW w:type="dxa" w:w="4392"/>
          </w:tcPr>
          <w:p>
            <w:r>
              <w:rPr>
                <w:b/>
              </w:rPr>
              <w:t>Success Criterion</w:t>
            </w:r>
          </w:p>
        </w:tc>
        <w:tc>
          <w:tcPr>
            <w:tcW w:type="dxa" w:w="4392"/>
          </w:tcPr>
          <w:p>
            <w:r>
              <w:t>Weekend avg tip &gt; weekday avg tip by at least $0.50; manager can confirm this in under 2 minutes using the dashboard.</w:t>
            </w:r>
          </w:p>
        </w:tc>
      </w:tr>
    </w:tbl>
    <w:p/>
    <w:p>
      <w:pPr>
        <w:spacing w:before="360" w:after="120"/>
      </w:pPr>
      <w:r>
        <w:rPr>
          <w:rFonts w:ascii="Arial" w:hAnsi="Arial"/>
          <w:b/>
          <w:color w:val="1E64C8"/>
          <w:sz w:val="32"/>
        </w:rPr>
        <w:t>Use Case 2 — Smoking Section Policy Review</w:t>
      </w:r>
    </w:p>
    <w:tbl>
      <w:tblPr>
        <w:tblStyle w:val="TableGrid"/>
        <w:tblW w:type="auto" w:w="0"/>
        <w:tblLook w:firstColumn="1" w:firstRow="1" w:lastColumn="0" w:lastRow="0" w:noHBand="0" w:noVBand="1" w:val="04A0"/>
      </w:tblPr>
      <w:tblGrid>
        <w:gridCol w:w="4392"/>
        <w:gridCol w:w="4392"/>
      </w:tblGrid>
      <w:tr>
        <w:tc>
          <w:tcPr>
            <w:tcW w:type="dxa" w:w="4392"/>
          </w:tcPr>
          <w:p>
            <w:r>
              <w:rPr>
                <w:rFonts w:ascii="Arial" w:hAnsi="Arial"/>
                <w:b/>
              </w:rPr>
              <w:t>Field</w:t>
            </w:r>
          </w:p>
        </w:tc>
        <w:tc>
          <w:tcPr>
            <w:tcW w:type="dxa" w:w="4392"/>
          </w:tcPr>
          <w:p>
            <w:r>
              <w:rPr>
                <w:rFonts w:ascii="Arial" w:hAnsi="Arial"/>
                <w:b/>
              </w:rPr>
              <w:t>Detail</w:t>
            </w:r>
          </w:p>
        </w:tc>
      </w:tr>
      <w:tr>
        <w:tc>
          <w:tcPr>
            <w:tcW w:type="dxa" w:w="4392"/>
          </w:tcPr>
          <w:p>
            <w:r>
              <w:rPr>
                <w:b/>
              </w:rPr>
              <w:t>UC ID</w:t>
            </w:r>
          </w:p>
        </w:tc>
        <w:tc>
          <w:tcPr>
            <w:tcW w:type="dxa" w:w="4392"/>
          </w:tcPr>
          <w:p>
            <w:r>
              <w:t>UC-02</w:t>
            </w:r>
          </w:p>
        </w:tc>
      </w:tr>
      <w:tr>
        <w:tc>
          <w:tcPr>
            <w:tcW w:type="dxa" w:w="4392"/>
          </w:tcPr>
          <w:p>
            <w:r>
              <w:rPr>
                <w:b/>
              </w:rPr>
              <w:t>Stakeholder</w:t>
            </w:r>
          </w:p>
        </w:tc>
        <w:tc>
          <w:tcPr>
            <w:tcW w:type="dxa" w:w="4392"/>
          </w:tcPr>
          <w:p>
            <w:r>
              <w:t>Restaurant Owner / Policy Maker</w:t>
            </w:r>
          </w:p>
        </w:tc>
      </w:tr>
      <w:tr>
        <w:tc>
          <w:tcPr>
            <w:tcW w:type="dxa" w:w="4392"/>
          </w:tcPr>
          <w:p>
            <w:r>
              <w:rPr>
                <w:b/>
              </w:rPr>
              <w:t>Goal</w:t>
            </w:r>
          </w:p>
        </w:tc>
        <w:tc>
          <w:tcPr>
            <w:tcW w:type="dxa" w:w="4392"/>
          </w:tcPr>
          <w:p>
            <w:r>
              <w:t>Assess whether smoker sections generate comparable revenue and tips to justify maintaining a dedicated smoking area, or whether eliminating it improves the tip rate.</w:t>
            </w:r>
          </w:p>
        </w:tc>
      </w:tr>
      <w:tr>
        <w:tc>
          <w:tcPr>
            <w:tcW w:type="dxa" w:w="4392"/>
          </w:tcPr>
          <w:p>
            <w:r>
              <w:rPr>
                <w:b/>
              </w:rPr>
              <w:t>Dashboard Actions</w:t>
            </w:r>
          </w:p>
        </w:tc>
        <w:tc>
          <w:tcPr>
            <w:tcW w:type="dxa" w:w="4392"/>
          </w:tcPr>
          <w:p>
            <w:r>
              <w:t>Set Smoker = Smoker → record KPIs and Generous Tip Rate. Reset. Set Smoker = Non-Smoker → compare.</w:t>
            </w:r>
          </w:p>
        </w:tc>
      </w:tr>
      <w:tr>
        <w:tc>
          <w:tcPr>
            <w:tcW w:type="dxa" w:w="4392"/>
          </w:tcPr>
          <w:p>
            <w:r>
              <w:rPr>
                <w:b/>
              </w:rPr>
              <w:t>Key Metrics</w:t>
            </w:r>
          </w:p>
        </w:tc>
        <w:tc>
          <w:tcPr>
            <w:tcW w:type="dxa" w:w="4392"/>
          </w:tcPr>
          <w:p>
            <w:r>
              <w:t>Avg Tip %, Avg Bill ($), Generous Tip Rate, Total Records</w:t>
            </w:r>
          </w:p>
        </w:tc>
      </w:tr>
      <w:tr>
        <w:tc>
          <w:tcPr>
            <w:tcW w:type="dxa" w:w="4392"/>
          </w:tcPr>
          <w:p>
            <w:r>
              <w:rPr>
                <w:b/>
              </w:rPr>
              <w:t>Charts Used</w:t>
            </w:r>
          </w:p>
        </w:tc>
        <w:tc>
          <w:tcPr>
            <w:tcW w:type="dxa" w:w="4392"/>
          </w:tcPr>
          <w:p>
            <w:r>
              <w:t>Doughnut (generosity split), Smoker Split by Time stacked bar, KPI strip</w:t>
            </w:r>
          </w:p>
        </w:tc>
      </w:tr>
      <w:tr>
        <w:tc>
          <w:tcPr>
            <w:tcW w:type="dxa" w:w="4392"/>
          </w:tcPr>
          <w:p>
            <w:r>
              <w:rPr>
                <w:b/>
              </w:rPr>
              <w:t>Expected Finding</w:t>
            </w:r>
          </w:p>
        </w:tc>
        <w:tc>
          <w:tcPr>
            <w:tcW w:type="dxa" w:w="4392"/>
          </w:tcPr>
          <w:p>
            <w:r>
              <w:t>Non-smokers may have a higher avg tip % or larger bills; the doughnut shows their generosity tier breakdown.</w:t>
            </w:r>
          </w:p>
        </w:tc>
      </w:tr>
      <w:tr>
        <w:tc>
          <w:tcPr>
            <w:tcW w:type="dxa" w:w="4392"/>
          </w:tcPr>
          <w:p>
            <w:r>
              <w:rPr>
                <w:b/>
              </w:rPr>
              <w:t>Decision Supported</w:t>
            </w:r>
          </w:p>
        </w:tc>
        <w:tc>
          <w:tcPr>
            <w:tcW w:type="dxa" w:w="4392"/>
          </w:tcPr>
          <w:p>
            <w:r>
              <w:t>If non-smoker avg tip % exceeds smoker by &gt;2%, the owner can make a data-backed case for converting the smoking area to additional non-smoking covers.</w:t>
            </w:r>
          </w:p>
        </w:tc>
      </w:tr>
      <w:tr>
        <w:tc>
          <w:tcPr>
            <w:tcW w:type="dxa" w:w="4392"/>
          </w:tcPr>
          <w:p>
            <w:r>
              <w:rPr>
                <w:b/>
              </w:rPr>
              <w:t>Success Criterion</w:t>
            </w:r>
          </w:p>
        </w:tc>
        <w:tc>
          <w:tcPr>
            <w:tcW w:type="dxa" w:w="4392"/>
          </w:tcPr>
          <w:p>
            <w:r>
              <w:t>Dashboard clearly shows side-by-side comparison within 3 filter interactions.</w:t>
            </w:r>
          </w:p>
        </w:tc>
      </w:tr>
    </w:tbl>
    <w:p/>
    <w:p>
      <w:pPr>
        <w:spacing w:before="360" w:after="120"/>
      </w:pPr>
      <w:r>
        <w:rPr>
          <w:rFonts w:ascii="Arial" w:hAnsi="Arial"/>
          <w:b/>
          <w:color w:val="1E64C8"/>
          <w:sz w:val="32"/>
        </w:rPr>
        <w:t>Use Case 3 — Lunch vs Dinner Pricing Strategy</w:t>
      </w:r>
    </w:p>
    <w:tbl>
      <w:tblPr>
        <w:tblStyle w:val="TableGrid"/>
        <w:tblW w:type="auto" w:w="0"/>
        <w:tblLook w:firstColumn="1" w:firstRow="1" w:lastColumn="0" w:lastRow="0" w:noHBand="0" w:noVBand="1" w:val="04A0"/>
      </w:tblPr>
      <w:tblGrid>
        <w:gridCol w:w="4392"/>
        <w:gridCol w:w="4392"/>
      </w:tblGrid>
      <w:tr>
        <w:tc>
          <w:tcPr>
            <w:tcW w:type="dxa" w:w="4392"/>
          </w:tcPr>
          <w:p>
            <w:r>
              <w:rPr>
                <w:rFonts w:ascii="Arial" w:hAnsi="Arial"/>
                <w:b/>
              </w:rPr>
              <w:t>Field</w:t>
            </w:r>
          </w:p>
        </w:tc>
        <w:tc>
          <w:tcPr>
            <w:tcW w:type="dxa" w:w="4392"/>
          </w:tcPr>
          <w:p>
            <w:r>
              <w:rPr>
                <w:rFonts w:ascii="Arial" w:hAnsi="Arial"/>
                <w:b/>
              </w:rPr>
              <w:t>Detail</w:t>
            </w:r>
          </w:p>
        </w:tc>
      </w:tr>
      <w:tr>
        <w:tc>
          <w:tcPr>
            <w:tcW w:type="dxa" w:w="4392"/>
          </w:tcPr>
          <w:p>
            <w:r>
              <w:rPr>
                <w:b/>
              </w:rPr>
              <w:t>UC ID</w:t>
            </w:r>
          </w:p>
        </w:tc>
        <w:tc>
          <w:tcPr>
            <w:tcW w:type="dxa" w:w="4392"/>
          </w:tcPr>
          <w:p>
            <w:r>
              <w:t>UC-03</w:t>
            </w:r>
          </w:p>
        </w:tc>
      </w:tr>
      <w:tr>
        <w:tc>
          <w:tcPr>
            <w:tcW w:type="dxa" w:w="4392"/>
          </w:tcPr>
          <w:p>
            <w:r>
              <w:rPr>
                <w:b/>
              </w:rPr>
              <w:t>Stakeholder</w:t>
            </w:r>
          </w:p>
        </w:tc>
        <w:tc>
          <w:tcPr>
            <w:tcW w:type="dxa" w:w="4392"/>
          </w:tcPr>
          <w:p>
            <w:r>
              <w:t>Revenue &amp; Pricing Manager</w:t>
            </w:r>
          </w:p>
        </w:tc>
      </w:tr>
      <w:tr>
        <w:tc>
          <w:tcPr>
            <w:tcW w:type="dxa" w:w="4392"/>
          </w:tcPr>
          <w:p>
            <w:r>
              <w:rPr>
                <w:b/>
              </w:rPr>
              <w:t>Goal</w:t>
            </w:r>
          </w:p>
        </w:tc>
        <w:tc>
          <w:tcPr>
            <w:tcW w:type="dxa" w:w="4392"/>
          </w:tcPr>
          <w:p>
            <w:r>
              <w:t>Compare average bill size and tip behaviour between Lunch and Dinner to inform menu pricing and upselling strategies.</w:t>
            </w:r>
          </w:p>
        </w:tc>
      </w:tr>
      <w:tr>
        <w:tc>
          <w:tcPr>
            <w:tcW w:type="dxa" w:w="4392"/>
          </w:tcPr>
          <w:p>
            <w:r>
              <w:rPr>
                <w:b/>
              </w:rPr>
              <w:t>Dashboard Actions</w:t>
            </w:r>
          </w:p>
        </w:tc>
        <w:tc>
          <w:tcPr>
            <w:tcW w:type="dxa" w:w="4392"/>
          </w:tcPr>
          <w:p>
            <w:r>
              <w:t>Set Time = Lunch → record Avg Bill, Avg Tip, Avg Tip %. Reset. Set Time = Dinner → compare.</w:t>
            </w:r>
          </w:p>
        </w:tc>
      </w:tr>
      <w:tr>
        <w:tc>
          <w:tcPr>
            <w:tcW w:type="dxa" w:w="4392"/>
          </w:tcPr>
          <w:p>
            <w:r>
              <w:rPr>
                <w:b/>
              </w:rPr>
              <w:t>Key Metrics</w:t>
            </w:r>
          </w:p>
        </w:tc>
        <w:tc>
          <w:tcPr>
            <w:tcW w:type="dxa" w:w="4392"/>
          </w:tcPr>
          <w:p>
            <w:r>
              <w:t>Avg Bill ($), Avg Tip ($), Avg Tip %, Total Records</w:t>
            </w:r>
          </w:p>
        </w:tc>
      </w:tr>
      <w:tr>
        <w:tc>
          <w:tcPr>
            <w:tcW w:type="dxa" w:w="4392"/>
          </w:tcPr>
          <w:p>
            <w:r>
              <w:rPr>
                <w:b/>
              </w:rPr>
              <w:t>Charts Used</w:t>
            </w:r>
          </w:p>
        </w:tc>
        <w:tc>
          <w:tcPr>
            <w:tcW w:type="dxa" w:w="4392"/>
          </w:tcPr>
          <w:p>
            <w:r>
              <w:t>KPI strip, Avg Tip &amp; Bill by Day bar chart, Bill vs Tip scatter</w:t>
            </w:r>
          </w:p>
        </w:tc>
      </w:tr>
      <w:tr>
        <w:tc>
          <w:tcPr>
            <w:tcW w:type="dxa" w:w="4392"/>
          </w:tcPr>
          <w:p>
            <w:r>
              <w:rPr>
                <w:b/>
              </w:rPr>
              <w:t>Expected Finding</w:t>
            </w:r>
          </w:p>
        </w:tc>
        <w:tc>
          <w:tcPr>
            <w:tcW w:type="dxa" w:w="4392"/>
          </w:tcPr>
          <w:p>
            <w:r>
              <w:t>Dinner records show higher absolute bills and tips; Lunch shows lower volume but potentially higher tip % in some segments.</w:t>
            </w:r>
          </w:p>
        </w:tc>
      </w:tr>
      <w:tr>
        <w:tc>
          <w:tcPr>
            <w:tcW w:type="dxa" w:w="4392"/>
          </w:tcPr>
          <w:p>
            <w:r>
              <w:rPr>
                <w:b/>
              </w:rPr>
              <w:t>Decision Supported</w:t>
            </w:r>
          </w:p>
        </w:tc>
        <w:tc>
          <w:tcPr>
            <w:tcW w:type="dxa" w:w="4392"/>
          </w:tcPr>
          <w:p>
            <w:r>
              <w:t>If Dinner avg bill &gt; Lunch by &gt;$5, introduce a dedicated dinner upsell programme. If Lunch tip % is competitive, launch a Lunch Loyalty promotion to increase lunchtime covers.</w:t>
            </w:r>
          </w:p>
        </w:tc>
      </w:tr>
      <w:tr>
        <w:tc>
          <w:tcPr>
            <w:tcW w:type="dxa" w:w="4392"/>
          </w:tcPr>
          <w:p>
            <w:r>
              <w:rPr>
                <w:b/>
              </w:rPr>
              <w:t>Success Criterion</w:t>
            </w:r>
          </w:p>
        </w:tc>
        <w:tc>
          <w:tcPr>
            <w:tcW w:type="dxa" w:w="4392"/>
          </w:tcPr>
          <w:p>
            <w:r>
              <w:t>Manager can extract Lunch vs Dinner KPI comparison in under 90 seconds.</w:t>
            </w:r>
          </w:p>
        </w:tc>
      </w:tr>
    </w:tbl>
    <w:p/>
    <w:p>
      <w:pPr>
        <w:spacing w:before="360" w:after="120"/>
      </w:pPr>
      <w:r>
        <w:rPr>
          <w:rFonts w:ascii="Arial" w:hAnsi="Arial"/>
          <w:b/>
          <w:color w:val="1E64C8"/>
          <w:sz w:val="32"/>
        </w:rPr>
        <w:t>Use Case 4 — Identifying High-Value Customer Segments</w:t>
      </w:r>
    </w:p>
    <w:tbl>
      <w:tblPr>
        <w:tblStyle w:val="TableGrid"/>
        <w:tblW w:type="auto" w:w="0"/>
        <w:tblLook w:firstColumn="1" w:firstRow="1" w:lastColumn="0" w:lastRow="0" w:noHBand="0" w:noVBand="1" w:val="04A0"/>
      </w:tblPr>
      <w:tblGrid>
        <w:gridCol w:w="4392"/>
        <w:gridCol w:w="4392"/>
      </w:tblGrid>
      <w:tr>
        <w:tc>
          <w:tcPr>
            <w:tcW w:type="dxa" w:w="4392"/>
          </w:tcPr>
          <w:p>
            <w:r>
              <w:rPr>
                <w:rFonts w:ascii="Arial" w:hAnsi="Arial"/>
                <w:b/>
              </w:rPr>
              <w:t>Field</w:t>
            </w:r>
          </w:p>
        </w:tc>
        <w:tc>
          <w:tcPr>
            <w:tcW w:type="dxa" w:w="4392"/>
          </w:tcPr>
          <w:p>
            <w:r>
              <w:rPr>
                <w:rFonts w:ascii="Arial" w:hAnsi="Arial"/>
                <w:b/>
              </w:rPr>
              <w:t>Detail</w:t>
            </w:r>
          </w:p>
        </w:tc>
      </w:tr>
      <w:tr>
        <w:tc>
          <w:tcPr>
            <w:tcW w:type="dxa" w:w="4392"/>
          </w:tcPr>
          <w:p>
            <w:r>
              <w:rPr>
                <w:b/>
              </w:rPr>
              <w:t>UC ID</w:t>
            </w:r>
          </w:p>
        </w:tc>
        <w:tc>
          <w:tcPr>
            <w:tcW w:type="dxa" w:w="4392"/>
          </w:tcPr>
          <w:p>
            <w:r>
              <w:t>UC-04</w:t>
            </w:r>
          </w:p>
        </w:tc>
      </w:tr>
      <w:tr>
        <w:tc>
          <w:tcPr>
            <w:tcW w:type="dxa" w:w="4392"/>
          </w:tcPr>
          <w:p>
            <w:r>
              <w:rPr>
                <w:b/>
              </w:rPr>
              <w:t>Stakeholder</w:t>
            </w:r>
          </w:p>
        </w:tc>
        <w:tc>
          <w:tcPr>
            <w:tcW w:type="dxa" w:w="4392"/>
          </w:tcPr>
          <w:p>
            <w:r>
              <w:t>Marketing &amp; CRM Team</w:t>
            </w:r>
          </w:p>
        </w:tc>
      </w:tr>
      <w:tr>
        <w:tc>
          <w:tcPr>
            <w:tcW w:type="dxa" w:w="4392"/>
          </w:tcPr>
          <w:p>
            <w:r>
              <w:rPr>
                <w:b/>
              </w:rPr>
              <w:t>Goal</w:t>
            </w:r>
          </w:p>
        </w:tc>
        <w:tc>
          <w:tcPr>
            <w:tcW w:type="dxa" w:w="4392"/>
          </w:tcPr>
          <w:p>
            <w:r>
              <w:t>Identify demographic and behavioural characteristics (sex, smoker, day, time) of "Generous" tippers (&gt;20% tip rate) to build targeted loyalty and rewards campaigns.</w:t>
            </w:r>
          </w:p>
        </w:tc>
      </w:tr>
      <w:tr>
        <w:tc>
          <w:tcPr>
            <w:tcW w:type="dxa" w:w="4392"/>
          </w:tcPr>
          <w:p>
            <w:r>
              <w:rPr>
                <w:b/>
              </w:rPr>
              <w:t>Dashboard Actions</w:t>
            </w:r>
          </w:p>
        </w:tc>
        <w:tc>
          <w:tcPr>
            <w:tcW w:type="dxa" w:w="4392"/>
          </w:tcPr>
          <w:p>
            <w:r>
              <w:t>Click Generosity toggle → "Generous". Observe KPIs, table, and charts. Then apply Sex filter, Day filter, and Time filter in combination to find the highest-concentration generous cohort.</w:t>
            </w:r>
          </w:p>
        </w:tc>
      </w:tr>
      <w:tr>
        <w:tc>
          <w:tcPr>
            <w:tcW w:type="dxa" w:w="4392"/>
          </w:tcPr>
          <w:p>
            <w:r>
              <w:rPr>
                <w:b/>
              </w:rPr>
              <w:t>Key Metrics</w:t>
            </w:r>
          </w:p>
        </w:tc>
        <w:tc>
          <w:tcPr>
            <w:tcW w:type="dxa" w:w="4392"/>
          </w:tcPr>
          <w:p>
            <w:r>
              <w:t>Total Records (generous count), Avg Bill, Avg Tip %, Generous Tip Rate</w:t>
            </w:r>
          </w:p>
        </w:tc>
      </w:tr>
      <w:tr>
        <w:tc>
          <w:tcPr>
            <w:tcW w:type="dxa" w:w="4392"/>
          </w:tcPr>
          <w:p>
            <w:r>
              <w:rPr>
                <w:b/>
              </w:rPr>
              <w:t>Charts Used</w:t>
            </w:r>
          </w:p>
        </w:tc>
        <w:tc>
          <w:tcPr>
            <w:tcW w:type="dxa" w:w="4392"/>
          </w:tcPr>
          <w:p>
            <w:r>
              <w:t>All four charts; Records Table for demographic inspection</w:t>
            </w:r>
          </w:p>
        </w:tc>
      </w:tr>
      <w:tr>
        <w:tc>
          <w:tcPr>
            <w:tcW w:type="dxa" w:w="4392"/>
          </w:tcPr>
          <w:p>
            <w:r>
              <w:rPr>
                <w:b/>
              </w:rPr>
              <w:t>Expected Finding</w:t>
            </w:r>
          </w:p>
        </w:tc>
        <w:tc>
          <w:tcPr>
            <w:tcW w:type="dxa" w:w="4392"/>
          </w:tcPr>
          <w:p>
            <w:r>
              <w:t>A combination of [Day=Saturday OR Sunday] + [Time=Dinner] + [Smoker=No] may produce the highest concentration of generous tippers.</w:t>
            </w:r>
          </w:p>
        </w:tc>
      </w:tr>
      <w:tr>
        <w:tc>
          <w:tcPr>
            <w:tcW w:type="dxa" w:w="4392"/>
          </w:tcPr>
          <w:p>
            <w:r>
              <w:rPr>
                <w:b/>
              </w:rPr>
              <w:t>Decision Supported</w:t>
            </w:r>
          </w:p>
        </w:tc>
        <w:tc>
          <w:tcPr>
            <w:tcW w:type="dxa" w:w="4392"/>
          </w:tcPr>
          <w:p>
            <w:r>
              <w:t>Design a loyalty card or app-based reward programme targeting this cohort. Use their avg bill as the threshold for a premium membership tier.</w:t>
            </w:r>
          </w:p>
        </w:tc>
      </w:tr>
      <w:tr>
        <w:tc>
          <w:tcPr>
            <w:tcW w:type="dxa" w:w="4392"/>
          </w:tcPr>
          <w:p>
            <w:r>
              <w:rPr>
                <w:b/>
              </w:rPr>
              <w:t>Success Criterion</w:t>
            </w:r>
          </w:p>
        </w:tc>
        <w:tc>
          <w:tcPr>
            <w:tcW w:type="dxa" w:w="4392"/>
          </w:tcPr>
          <w:p>
            <w:r>
              <w:t>Team can identify the top generous-tipper segment profile in a single dashboard session.</w:t>
            </w:r>
          </w:p>
        </w:tc>
      </w:tr>
    </w:tbl>
    <w:p/>
    <w:p>
      <w:pPr>
        <w:spacing w:before="360" w:after="120"/>
      </w:pPr>
      <w:r>
        <w:rPr>
          <w:rFonts w:ascii="Arial" w:hAnsi="Arial"/>
          <w:b/>
          <w:color w:val="1E64C8"/>
          <w:sz w:val="32"/>
        </w:rPr>
        <w:t>Use Case 5 — Party Size &amp; Revenue Correlation Analysis</w:t>
      </w:r>
    </w:p>
    <w:tbl>
      <w:tblPr>
        <w:tblStyle w:val="TableGrid"/>
        <w:tblW w:type="auto" w:w="0"/>
        <w:tblLook w:firstColumn="1" w:firstRow="1" w:lastColumn="0" w:lastRow="0" w:noHBand="0" w:noVBand="1" w:val="04A0"/>
      </w:tblPr>
      <w:tblGrid>
        <w:gridCol w:w="4392"/>
        <w:gridCol w:w="4392"/>
      </w:tblGrid>
      <w:tr>
        <w:tc>
          <w:tcPr>
            <w:tcW w:type="dxa" w:w="4392"/>
          </w:tcPr>
          <w:p>
            <w:r>
              <w:rPr>
                <w:rFonts w:ascii="Arial" w:hAnsi="Arial"/>
                <w:b/>
              </w:rPr>
              <w:t>Field</w:t>
            </w:r>
          </w:p>
        </w:tc>
        <w:tc>
          <w:tcPr>
            <w:tcW w:type="dxa" w:w="4392"/>
          </w:tcPr>
          <w:p>
            <w:r>
              <w:rPr>
                <w:rFonts w:ascii="Arial" w:hAnsi="Arial"/>
                <w:b/>
              </w:rPr>
              <w:t>Detail</w:t>
            </w:r>
          </w:p>
        </w:tc>
      </w:tr>
      <w:tr>
        <w:tc>
          <w:tcPr>
            <w:tcW w:type="dxa" w:w="4392"/>
          </w:tcPr>
          <w:p>
            <w:r>
              <w:rPr>
                <w:b/>
              </w:rPr>
              <w:t>UC ID</w:t>
            </w:r>
          </w:p>
        </w:tc>
        <w:tc>
          <w:tcPr>
            <w:tcW w:type="dxa" w:w="4392"/>
          </w:tcPr>
          <w:p>
            <w:r>
              <w:t>UC-05</w:t>
            </w:r>
          </w:p>
        </w:tc>
      </w:tr>
      <w:tr>
        <w:tc>
          <w:tcPr>
            <w:tcW w:type="dxa" w:w="4392"/>
          </w:tcPr>
          <w:p>
            <w:r>
              <w:rPr>
                <w:b/>
              </w:rPr>
              <w:t>Stakeholder</w:t>
            </w:r>
          </w:p>
        </w:tc>
        <w:tc>
          <w:tcPr>
            <w:tcW w:type="dxa" w:w="4392"/>
          </w:tcPr>
          <w:p>
            <w:r>
              <w:t>Table Management / Floor Supervisor</w:t>
            </w:r>
          </w:p>
        </w:tc>
      </w:tr>
      <w:tr>
        <w:tc>
          <w:tcPr>
            <w:tcW w:type="dxa" w:w="4392"/>
          </w:tcPr>
          <w:p>
            <w:r>
              <w:rPr>
                <w:b/>
              </w:rPr>
              <w:t>Goal</w:t>
            </w:r>
          </w:p>
        </w:tc>
        <w:tc>
          <w:tcPr>
            <w:tcW w:type="dxa" w:w="4392"/>
          </w:tcPr>
          <w:p>
            <w:r>
              <w:t>Determine whether larger parties (size 4–6) generate proportionally higher tips per visit, or whether smaller tables are more profitable per cover.</w:t>
            </w:r>
          </w:p>
        </w:tc>
      </w:tr>
      <w:tr>
        <w:tc>
          <w:tcPr>
            <w:tcW w:type="dxa" w:w="4392"/>
          </w:tcPr>
          <w:p>
            <w:r>
              <w:rPr>
                <w:b/>
              </w:rPr>
              <w:t>Dashboard Actions</w:t>
            </w:r>
          </w:p>
        </w:tc>
        <w:tc>
          <w:tcPr>
            <w:tcW w:type="dxa" w:w="4392"/>
          </w:tcPr>
          <w:p>
            <w:r>
              <w:t>Set Party Size = 2 → record Avg Bill, Avg Tip. Reset. Repeat for sizes 3, 4, 5+. Compare KPI strips across each selection.</w:t>
            </w:r>
          </w:p>
        </w:tc>
      </w:tr>
      <w:tr>
        <w:tc>
          <w:tcPr>
            <w:tcW w:type="dxa" w:w="4392"/>
          </w:tcPr>
          <w:p>
            <w:r>
              <w:rPr>
                <w:b/>
              </w:rPr>
              <w:t>Key Metrics</w:t>
            </w:r>
          </w:p>
        </w:tc>
        <w:tc>
          <w:tcPr>
            <w:tcW w:type="dxa" w:w="4392"/>
          </w:tcPr>
          <w:p>
            <w:r>
              <w:t>Avg Bill ($), Avg Tip ($), Avg Tip %, Total Records</w:t>
            </w:r>
          </w:p>
        </w:tc>
      </w:tr>
      <w:tr>
        <w:tc>
          <w:tcPr>
            <w:tcW w:type="dxa" w:w="4392"/>
          </w:tcPr>
          <w:p>
            <w:r>
              <w:rPr>
                <w:b/>
              </w:rPr>
              <w:t>Charts Used</w:t>
            </w:r>
          </w:p>
        </w:tc>
        <w:tc>
          <w:tcPr>
            <w:tcW w:type="dxa" w:w="4392"/>
          </w:tcPr>
          <w:p>
            <w:r>
              <w:t>KPI strip, Bill vs Tip scatter (shows clustering by party size implicitly), Records Table</w:t>
            </w:r>
          </w:p>
        </w:tc>
      </w:tr>
      <w:tr>
        <w:tc>
          <w:tcPr>
            <w:tcW w:type="dxa" w:w="4392"/>
          </w:tcPr>
          <w:p>
            <w:r>
              <w:rPr>
                <w:b/>
              </w:rPr>
              <w:t>Expected Finding</w:t>
            </w:r>
          </w:p>
        </w:tc>
        <w:tc>
          <w:tcPr>
            <w:tcW w:type="dxa" w:w="4392"/>
          </w:tcPr>
          <w:p>
            <w:r>
              <w:t>Party size 4–6 generates higher absolute bills and tips, but tip % may be lower — large parties often tip a fixed amount rather than a percentage.</w:t>
            </w:r>
          </w:p>
        </w:tc>
      </w:tr>
      <w:tr>
        <w:tc>
          <w:tcPr>
            <w:tcW w:type="dxa" w:w="4392"/>
          </w:tcPr>
          <w:p>
            <w:r>
              <w:rPr>
                <w:b/>
              </w:rPr>
              <w:t>Decision Supported</w:t>
            </w:r>
          </w:p>
        </w:tc>
        <w:tc>
          <w:tcPr>
            <w:tcW w:type="dxa" w:w="4392"/>
          </w:tcPr>
          <w:p>
            <w:r>
              <w:t>Prioritise 4-cover table layout if absolute revenue is the goal. Prioritise 2-cover layout if tip-rate optimisation is the goal. Consider adding large-party service charges if tip % falls below 12% for groups of 5+.</w:t>
            </w:r>
          </w:p>
        </w:tc>
      </w:tr>
      <w:tr>
        <w:tc>
          <w:tcPr>
            <w:tcW w:type="dxa" w:w="4392"/>
          </w:tcPr>
          <w:p>
            <w:r>
              <w:rPr>
                <w:b/>
              </w:rPr>
              <w:t>Success Criterion</w:t>
            </w:r>
          </w:p>
        </w:tc>
        <w:tc>
          <w:tcPr>
            <w:tcW w:type="dxa" w:w="4392"/>
          </w:tcPr>
          <w:p>
            <w:r>
              <w:t>Supervisor can compare per-size tip averages in under 5 minutes with no data export required.</w:t>
            </w:r>
          </w:p>
        </w:tc>
      </w:tr>
    </w:tbl>
    <w:p/>
    <w:p>
      <w:pPr>
        <w:spacing w:before="360" w:after="120"/>
      </w:pPr>
      <w:r>
        <w:rPr>
          <w:rFonts w:ascii="Arial" w:hAnsi="Arial"/>
          <w:b/>
          <w:color w:val="1E64C8"/>
          <w:sz w:val="32"/>
        </w:rPr>
        <w:t>Use Case 6 — Service Quality Monitoring (Ongoing KPI Tracking)</w:t>
      </w:r>
    </w:p>
    <w:tbl>
      <w:tblPr>
        <w:tblStyle w:val="TableGrid"/>
        <w:tblW w:type="auto" w:w="0"/>
        <w:tblLook w:firstColumn="1" w:firstRow="1" w:lastColumn="0" w:lastRow="0" w:noHBand="0" w:noVBand="1" w:val="04A0"/>
      </w:tblPr>
      <w:tblGrid>
        <w:gridCol w:w="4392"/>
        <w:gridCol w:w="4392"/>
      </w:tblGrid>
      <w:tr>
        <w:tc>
          <w:tcPr>
            <w:tcW w:type="dxa" w:w="4392"/>
          </w:tcPr>
          <w:p>
            <w:r>
              <w:rPr>
                <w:rFonts w:ascii="Arial" w:hAnsi="Arial"/>
                <w:b/>
              </w:rPr>
              <w:t>Field</w:t>
            </w:r>
          </w:p>
        </w:tc>
        <w:tc>
          <w:tcPr>
            <w:tcW w:type="dxa" w:w="4392"/>
          </w:tcPr>
          <w:p>
            <w:r>
              <w:rPr>
                <w:rFonts w:ascii="Arial" w:hAnsi="Arial"/>
                <w:b/>
              </w:rPr>
              <w:t>Detail</w:t>
            </w:r>
          </w:p>
        </w:tc>
      </w:tr>
      <w:tr>
        <w:tc>
          <w:tcPr>
            <w:tcW w:type="dxa" w:w="4392"/>
          </w:tcPr>
          <w:p>
            <w:r>
              <w:rPr>
                <w:b/>
              </w:rPr>
              <w:t>UC ID</w:t>
            </w:r>
          </w:p>
        </w:tc>
        <w:tc>
          <w:tcPr>
            <w:tcW w:type="dxa" w:w="4392"/>
          </w:tcPr>
          <w:p>
            <w:r>
              <w:t>UC-06</w:t>
            </w:r>
          </w:p>
        </w:tc>
      </w:tr>
      <w:tr>
        <w:tc>
          <w:tcPr>
            <w:tcW w:type="dxa" w:w="4392"/>
          </w:tcPr>
          <w:p>
            <w:r>
              <w:rPr>
                <w:b/>
              </w:rPr>
              <w:t>Stakeholder</w:t>
            </w:r>
          </w:p>
        </w:tc>
        <w:tc>
          <w:tcPr>
            <w:tcW w:type="dxa" w:w="4392"/>
          </w:tcPr>
          <w:p>
            <w:r>
              <w:t>General Manager — Weekly Operations Review</w:t>
            </w:r>
          </w:p>
        </w:tc>
      </w:tr>
      <w:tr>
        <w:tc>
          <w:tcPr>
            <w:tcW w:type="dxa" w:w="4392"/>
          </w:tcPr>
          <w:p>
            <w:r>
              <w:rPr>
                <w:b/>
              </w:rPr>
              <w:t>Goal</w:t>
            </w:r>
          </w:p>
        </w:tc>
        <w:tc>
          <w:tcPr>
            <w:tcW w:type="dxa" w:w="4392"/>
          </w:tcPr>
          <w:p>
            <w:r>
              <w:t>Use the dashboard as a weekly KPI scorecard to monitor service quality trends: is the Generous Tip Rate improving? Is the Avg Tip % above the 16% internal benchmark?</w:t>
            </w:r>
          </w:p>
        </w:tc>
      </w:tr>
      <w:tr>
        <w:tc>
          <w:tcPr>
            <w:tcW w:type="dxa" w:w="4392"/>
          </w:tcPr>
          <w:p>
            <w:r>
              <w:rPr>
                <w:b/>
              </w:rPr>
              <w:t>Dashboard Actions</w:t>
            </w:r>
          </w:p>
        </w:tc>
        <w:tc>
          <w:tcPr>
            <w:tcW w:type="dxa" w:w="4392"/>
          </w:tcPr>
          <w:p>
            <w:r>
              <w:t>No filters applied (full dataset view). Review all five KPI cards. Note Generous Tip Rate vs 20% target. Check doughnut for Low-tip proportion. Scan scatter for outlier visits with very low tips on high bills.</w:t>
            </w:r>
          </w:p>
        </w:tc>
      </w:tr>
      <w:tr>
        <w:tc>
          <w:tcPr>
            <w:tcW w:type="dxa" w:w="4392"/>
          </w:tcPr>
          <w:p>
            <w:r>
              <w:rPr>
                <w:b/>
              </w:rPr>
              <w:t>Key Metrics</w:t>
            </w:r>
          </w:p>
        </w:tc>
        <w:tc>
          <w:tcPr>
            <w:tcW w:type="dxa" w:w="4392"/>
          </w:tcPr>
          <w:p>
            <w:r>
              <w:t>Generous Tip Rate (target &gt;20%), Avg Tip % (benchmark 16%), Total Records, Low-tip count from doughnut</w:t>
            </w:r>
          </w:p>
        </w:tc>
      </w:tr>
      <w:tr>
        <w:tc>
          <w:tcPr>
            <w:tcW w:type="dxa" w:w="4392"/>
          </w:tcPr>
          <w:p>
            <w:r>
              <w:rPr>
                <w:b/>
              </w:rPr>
              <w:t>Charts Used</w:t>
            </w:r>
          </w:p>
        </w:tc>
        <w:tc>
          <w:tcPr>
            <w:tcW w:type="dxa" w:w="4392"/>
          </w:tcPr>
          <w:p>
            <w:r>
              <w:t>KPI strip (primary), Doughnut (secondary), Scatter (outlier detection)</w:t>
            </w:r>
          </w:p>
        </w:tc>
      </w:tr>
      <w:tr>
        <w:tc>
          <w:tcPr>
            <w:tcW w:type="dxa" w:w="4392"/>
          </w:tcPr>
          <w:p>
            <w:r>
              <w:rPr>
                <w:b/>
              </w:rPr>
              <w:t>Expected Finding</w:t>
            </w:r>
          </w:p>
        </w:tc>
        <w:tc>
          <w:tcPr>
            <w:tcW w:type="dxa" w:w="4392"/>
          </w:tcPr>
          <w:p>
            <w:r>
              <w:t>Current dataset: 32% generous, 16.1% avg tip % — both within target. Scatter reveals a small cluster of high-bill/low-tip outliers that may indicate service complaints.</w:t>
            </w:r>
          </w:p>
        </w:tc>
      </w:tr>
      <w:tr>
        <w:tc>
          <w:tcPr>
            <w:tcW w:type="dxa" w:w="4392"/>
          </w:tcPr>
          <w:p>
            <w:r>
              <w:rPr>
                <w:b/>
              </w:rPr>
              <w:t>Decision Supported</w:t>
            </w:r>
          </w:p>
        </w:tc>
        <w:tc>
          <w:tcPr>
            <w:tcW w:type="dxa" w:w="4392"/>
          </w:tcPr>
          <w:p>
            <w:r>
              <w:t>If Generous Tip Rate drops below 18% or Avg Tip % falls below 15%, trigger a service review meeting. Flag outlier records from the table for incident follow-up with the relevant staff.</w:t>
            </w:r>
          </w:p>
        </w:tc>
      </w:tr>
      <w:tr>
        <w:tc>
          <w:tcPr>
            <w:tcW w:type="dxa" w:w="4392"/>
          </w:tcPr>
          <w:p>
            <w:r>
              <w:rPr>
                <w:b/>
              </w:rPr>
              <w:t>Success Criterion</w:t>
            </w:r>
          </w:p>
        </w:tc>
        <w:tc>
          <w:tcPr>
            <w:tcW w:type="dxa" w:w="4392"/>
          </w:tcPr>
          <w:p>
            <w:r>
              <w:t>Weekly review meeting opens dashboard, reviews 6 KPIs, and makes Go/No-Go service quality decision within 5 minutes.</w:t>
            </w:r>
          </w:p>
        </w:tc>
      </w:tr>
    </w:tbl>
    <w:p/>
    <w:p>
      <w:r>
        <w:br w:type="page"/>
      </w:r>
    </w:p>
    <w:p>
      <w:pPr>
        <w:spacing w:before="360" w:after="120"/>
      </w:pPr>
      <w:r>
        <w:rPr>
          <w:rFonts w:ascii="Arial" w:hAnsi="Arial"/>
          <w:b/>
          <w:color w:val="1E64C8"/>
          <w:sz w:val="32"/>
        </w:rPr>
        <w:t>Summary: Use Case Decision Matrix</w:t>
      </w:r>
    </w:p>
    <w:p>
      <w:pPr>
        <w:spacing w:after="100"/>
      </w:pPr>
      <w:r>
        <w:rPr>
          <w:rFonts w:ascii="Arial" w:hAnsi="Arial"/>
          <w:sz w:val="22"/>
        </w:rPr>
        <w:t>The table below maps each use case to the stakeholder, the primary decision supported, and the estimated time to insight using the dashboard.</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rFonts w:ascii="Arial" w:hAnsi="Arial"/>
                <w:b/>
              </w:rPr>
              <w:t>UC</w:t>
            </w:r>
          </w:p>
        </w:tc>
        <w:tc>
          <w:tcPr>
            <w:tcW w:type="dxa" w:w="2196"/>
          </w:tcPr>
          <w:p>
            <w:r>
              <w:rPr>
                <w:rFonts w:ascii="Arial" w:hAnsi="Arial"/>
                <w:b/>
              </w:rPr>
              <w:t>Stakeholder</w:t>
            </w:r>
          </w:p>
        </w:tc>
        <w:tc>
          <w:tcPr>
            <w:tcW w:type="dxa" w:w="2196"/>
          </w:tcPr>
          <w:p>
            <w:r>
              <w:rPr>
                <w:rFonts w:ascii="Arial" w:hAnsi="Arial"/>
                <w:b/>
              </w:rPr>
              <w:t>Decision</w:t>
            </w:r>
          </w:p>
        </w:tc>
        <w:tc>
          <w:tcPr>
            <w:tcW w:type="dxa" w:w="2196"/>
          </w:tcPr>
          <w:p>
            <w:r>
              <w:rPr>
                <w:rFonts w:ascii="Arial" w:hAnsi="Arial"/>
                <w:b/>
              </w:rPr>
              <w:t>Time to Insight</w:t>
            </w:r>
          </w:p>
        </w:tc>
      </w:tr>
      <w:tr>
        <w:tc>
          <w:tcPr>
            <w:tcW w:type="dxa" w:w="2196"/>
          </w:tcPr>
          <w:p>
            <w:r>
              <w:rPr>
                <w:rFonts w:ascii="Arial" w:hAnsi="Arial"/>
              </w:rPr>
              <w:t>UC-01</w:t>
            </w:r>
          </w:p>
        </w:tc>
        <w:tc>
          <w:tcPr>
            <w:tcW w:type="dxa" w:w="2196"/>
          </w:tcPr>
          <w:p>
            <w:r>
              <w:rPr>
                <w:rFonts w:ascii="Arial" w:hAnsi="Arial"/>
              </w:rPr>
              <w:t>Operations Manager</w:t>
            </w:r>
          </w:p>
        </w:tc>
        <w:tc>
          <w:tcPr>
            <w:tcW w:type="dxa" w:w="2196"/>
          </w:tcPr>
          <w:p>
            <w:r>
              <w:rPr>
                <w:rFonts w:ascii="Arial" w:hAnsi="Arial"/>
              </w:rPr>
              <w:t>Weekend staffing levels</w:t>
            </w:r>
          </w:p>
        </w:tc>
        <w:tc>
          <w:tcPr>
            <w:tcW w:type="dxa" w:w="2196"/>
          </w:tcPr>
          <w:p>
            <w:r>
              <w:rPr>
                <w:rFonts w:ascii="Arial" w:hAnsi="Arial"/>
              </w:rPr>
              <w:t>&lt;2 min</w:t>
            </w:r>
          </w:p>
        </w:tc>
      </w:tr>
      <w:tr>
        <w:tc>
          <w:tcPr>
            <w:tcW w:type="dxa" w:w="2196"/>
          </w:tcPr>
          <w:p>
            <w:r>
              <w:rPr>
                <w:rFonts w:ascii="Arial" w:hAnsi="Arial"/>
              </w:rPr>
              <w:t>UC-02</w:t>
            </w:r>
          </w:p>
        </w:tc>
        <w:tc>
          <w:tcPr>
            <w:tcW w:type="dxa" w:w="2196"/>
          </w:tcPr>
          <w:p>
            <w:r>
              <w:rPr>
                <w:rFonts w:ascii="Arial" w:hAnsi="Arial"/>
              </w:rPr>
              <w:t>Owner / Policy</w:t>
            </w:r>
          </w:p>
        </w:tc>
        <w:tc>
          <w:tcPr>
            <w:tcW w:type="dxa" w:w="2196"/>
          </w:tcPr>
          <w:p>
            <w:r>
              <w:rPr>
                <w:rFonts w:ascii="Arial" w:hAnsi="Arial"/>
              </w:rPr>
              <w:t>Smoking section viability</w:t>
            </w:r>
          </w:p>
        </w:tc>
        <w:tc>
          <w:tcPr>
            <w:tcW w:type="dxa" w:w="2196"/>
          </w:tcPr>
          <w:p>
            <w:r>
              <w:rPr>
                <w:rFonts w:ascii="Arial" w:hAnsi="Arial"/>
              </w:rPr>
              <w:t>&lt;3 min</w:t>
            </w:r>
          </w:p>
        </w:tc>
      </w:tr>
      <w:tr>
        <w:tc>
          <w:tcPr>
            <w:tcW w:type="dxa" w:w="2196"/>
          </w:tcPr>
          <w:p>
            <w:r>
              <w:rPr>
                <w:rFonts w:ascii="Arial" w:hAnsi="Arial"/>
              </w:rPr>
              <w:t>UC-03</w:t>
            </w:r>
          </w:p>
        </w:tc>
        <w:tc>
          <w:tcPr>
            <w:tcW w:type="dxa" w:w="2196"/>
          </w:tcPr>
          <w:p>
            <w:r>
              <w:rPr>
                <w:rFonts w:ascii="Arial" w:hAnsi="Arial"/>
              </w:rPr>
              <w:t>Revenue Manager</w:t>
            </w:r>
          </w:p>
        </w:tc>
        <w:tc>
          <w:tcPr>
            <w:tcW w:type="dxa" w:w="2196"/>
          </w:tcPr>
          <w:p>
            <w:r>
              <w:rPr>
                <w:rFonts w:ascii="Arial" w:hAnsi="Arial"/>
              </w:rPr>
              <w:t>Lunch vs Dinner pricing</w:t>
            </w:r>
          </w:p>
        </w:tc>
        <w:tc>
          <w:tcPr>
            <w:tcW w:type="dxa" w:w="2196"/>
          </w:tcPr>
          <w:p>
            <w:r>
              <w:rPr>
                <w:rFonts w:ascii="Arial" w:hAnsi="Arial"/>
              </w:rPr>
              <w:t>&lt;2 min</w:t>
            </w:r>
          </w:p>
        </w:tc>
      </w:tr>
      <w:tr>
        <w:tc>
          <w:tcPr>
            <w:tcW w:type="dxa" w:w="2196"/>
          </w:tcPr>
          <w:p>
            <w:r>
              <w:rPr>
                <w:rFonts w:ascii="Arial" w:hAnsi="Arial"/>
              </w:rPr>
              <w:t>UC-04</w:t>
            </w:r>
          </w:p>
        </w:tc>
        <w:tc>
          <w:tcPr>
            <w:tcW w:type="dxa" w:w="2196"/>
          </w:tcPr>
          <w:p>
            <w:r>
              <w:rPr>
                <w:rFonts w:ascii="Arial" w:hAnsi="Arial"/>
              </w:rPr>
              <w:t>Marketing Team</w:t>
            </w:r>
          </w:p>
        </w:tc>
        <w:tc>
          <w:tcPr>
            <w:tcW w:type="dxa" w:w="2196"/>
          </w:tcPr>
          <w:p>
            <w:r>
              <w:rPr>
                <w:rFonts w:ascii="Arial" w:hAnsi="Arial"/>
              </w:rPr>
              <w:t>High-value customer segment</w:t>
            </w:r>
          </w:p>
        </w:tc>
        <w:tc>
          <w:tcPr>
            <w:tcW w:type="dxa" w:w="2196"/>
          </w:tcPr>
          <w:p>
            <w:r>
              <w:rPr>
                <w:rFonts w:ascii="Arial" w:hAnsi="Arial"/>
              </w:rPr>
              <w:t>&lt;5 min</w:t>
            </w:r>
          </w:p>
        </w:tc>
      </w:tr>
      <w:tr>
        <w:tc>
          <w:tcPr>
            <w:tcW w:type="dxa" w:w="2196"/>
          </w:tcPr>
          <w:p>
            <w:r>
              <w:rPr>
                <w:rFonts w:ascii="Arial" w:hAnsi="Arial"/>
              </w:rPr>
              <w:t>UC-05</w:t>
            </w:r>
          </w:p>
        </w:tc>
        <w:tc>
          <w:tcPr>
            <w:tcW w:type="dxa" w:w="2196"/>
          </w:tcPr>
          <w:p>
            <w:r>
              <w:rPr>
                <w:rFonts w:ascii="Arial" w:hAnsi="Arial"/>
              </w:rPr>
              <w:t>Floor Supervisor</w:t>
            </w:r>
          </w:p>
        </w:tc>
        <w:tc>
          <w:tcPr>
            <w:tcW w:type="dxa" w:w="2196"/>
          </w:tcPr>
          <w:p>
            <w:r>
              <w:rPr>
                <w:rFonts w:ascii="Arial" w:hAnsi="Arial"/>
              </w:rPr>
              <w:t>Optimal table layout mix</w:t>
            </w:r>
          </w:p>
        </w:tc>
        <w:tc>
          <w:tcPr>
            <w:tcW w:type="dxa" w:w="2196"/>
          </w:tcPr>
          <w:p>
            <w:r>
              <w:rPr>
                <w:rFonts w:ascii="Arial" w:hAnsi="Arial"/>
              </w:rPr>
              <w:t>&lt;5 min</w:t>
            </w:r>
          </w:p>
        </w:tc>
      </w:tr>
      <w:tr>
        <w:tc>
          <w:tcPr>
            <w:tcW w:type="dxa" w:w="2196"/>
          </w:tcPr>
          <w:p>
            <w:r>
              <w:rPr>
                <w:rFonts w:ascii="Arial" w:hAnsi="Arial"/>
              </w:rPr>
              <w:t>UC-06</w:t>
            </w:r>
          </w:p>
        </w:tc>
        <w:tc>
          <w:tcPr>
            <w:tcW w:type="dxa" w:w="2196"/>
          </w:tcPr>
          <w:p>
            <w:r>
              <w:rPr>
                <w:rFonts w:ascii="Arial" w:hAnsi="Arial"/>
              </w:rPr>
              <w:t>General Manager</w:t>
            </w:r>
          </w:p>
        </w:tc>
        <w:tc>
          <w:tcPr>
            <w:tcW w:type="dxa" w:w="2196"/>
          </w:tcPr>
          <w:p>
            <w:r>
              <w:rPr>
                <w:rFonts w:ascii="Arial" w:hAnsi="Arial"/>
              </w:rPr>
              <w:t>Weekly service quality KPI review</w:t>
            </w:r>
          </w:p>
        </w:tc>
        <w:tc>
          <w:tcPr>
            <w:tcW w:type="dxa" w:w="2196"/>
          </w:tcPr>
          <w:p>
            <w:r>
              <w:rPr>
                <w:rFonts w:ascii="Arial" w:hAnsi="Arial"/>
              </w:rPr>
              <w:t>&lt;5 min</w:t>
            </w:r>
          </w:p>
        </w:tc>
      </w:tr>
    </w:tbl>
    <w:p/>
    <w:p>
      <w:pPr>
        <w:spacing w:after="100"/>
      </w:pPr>
      <w:r>
        <w:rPr>
          <w:rFonts w:ascii="Arial" w:hAnsi="Arial"/>
          <w:sz w:val="22"/>
        </w:rPr>
        <w:t>All six use cases are supported by the single interactive dashboard file (tips_dashboard.html) without requiring any additional software, server infrastructure, or data export. This demonstrates the practical decision-support value of web-based interactive analytics as an accessible alternative to enterprise BI platforms.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