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28"/>
          <w:szCs w:val="28"/>
        </w:rPr>
        <w:t xml:space="preserve">Predictive Analytics and Explainable Machine Learning for Restaurant Tipping Behaviour: A K-Means Segmentation and SHAP-Based Transparency Approach</w:t>
      </w:r>
    </w:p>
    <w:p>
      <w:pPr>
        <w:spacing w:after="80" w:before="80"/>
        <w:jc w:val="center"/>
      </w:pPr>
      <w:r>
        <w:rPr>
          <w:rFonts w:ascii="Arial" w:cs="Arial" w:eastAsia="Arial" w:hAnsi="Arial"/>
          <w:i/>
          <w:iCs/>
          <w:color w:val="333333"/>
          <w:sz w:val="22"/>
          <w:szCs w:val="22"/>
        </w:rPr>
        <w:t xml:space="preserve">Gachomo Njeru · Mwita Nyehita · Karwega Njeru</w:t>
      </w:r>
    </w:p>
    <w:p>
      <w:pPr>
        <w:spacing w:after="40" w:before="40"/>
        <w:jc w:val="center"/>
      </w:pPr>
      <w:r>
        <w:rPr>
          <w:rFonts w:ascii="Arial" w:cs="Arial" w:eastAsia="Arial" w:hAnsi="Arial"/>
          <w:color w:val="555555"/>
          <w:sz w:val="18"/>
          <w:szCs w:val="18"/>
        </w:rPr>
        <w:t xml:space="preserve">SCT213-C002-0141/2024 · SCT213-C002-0063/2024 · SCT213-C002-0142/2024</w:t>
      </w:r>
    </w:p>
    <w:p>
      <w:pPr>
        <w:spacing w:after="240" w:before="40"/>
        <w:jc w:val="center"/>
      </w:pPr>
      <w:r>
        <w:rPr>
          <w:rFonts w:ascii="Arial" w:cs="Arial" w:eastAsia="Arial" w:hAnsi="Arial"/>
          <w:color w:val="555555"/>
          <w:sz w:val="18"/>
          <w:szCs w:val="18"/>
        </w:rPr>
        <w:t xml:space="preserve">Department of Computer Science | May 2026</w:t>
      </w:r>
    </w:p>
    <w:p>
      <w:pPr>
        <w:pBdr>
          <w:bottom w:val="single" w:color="2E75B6" w:sz="6" w:space="1"/>
        </w:pBdr>
        <w:spacing w:after="200" w:before="0"/>
      </w:pPr>
      <w:r>
        <w:t xml:space="preserve"/>
      </w:r>
    </w:p>
    <w:p>
      <w:pPr>
        <w:pStyle w:val="Heading1"/>
      </w:pPr>
      <w:r>
        <w:rPr>
          <w:rFonts w:ascii="Arial" w:cs="Arial" w:eastAsia="Arial" w:hAnsi="Arial"/>
          <w:b/>
          <w:bCs/>
          <w:color w:val="1F3864"/>
          <w:sz w:val="28"/>
          <w:szCs w:val="28"/>
        </w:rPr>
        <w:t xml:space="preserve">Abstract</w:t>
      </w:r>
    </w:p>
    <w:p>
      <w:pPr>
        <w:spacing w:after="80" w:before="80" w:line="280"/>
        <w:jc w:val="both"/>
      </w:pPr>
      <w:r>
        <w:rPr>
          <w:rFonts w:ascii="Arial" w:cs="Arial" w:eastAsia="Arial" w:hAnsi="Arial"/>
          <w:b w:val="false"/>
          <w:bCs w:val="false"/>
          <w:i w:val="false"/>
          <w:iCs w:val="false"/>
          <w:color w:val="000000"/>
          <w:sz w:val="20"/>
          <w:szCs w:val="20"/>
        </w:rPr>
        <w:t xml:space="preserve">This paper presents a multi-stage machine learning and visual analytics system built on the canonical restaurant tips dataset (n=244). Extending a five-milestone data science project spanning descriptive statistics, visualisation, and statistical inference, we introduce three novel contributions: (1) a comparative evaluation of Random Forest, Gradient Boosting, and Logistic Regression classifiers for predicting tip-generosity categories, achieving a cross-validated accuracy of up to 74.3% and ROC-AUC of 0.84; (2) SHapley Additive exPlanations (SHAP) for model-level and instance-level explainability, identifying total_bill as the dominant predictor while confirming that demographic features contribute negligible predictive signal; and (3) K-Means customer segmentation revealing four latent archetypes (Generous Weekend Diners, High-Spend Groups, Conservative Tippers, Mid-Range Regulars) validated by silhouette analysis (S=0.41). The integrated system demonstrates a reproducible pipeline from raw transactional data to prescriptive business intelligence, advancing the system from descriptive analytics to explainable predictive decision support. All code, models, and interactive artefacts are included in the project repository.</w:t>
      </w:r>
    </w:p>
    <w:p>
      <w:pPr>
        <w:spacing w:after="80" w:before="80"/>
      </w:pPr>
      <w:r>
        <w:rPr>
          <w:rFonts w:ascii="Arial" w:cs="Arial" w:eastAsia="Arial" w:hAnsi="Arial"/>
          <w:b/>
          <w:bCs/>
          <w:sz w:val="20"/>
          <w:szCs w:val="20"/>
        </w:rPr>
        <w:t xml:space="preserve">Keywords: </w:t>
      </w:r>
      <w:r>
        <w:rPr>
          <w:rFonts w:ascii="Arial" w:cs="Arial" w:eastAsia="Arial" w:hAnsi="Arial"/>
          <w:i/>
          <w:iCs/>
          <w:sz w:val="20"/>
          <w:szCs w:val="20"/>
        </w:rPr>
        <w:t xml:space="preserve">machine learning, explainable AI, SHAP, K-Means clustering, customer segmentation, tip prediction, restaurant analytics, data visualisation, Gradient Boosting, decision support</w:t>
      </w:r>
    </w:p>
    <w:p>
      <w:pPr>
        <w:pBdr>
          <w:bottom w:val="single" w:color="CCCCCC" w:sz="2" w:space="1"/>
        </w:pBdr>
        <w:spacing w:after="200" w:before="60"/>
      </w:pPr>
      <w:r>
        <w:t xml:space="preserve"/>
      </w:r>
    </w:p>
    <w:p>
      <w:pPr>
        <w:pStyle w:val="Heading1"/>
      </w:pPr>
      <w:r>
        <w:rPr>
          <w:rFonts w:ascii="Arial" w:cs="Arial" w:eastAsia="Arial" w:hAnsi="Arial"/>
          <w:b/>
          <w:bCs/>
          <w:color w:val="1F3864"/>
          <w:sz w:val="28"/>
          <w:szCs w:val="28"/>
        </w:rPr>
        <w:t xml:space="preserve">1. Introduction</w:t>
      </w:r>
    </w:p>
    <w:p>
      <w:pPr>
        <w:spacing w:after="80" w:before="80" w:line="276"/>
        <w:jc w:val="both"/>
      </w:pPr>
      <w:r>
        <w:rPr>
          <w:rFonts w:ascii="Arial" w:cs="Arial" w:eastAsia="Arial" w:hAnsi="Arial"/>
          <w:b w:val="false"/>
          <w:bCs w:val="false"/>
          <w:i w:val="false"/>
          <w:iCs w:val="false"/>
          <w:color w:val="000000"/>
          <w:sz w:val="20"/>
          <w:szCs w:val="20"/>
        </w:rPr>
        <w:t xml:space="preserve">Tipping behaviour is a well-studied phenomenon in service economics, yet most prior work focuses on psychological and sociological determinants rather than applying modern machine learning to predict outcomes from observable transactional features. Restaurant managers increasingly require data-driven tools that move beyond descriptive reporting toward predictive and prescriptive intelligence — that is, systems that not only describe what happened but forecast what will happen and recommend what to do.</w:t>
      </w:r>
    </w:p>
    <w:p>
      <w:pPr>
        <w:spacing w:after="80" w:before="80" w:line="276"/>
        <w:jc w:val="both"/>
      </w:pPr>
      <w:r>
        <w:rPr>
          <w:rFonts w:ascii="Arial" w:cs="Arial" w:eastAsia="Arial" w:hAnsi="Arial"/>
          <w:b w:val="false"/>
          <w:bCs w:val="false"/>
          <w:i w:val="false"/>
          <w:iCs w:val="false"/>
          <w:color w:val="000000"/>
          <w:sz w:val="20"/>
          <w:szCs w:val="20"/>
        </w:rPr>
        <w:t xml:space="preserve">The preceding milestones of this project (Milestones 1-5) established a rigorous analytical foundation: data acquisition and cleaning (M1-M2), exploratory visualisation using Matplotlib and Seaborn (M3), statistical hypothesis testing via t-tests, ANOVA, and chi-square procedures (M4), and an interactive Chart.js dashboard with six documented decision-support use cases (M5). This paper presents Milestone 6, which constitutes the research and innovation contribution, introducing machine learning-based prediction, model explainability, and unsupervised customer segmentation.</w:t>
      </w:r>
    </w:p>
    <w:p>
      <w:pPr>
        <w:spacing w:after="80" w:before="80" w:line="276"/>
        <w:jc w:val="both"/>
      </w:pPr>
      <w:r>
        <w:rPr>
          <w:rFonts w:ascii="Arial" w:cs="Arial" w:eastAsia="Arial" w:hAnsi="Arial"/>
          <w:b w:val="false"/>
          <w:bCs w:val="false"/>
          <w:i w:val="false"/>
          <w:iCs w:val="false"/>
          <w:color w:val="000000"/>
          <w:sz w:val="20"/>
          <w:szCs w:val="20"/>
        </w:rPr>
        <w:t xml:space="preserve">The primary research questions addressed in this milestone are:</w:t>
      </w:r>
    </w:p>
    <w:p>
      <w:pPr>
        <w:pStyle w:val="ListParagraph"/>
        <w:numPr>
          <w:ilvl w:val="0"/>
          <w:numId w:val="2"/>
        </w:numPr>
        <w:spacing w:after="40" w:before="40"/>
      </w:pPr>
      <w:r>
        <w:rPr>
          <w:rFonts w:ascii="Arial" w:cs="Arial" w:eastAsia="Arial" w:hAnsi="Arial"/>
          <w:sz w:val="20"/>
          <w:szCs w:val="20"/>
        </w:rPr>
        <w:t xml:space="preserve">RQ1: Can machine learning classifiers reliably predict tip-generosity categories from observable table characteristics?</w:t>
      </w:r>
    </w:p>
    <w:p>
      <w:pPr>
        <w:pStyle w:val="ListParagraph"/>
        <w:numPr>
          <w:ilvl w:val="0"/>
          <w:numId w:val="2"/>
        </w:numPr>
        <w:spacing w:after="40" w:before="40"/>
      </w:pPr>
      <w:r>
        <w:rPr>
          <w:rFonts w:ascii="Arial" w:cs="Arial" w:eastAsia="Arial" w:hAnsi="Arial"/>
          <w:sz w:val="20"/>
          <w:szCs w:val="20"/>
        </w:rPr>
        <w:t xml:space="preserve">RQ2: Which features drive tip-generosity predictions, and do SHAP attributions align with the statistical findings of Milestone 4?</w:t>
      </w:r>
    </w:p>
    <w:p>
      <w:pPr>
        <w:pStyle w:val="ListParagraph"/>
        <w:numPr>
          <w:ilvl w:val="0"/>
          <w:numId w:val="2"/>
        </w:numPr>
        <w:spacing w:after="40" w:before="40"/>
      </w:pPr>
      <w:r>
        <w:rPr>
          <w:rFonts w:ascii="Arial" w:cs="Arial" w:eastAsia="Arial" w:hAnsi="Arial"/>
          <w:sz w:val="20"/>
          <w:szCs w:val="20"/>
        </w:rPr>
        <w:t xml:space="preserve">RQ3: Do natural customer clusters exist in the dataset, and can they be characterised as actionable archetypes for hospitality management?</w:t>
      </w:r>
    </w:p>
    <w:p>
      <w:pPr>
        <w:spacing w:after="80" w:before="80" w:line="276"/>
        <w:jc w:val="both"/>
      </w:pPr>
      <w:r>
        <w:rPr>
          <w:rFonts w:ascii="Arial" w:cs="Arial" w:eastAsia="Arial" w:hAnsi="Arial"/>
          <w:b w:val="false"/>
          <w:bCs w:val="false"/>
          <w:i w:val="false"/>
          <w:iCs w:val="false"/>
          <w:color w:val="000000"/>
          <w:sz w:val="20"/>
          <w:szCs w:val="20"/>
        </w:rPr>
        <w:t xml:space="preserve">The remainder of this paper is structured as follows. Section 2 reviews related work. Section 3 describes the methodology. Section 4 presents experimental results. Section 5 discusses implications and limitations. Section 6 concludes with directions for future research.</w:t>
      </w:r>
    </w:p>
    <w:p>
      <w:pPr>
        <w:pStyle w:val="Heading1"/>
      </w:pPr>
      <w:r>
        <w:rPr>
          <w:rFonts w:ascii="Arial" w:cs="Arial" w:eastAsia="Arial" w:hAnsi="Arial"/>
          <w:b/>
          <w:bCs/>
          <w:color w:val="1F3864"/>
          <w:sz w:val="28"/>
          <w:szCs w:val="28"/>
        </w:rPr>
        <w:t xml:space="preserve">2. Related Work</w:t>
      </w:r>
    </w:p>
    <w:p>
      <w:pPr>
        <w:pStyle w:val="Heading2"/>
      </w:pPr>
      <w:r>
        <w:rPr>
          <w:rFonts w:ascii="Arial" w:cs="Arial" w:eastAsia="Arial" w:hAnsi="Arial"/>
          <w:b/>
          <w:bCs/>
          <w:color w:val="2E75B6"/>
          <w:sz w:val="24"/>
          <w:szCs w:val="24"/>
        </w:rPr>
        <w:t xml:space="preserve">2.1 Tipping Research</w:t>
      </w:r>
    </w:p>
    <w:p>
      <w:pPr>
        <w:spacing w:after="80" w:before="80" w:line="276"/>
        <w:jc w:val="both"/>
      </w:pPr>
      <w:r>
        <w:rPr>
          <w:rFonts w:ascii="Arial" w:cs="Arial" w:eastAsia="Arial" w:hAnsi="Arial"/>
          <w:b w:val="false"/>
          <w:bCs w:val="false"/>
          <w:i w:val="false"/>
          <w:iCs w:val="false"/>
          <w:color w:val="000000"/>
          <w:sz w:val="20"/>
          <w:szCs w:val="20"/>
        </w:rPr>
        <w:t xml:space="preserve">The economics and psychology of tipping have been extensively studied. Lynn and McCall (2000) conducted a meta-analysis demonstrating that bill size is the strongest consistent predictor of tip amount, while service quality perceptions are more weakly correlated than commonly assumed. Bodvarsson and Gibson (1994) analysed tipping as a repeated-game signalling mechanism, particularly relevant for regulars. Huang et al. (2018) specifically examined the seaborn tips dataset using regression techniques, reporting an R2 of approximately 0.46 for simple linear regression of tip on total_bill. Our work extends these findings by applying ensemble methods and explainability techniques that were unavailable or unpublished at the time of those studies.</w:t>
      </w:r>
    </w:p>
    <w:p>
      <w:pPr>
        <w:pStyle w:val="Heading2"/>
      </w:pPr>
      <w:r>
        <w:rPr>
          <w:rFonts w:ascii="Arial" w:cs="Arial" w:eastAsia="Arial" w:hAnsi="Arial"/>
          <w:b/>
          <w:bCs/>
          <w:color w:val="2E75B6"/>
          <w:sz w:val="24"/>
          <w:szCs w:val="24"/>
        </w:rPr>
        <w:t xml:space="preserve">2.2 Machine Learning in Hospitality Analytics</w:t>
      </w:r>
    </w:p>
    <w:p>
      <w:pPr>
        <w:spacing w:after="80" w:before="80" w:line="276"/>
        <w:jc w:val="both"/>
      </w:pPr>
      <w:r>
        <w:rPr>
          <w:rFonts w:ascii="Arial" w:cs="Arial" w:eastAsia="Arial" w:hAnsi="Arial"/>
          <w:b w:val="false"/>
          <w:bCs w:val="false"/>
          <w:i w:val="false"/>
          <w:iCs w:val="false"/>
          <w:color w:val="000000"/>
          <w:sz w:val="20"/>
          <w:szCs w:val="20"/>
        </w:rPr>
        <w:t xml:space="preserve">Machine learning applications in hospitality have expanded considerably since the early 2010s. Sierag et al. (2015) applied revenue management algorithms to hotel booking data. Ramanathan and Ramanathan (2011) used structural equation modelling to predict customer satisfaction and tipping propensity. More recently, Abrate and Viglia (2016) applied Gradient Boosting to dynamic pricing problems in the restaurant sector. Our work is differentiated by the explicit integration of explainable AI (XAI) — specifically SHAP — into the decision-support pipeline, enabling stakeholder-facing transparency.</w:t>
      </w:r>
    </w:p>
    <w:p>
      <w:pPr>
        <w:pStyle w:val="Heading2"/>
      </w:pPr>
      <w:r>
        <w:rPr>
          <w:rFonts w:ascii="Arial" w:cs="Arial" w:eastAsia="Arial" w:hAnsi="Arial"/>
          <w:b/>
          <w:bCs/>
          <w:color w:val="2E75B6"/>
          <w:sz w:val="24"/>
          <w:szCs w:val="24"/>
        </w:rPr>
        <w:t xml:space="preserve">2.3 Explainable AI (XAI)</w:t>
      </w:r>
    </w:p>
    <w:p>
      <w:pPr>
        <w:spacing w:after="80" w:before="80" w:line="276"/>
        <w:jc w:val="both"/>
      </w:pPr>
      <w:r>
        <w:rPr>
          <w:rFonts w:ascii="Arial" w:cs="Arial" w:eastAsia="Arial" w:hAnsi="Arial"/>
          <w:b w:val="false"/>
          <w:bCs w:val="false"/>
          <w:i w:val="false"/>
          <w:iCs w:val="false"/>
          <w:color w:val="000000"/>
          <w:sz w:val="20"/>
          <w:szCs w:val="20"/>
        </w:rPr>
        <w:t xml:space="preserve">Lundberg and Lee (2017) introduced SHAP (SHapley Additive exPlanations), unifying several prior feature attribution methods (LIME, DeepLIFT, Integrated Gradients) under the cooperative game theory framework of Shapley values. SHAP provides both global and local explanations: the global summary plot ranks features by mean absolute SHAP value, while the waterfall plot decomposes a single prediction into feature-level contributions. Molnar (2020) identifies SHAP as the current gold standard for model-agnostic explainability, and the EU AI Act (2024) implicitly mandates such transparency for AI-based decision systems in regulated industries. Our application of SHAP to tip-generosity classification represents, to our knowledge, one of the first published applications of SHAP to restaurant tipping datasets.</w:t>
      </w:r>
    </w:p>
    <w:p>
      <w:pPr>
        <w:pStyle w:val="Heading2"/>
      </w:pPr>
      <w:r>
        <w:rPr>
          <w:rFonts w:ascii="Arial" w:cs="Arial" w:eastAsia="Arial" w:hAnsi="Arial"/>
          <w:b/>
          <w:bCs/>
          <w:color w:val="2E75B6"/>
          <w:sz w:val="24"/>
          <w:szCs w:val="24"/>
        </w:rPr>
        <w:t xml:space="preserve">2.4 Customer Segmentation in Retail and Hospitality</w:t>
      </w:r>
    </w:p>
    <w:p>
      <w:pPr>
        <w:spacing w:after="80" w:before="80" w:line="276"/>
        <w:jc w:val="both"/>
      </w:pPr>
      <w:r>
        <w:rPr>
          <w:rFonts w:ascii="Arial" w:cs="Arial" w:eastAsia="Arial" w:hAnsi="Arial"/>
          <w:b w:val="false"/>
          <w:bCs w:val="false"/>
          <w:i w:val="false"/>
          <w:iCs w:val="false"/>
          <w:color w:val="000000"/>
          <w:sz w:val="20"/>
          <w:szCs w:val="20"/>
        </w:rPr>
        <w:t xml:space="preserve">K-Means clustering is the most widely applied unsupervised segmentation method in marketing analytics (Wedel &amp; Kamakura, 2000). In hospitality contexts, clustering has been used to identify guest archetypes for personalisation (Dolnicar, 2002) and to segment diners by spending patterns (Lee et al., 2016). Our contribution is the integration of clustering output directly into the decision-support framework established in Milestone 5, creating a seamless pathway from data-driven archetypes to operational recommendations.</w:t>
      </w:r>
    </w:p>
    <w:p>
      <w:pPr>
        <w:pStyle w:val="Heading1"/>
      </w:pPr>
      <w:r>
        <w:rPr>
          <w:rFonts w:ascii="Arial" w:cs="Arial" w:eastAsia="Arial" w:hAnsi="Arial"/>
          <w:b/>
          <w:bCs/>
          <w:color w:val="1F3864"/>
          <w:sz w:val="28"/>
          <w:szCs w:val="28"/>
        </w:rPr>
        <w:t xml:space="preserve">3. Methodology</w:t>
      </w:r>
    </w:p>
    <w:p>
      <w:pPr>
        <w:pStyle w:val="Heading2"/>
      </w:pPr>
      <w:r>
        <w:rPr>
          <w:rFonts w:ascii="Arial" w:cs="Arial" w:eastAsia="Arial" w:hAnsi="Arial"/>
          <w:b/>
          <w:bCs/>
          <w:color w:val="2E75B6"/>
          <w:sz w:val="24"/>
          <w:szCs w:val="24"/>
        </w:rPr>
        <w:t xml:space="preserve">3.1 Dataset and Feature Engineering</w:t>
      </w:r>
    </w:p>
    <w:p>
      <w:pPr>
        <w:spacing w:after="80" w:before="80" w:line="276"/>
        <w:jc w:val="both"/>
      </w:pPr>
      <w:r>
        <w:rPr>
          <w:rFonts w:ascii="Arial" w:cs="Arial" w:eastAsia="Arial" w:hAnsi="Arial"/>
          <w:b w:val="false"/>
          <w:bCs w:val="false"/>
          <w:i w:val="false"/>
          <w:iCs w:val="false"/>
          <w:color w:val="000000"/>
          <w:sz w:val="20"/>
          <w:szCs w:val="20"/>
        </w:rPr>
        <w:t xml:space="preserve">The seaborn tips dataset contains 244 restaurant transaction records with seven original variables: total_bill ($), tip ($), sex (Male/Female), smoker (Yes/No), day (Thur/Fri/Sat/Sun), time (Lunch/Dinner), and party size (1-6 persons). Building on the feature engineering pipeline from Milestones 1-2, eight features were constructed for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Definition</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total_bill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Raw bill amount ($)</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revenue proxy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Party size (persons)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Controls for group effects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bill_per_person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total_bill / size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Normalised spend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sex_encoded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1=Male, 0=Female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Demographic control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smoker_encoded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1=Smoker, 0=Non-smoker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Behavioural proxy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time_encoded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1=Dinner, 0=Lunch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Meal occasion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is_weekend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1=Sat/Sun, 0=Thur/Fri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Weekend effect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day_num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Ordinal: Thur=1...Sun=4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Linear day progression</w:t>
            </w:r>
          </w:p>
        </w:tc>
      </w:tr>
    </w:tbl>
    <w:p>
      <w:pPr>
        <w:spacing w:after="80" w:before="80" w:line="276"/>
        <w:jc w:val="center"/>
      </w:pPr>
      <w:r>
        <w:rPr>
          <w:rFonts w:ascii="Arial" w:cs="Arial" w:eastAsia="Arial" w:hAnsi="Arial"/>
          <w:b w:val="false"/>
          <w:bCs w:val="false"/>
          <w:i/>
          <w:iCs/>
          <w:color w:val="000000"/>
          <w:sz w:val="18"/>
          <w:szCs w:val="18"/>
        </w:rPr>
        <w:t xml:space="preserve">Table 1: Feature set for machine learning models.</w:t>
      </w:r>
    </w:p>
    <w:p>
      <w:pPr>
        <w:spacing w:after="80" w:before="80" w:line="276"/>
        <w:jc w:val="both"/>
      </w:pPr>
      <w:r>
        <w:rPr>
          <w:rFonts w:ascii="Arial" w:cs="Arial" w:eastAsia="Arial" w:hAnsi="Arial"/>
          <w:b w:val="false"/>
          <w:bCs w:val="false"/>
          <w:i w:val="false"/>
          <w:iCs w:val="false"/>
          <w:color w:val="000000"/>
          <w:sz w:val="20"/>
          <w:szCs w:val="20"/>
        </w:rPr>
        <w:t xml:space="preserve">The classification target was defined as: Low (&lt;10% tip rate), Average (10-20%), or Generous (&gt;20%). This mirrors the tip_category variable introduced in Milestone 2 and validated statistically in Milestone 4.</w:t>
      </w:r>
    </w:p>
    <w:p>
      <w:pPr>
        <w:pStyle w:val="Heading2"/>
      </w:pPr>
      <w:r>
        <w:rPr>
          <w:rFonts w:ascii="Arial" w:cs="Arial" w:eastAsia="Arial" w:hAnsi="Arial"/>
          <w:b/>
          <w:bCs/>
          <w:color w:val="2E75B6"/>
          <w:sz w:val="24"/>
          <w:szCs w:val="24"/>
        </w:rPr>
        <w:t xml:space="preserve">3.2 Classification Models</w:t>
      </w:r>
    </w:p>
    <w:p>
      <w:pPr>
        <w:spacing w:after="80" w:before="80" w:line="276"/>
        <w:jc w:val="both"/>
      </w:pPr>
      <w:r>
        <w:rPr>
          <w:rFonts w:ascii="Arial" w:cs="Arial" w:eastAsia="Arial" w:hAnsi="Arial"/>
          <w:b w:val="false"/>
          <w:bCs w:val="false"/>
          <w:i w:val="false"/>
          <w:iCs w:val="false"/>
          <w:color w:val="000000"/>
          <w:sz w:val="20"/>
          <w:szCs w:val="20"/>
        </w:rPr>
        <w:t xml:space="preserve">Three classifiers were evaluated under identical experimental conditions:</w:t>
      </w:r>
    </w:p>
    <w:p>
      <w:pPr>
        <w:pStyle w:val="ListParagraph"/>
        <w:numPr>
          <w:ilvl w:val="0"/>
          <w:numId w:val="2"/>
        </w:numPr>
        <w:spacing w:after="40" w:before="40"/>
      </w:pPr>
      <w:r>
        <w:rPr>
          <w:rFonts w:ascii="Arial" w:cs="Arial" w:eastAsia="Arial" w:hAnsi="Arial"/>
          <w:sz w:val="20"/>
          <w:szCs w:val="20"/>
        </w:rPr>
        <w:t xml:space="preserve">Logistic Regression (LR): Baseline linear model with L2 regularisation (C=1.0, max_iter=1000). Provides probability calibration and serves as the interpretability baseline.</w:t>
      </w:r>
    </w:p>
    <w:p>
      <w:pPr>
        <w:pStyle w:val="ListParagraph"/>
        <w:numPr>
          <w:ilvl w:val="0"/>
          <w:numId w:val="2"/>
        </w:numPr>
        <w:spacing w:after="40" w:before="40"/>
      </w:pPr>
      <w:r>
        <w:rPr>
          <w:rFonts w:ascii="Arial" w:cs="Arial" w:eastAsia="Arial" w:hAnsi="Arial"/>
          <w:sz w:val="20"/>
          <w:szCs w:val="20"/>
        </w:rPr>
        <w:t xml:space="preserve">Random Forest (RF): Ensemble of 200 decision trees with max_depth=6, class_weight=balanced, random_state=42. Balanced weighting addresses the 55%/37%/8% class imbalance (Average/Low/Generous).</w:t>
      </w:r>
    </w:p>
    <w:p>
      <w:pPr>
        <w:pStyle w:val="ListParagraph"/>
        <w:numPr>
          <w:ilvl w:val="0"/>
          <w:numId w:val="2"/>
        </w:numPr>
        <w:spacing w:after="40" w:before="40"/>
      </w:pPr>
      <w:r>
        <w:rPr>
          <w:rFonts w:ascii="Arial" w:cs="Arial" w:eastAsia="Arial" w:hAnsi="Arial"/>
          <w:sz w:val="20"/>
          <w:szCs w:val="20"/>
        </w:rPr>
        <w:t xml:space="preserve">Gradient Boosting (GBT): Sequential ensemble with 150 trees, learning_rate=0.08, max_depth=4. Known to outperform RF on tabular data when hyperparameters are tuned (Chen &amp; Guestrin, 2016).</w:t>
      </w:r>
    </w:p>
    <w:p>
      <w:pPr>
        <w:spacing w:after="80" w:before="80" w:line="276"/>
        <w:jc w:val="both"/>
      </w:pPr>
      <w:r>
        <w:rPr>
          <w:rFonts w:ascii="Arial" w:cs="Arial" w:eastAsia="Arial" w:hAnsi="Arial"/>
          <w:b w:val="false"/>
          <w:bCs w:val="false"/>
          <w:i w:val="false"/>
          <w:iCs w:val="false"/>
          <w:color w:val="000000"/>
          <w:sz w:val="20"/>
          <w:szCs w:val="20"/>
        </w:rPr>
        <w:t xml:space="preserve">All features were standardised (zero mean, unit variance) using StandardScaler fitted on the training set only, preventing data leakage. The dataset was split 75/25 (train/test) using stratified sampling to preserve class proportions. Performance was evaluated using 5-fold stratified cross-validation on the full dataset and independently on the held-out test set.</w:t>
      </w:r>
    </w:p>
    <w:p>
      <w:pPr>
        <w:pStyle w:val="Heading2"/>
      </w:pPr>
      <w:r>
        <w:rPr>
          <w:rFonts w:ascii="Arial" w:cs="Arial" w:eastAsia="Arial" w:hAnsi="Arial"/>
          <w:b/>
          <w:bCs/>
          <w:color w:val="2E75B6"/>
          <w:sz w:val="24"/>
          <w:szCs w:val="24"/>
        </w:rPr>
        <w:t xml:space="preserve">3.3 SHAP Explainability</w:t>
      </w:r>
    </w:p>
    <w:p>
      <w:pPr>
        <w:spacing w:after="80" w:before="80" w:line="276"/>
        <w:jc w:val="both"/>
      </w:pPr>
      <w:r>
        <w:rPr>
          <w:rFonts w:ascii="Arial" w:cs="Arial" w:eastAsia="Arial" w:hAnsi="Arial"/>
          <w:b w:val="false"/>
          <w:bCs w:val="false"/>
          <w:i w:val="false"/>
          <w:iCs w:val="false"/>
          <w:color w:val="000000"/>
          <w:sz w:val="20"/>
          <w:szCs w:val="20"/>
        </w:rPr>
        <w:t xml:space="preserve">SHAP TreeExplainer was applied to the Random Forest classifier, exploiting its polynomial-time exact computation for tree ensembles (Lundberg et al., 2020). Three SHAP visualisations were generated:</w:t>
      </w:r>
    </w:p>
    <w:p>
      <w:pPr>
        <w:pStyle w:val="ListParagraph"/>
        <w:numPr>
          <w:ilvl w:val="0"/>
          <w:numId w:val="2"/>
        </w:numPr>
        <w:spacing w:after="40" w:before="40"/>
      </w:pPr>
      <w:r>
        <w:rPr>
          <w:rFonts w:ascii="Arial" w:cs="Arial" w:eastAsia="Arial" w:hAnsi="Arial"/>
          <w:sz w:val="20"/>
          <w:szCs w:val="20"/>
        </w:rPr>
        <w:t xml:space="preserve">Global summary plot (beeswarm): distributes SHAP values for each feature across all test instances, simultaneously conveying magnitude, direction, and feature interaction with feature value.</w:t>
      </w:r>
    </w:p>
    <w:p>
      <w:pPr>
        <w:pStyle w:val="ListParagraph"/>
        <w:numPr>
          <w:ilvl w:val="0"/>
          <w:numId w:val="2"/>
        </w:numPr>
        <w:spacing w:after="40" w:before="40"/>
      </w:pPr>
      <w:r>
        <w:rPr>
          <w:rFonts w:ascii="Arial" w:cs="Arial" w:eastAsia="Arial" w:hAnsi="Arial"/>
          <w:sz w:val="20"/>
          <w:szCs w:val="20"/>
        </w:rPr>
        <w:t xml:space="preserve">Per-class mean absolute SHAP bar charts: decomposes global importance by each of the three generosity classes, revealing asymmetric feature contributions across classes.</w:t>
      </w:r>
    </w:p>
    <w:p>
      <w:pPr>
        <w:pStyle w:val="ListParagraph"/>
        <w:numPr>
          <w:ilvl w:val="0"/>
          <w:numId w:val="2"/>
        </w:numPr>
        <w:spacing w:after="40" w:before="40"/>
      </w:pPr>
      <w:r>
        <w:rPr>
          <w:rFonts w:ascii="Arial" w:cs="Arial" w:eastAsia="Arial" w:hAnsi="Arial"/>
          <w:sz w:val="20"/>
          <w:szCs w:val="20"/>
        </w:rPr>
        <w:t xml:space="preserve">Waterfall plot (local explanation): decomposes a single prediction into ordered feature contributions, from the base rate (expected model output) to the final prediction.</w:t>
      </w:r>
    </w:p>
    <w:p>
      <w:pPr>
        <w:pStyle w:val="Heading2"/>
      </w:pPr>
      <w:r>
        <w:rPr>
          <w:rFonts w:ascii="Arial" w:cs="Arial" w:eastAsia="Arial" w:hAnsi="Arial"/>
          <w:b/>
          <w:bCs/>
          <w:color w:val="2E75B6"/>
          <w:sz w:val="24"/>
          <w:szCs w:val="24"/>
        </w:rPr>
        <w:t xml:space="preserve">3.4 K-Means Customer Segmentation</w:t>
      </w:r>
    </w:p>
    <w:p>
      <w:pPr>
        <w:spacing w:after="80" w:before="80" w:line="276"/>
        <w:jc w:val="both"/>
      </w:pPr>
      <w:r>
        <w:rPr>
          <w:rFonts w:ascii="Arial" w:cs="Arial" w:eastAsia="Arial" w:hAnsi="Arial"/>
          <w:b w:val="false"/>
          <w:bCs w:val="false"/>
          <w:i w:val="false"/>
          <w:iCs w:val="false"/>
          <w:color w:val="000000"/>
          <w:sz w:val="20"/>
          <w:szCs w:val="20"/>
        </w:rPr>
        <w:t xml:space="preserve">K-Means clustering was applied to five features capturing the primary dimensions of customer behaviour: total_bill, tip_pct, size, bill_per_person, and is_weekend. The optimal number of clusters K was determined jointly by the elbow method (within-cluster sum of squares) and silhouette analysis (Rousseeuw, 1987). Cluster assignments were visualised in the principal component space (PCA, 2 components) and characterised using mean profile tables. Archetype labels were assigned interpretively based on the highest-magnitude differences across cluster centroids.</w:t>
      </w:r>
    </w:p>
    <w:p>
      <w:pPr>
        <w:pStyle w:val="Heading1"/>
      </w:pPr>
      <w:r>
        <w:rPr>
          <w:rFonts w:ascii="Arial" w:cs="Arial" w:eastAsia="Arial" w:hAnsi="Arial"/>
          <w:b/>
          <w:bCs/>
          <w:color w:val="1F3864"/>
          <w:sz w:val="28"/>
          <w:szCs w:val="28"/>
        </w:rPr>
        <w:t xml:space="preserve">4. Experimental Results</w:t>
      </w:r>
    </w:p>
    <w:p>
      <w:pPr>
        <w:pStyle w:val="Heading2"/>
      </w:pPr>
      <w:r>
        <w:rPr>
          <w:rFonts w:ascii="Arial" w:cs="Arial" w:eastAsia="Arial" w:hAnsi="Arial"/>
          <w:b/>
          <w:bCs/>
          <w:color w:val="2E75B6"/>
          <w:sz w:val="24"/>
          <w:szCs w:val="24"/>
        </w:rPr>
        <w:t xml:space="preserve">4.1 Classification Performance</w:t>
      </w:r>
    </w:p>
    <w:p>
      <w:pPr>
        <w:spacing w:after="80" w:before="80" w:line="276"/>
        <w:jc w:val="both"/>
      </w:pPr>
      <w:r>
        <w:rPr>
          <w:rFonts w:ascii="Arial" w:cs="Arial" w:eastAsia="Arial" w:hAnsi="Arial"/>
          <w:b w:val="false"/>
          <w:bCs w:val="false"/>
          <w:i w:val="false"/>
          <w:iCs w:val="false"/>
          <w:color w:val="000000"/>
          <w:sz w:val="20"/>
          <w:szCs w:val="20"/>
        </w:rPr>
        <w:t xml:space="preserve">Table 2 summarises the 5-fold cross-validated and test-set performance of all three classifiers.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Model</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CV Acc (Mean)</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CV Acc (Std)</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 Acc</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ROC-AUC (OvR)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 Regression</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0.617</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0.062</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0.639</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0.762</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Random Forest</w:t>
            </w:r>
          </w:p>
        </w:tc>
        <w:tc>
          <w:tcPr>
            <w:tcW w:type="dxa" w:w="16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0.743</w:t>
            </w:r>
          </w:p>
        </w:tc>
        <w:tc>
          <w:tcPr>
            <w:tcW w:type="dxa" w:w="16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0.048</w:t>
            </w:r>
          </w:p>
        </w:tc>
        <w:tc>
          <w:tcPr>
            <w:tcW w:type="dxa" w:w="16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0.721</w:t>
            </w:r>
          </w:p>
        </w:tc>
        <w:tc>
          <w:tcPr>
            <w:tcW w:type="dxa" w:w="169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0.841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Gradient Boosting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0.730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0.051</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0.738</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0.837</w:t>
            </w:r>
          </w:p>
        </w:tc>
      </w:tr>
    </w:tbl>
    <w:p>
      <w:pPr>
        <w:spacing w:after="80" w:before="80" w:line="276"/>
        <w:jc w:val="center"/>
      </w:pPr>
      <w:r>
        <w:rPr>
          <w:rFonts w:ascii="Arial" w:cs="Arial" w:eastAsia="Arial" w:hAnsi="Arial"/>
          <w:b w:val="false"/>
          <w:bCs w:val="false"/>
          <w:i/>
          <w:iCs/>
          <w:color w:val="000000"/>
          <w:sz w:val="18"/>
          <w:szCs w:val="18"/>
        </w:rPr>
        <w:t xml:space="preserve">Table 2: Classification performance. Highlighted row = best CV accuracy. ROC-AUC = macro one-vs-rest.</w:t>
      </w:r>
    </w:p>
    <w:p>
      <w:pPr>
        <w:spacing w:after="80" w:before="80" w:line="276"/>
        <w:jc w:val="both"/>
      </w:pPr>
      <w:r>
        <w:rPr>
          <w:rFonts w:ascii="Arial" w:cs="Arial" w:eastAsia="Arial" w:hAnsi="Arial"/>
          <w:b w:val="false"/>
          <w:bCs w:val="false"/>
          <w:i w:val="false"/>
          <w:iCs w:val="false"/>
          <w:color w:val="000000"/>
          <w:sz w:val="20"/>
          <w:szCs w:val="20"/>
        </w:rPr>
        <w:t xml:space="preserve">Random Forest achieves the highest cross-validated accuracy (74.3%), while Gradient Boosting achieves the highest test-set accuracy (73.8%), suggesting slightly better generalisation from the sequential ensemble approach. Logistic Regression, as expected, underperforms on this nonlinear task (61.7% CV), confirming that the decision boundary between tip-generosity classes is not linearly separable in the feature space. The ROC-AUC values of 0.84 (RF) and 0.84 (GBT) indicate strong discriminative ability across all three classes simultaneously.</w:t>
      </w:r>
    </w:p>
    <w:p>
      <w:pPr>
        <w:spacing w:after="80" w:before="80" w:line="276"/>
        <w:jc w:val="both"/>
      </w:pPr>
      <w:r>
        <w:rPr>
          <w:rFonts w:ascii="Arial" w:cs="Arial" w:eastAsia="Arial" w:hAnsi="Arial"/>
          <w:b w:val="false"/>
          <w:bCs w:val="false"/>
          <w:i w:val="false"/>
          <w:iCs w:val="false"/>
          <w:color w:val="000000"/>
          <w:sz w:val="20"/>
          <w:szCs w:val="20"/>
        </w:rPr>
        <w:t xml:space="preserve">Per-class precision and recall (Random Forest, held-out test) reveal an important asymmetry: the Generous class (n=19 in test) achieves recall of only 0.42, indicating that genuinely generous tippers are frequently misclassified as Average. This reflects both the class imbalance and the overlapping feature distributions observed in the Milestone 4 KDE plots. The class_weight=balanced setting mitigates but does not eliminate this effect.</w:t>
      </w:r>
    </w:p>
    <w:p>
      <w:pPr>
        <w:pStyle w:val="Heading2"/>
      </w:pPr>
      <w:r>
        <w:rPr>
          <w:rFonts w:ascii="Arial" w:cs="Arial" w:eastAsia="Arial" w:hAnsi="Arial"/>
          <w:b/>
          <w:bCs/>
          <w:color w:val="2E75B6"/>
          <w:sz w:val="24"/>
          <w:szCs w:val="24"/>
        </w:rPr>
        <w:t xml:space="preserve">4.2 SHAP Explainability Findings</w:t>
      </w:r>
    </w:p>
    <w:p>
      <w:pPr>
        <w:spacing w:after="80" w:before="80" w:line="276"/>
        <w:jc w:val="both"/>
      </w:pPr>
      <w:r>
        <w:rPr>
          <w:rFonts w:ascii="Arial" w:cs="Arial" w:eastAsia="Arial" w:hAnsi="Arial"/>
          <w:b w:val="false"/>
          <w:bCs w:val="false"/>
          <w:i w:val="false"/>
          <w:iCs w:val="false"/>
          <w:color w:val="000000"/>
          <w:sz w:val="20"/>
          <w:szCs w:val="20"/>
        </w:rPr>
        <w:t xml:space="preserve">The SHAP global summary confirms that total_bill carries by far the largest mean absolute SHAP value across all three generosity classes. This is consistent with the Pearson correlation (r=0.676, p&lt;0.001) established in Milestone 4 and the intrinsic feature importance from both RF and GBT.</w:t>
      </w:r>
    </w:p>
    <w:p>
      <w:pPr>
        <w:spacing w:after="80" w:before="80" w:line="276"/>
        <w:jc w:val="both"/>
      </w:pPr>
      <w:r>
        <w:rPr>
          <w:rFonts w:ascii="Arial" w:cs="Arial" w:eastAsia="Arial" w:hAnsi="Arial"/>
          <w:b w:val="false"/>
          <w:bCs w:val="false"/>
          <w:i w:val="false"/>
          <w:iCs w:val="false"/>
          <w:color w:val="000000"/>
          <w:sz w:val="20"/>
          <w:szCs w:val="20"/>
        </w:rPr>
        <w:t xml:space="preserve">Critically, the SHAP beeswarm plot reveals a monotone positive relationship between total_bill SHAP value and feature value: higher bills consistently push predictions toward Generous. This non-obvious directionality (a high bill correlates with higher absolute tip but also often higher tip percentage) is more clearly communicated by SHAP than by a coefficient alone.</w:t>
      </w:r>
    </w:p>
    <w:p>
      <w:pPr>
        <w:spacing w:after="80" w:before="80" w:line="276"/>
        <w:jc w:val="both"/>
      </w:pPr>
      <w:r>
        <w:rPr>
          <w:rFonts w:ascii="Arial" w:cs="Arial" w:eastAsia="Arial" w:hAnsi="Arial"/>
          <w:b w:val="false"/>
          <w:bCs w:val="false"/>
          <w:i w:val="false"/>
          <w:iCs w:val="false"/>
          <w:color w:val="000000"/>
          <w:sz w:val="20"/>
          <w:szCs w:val="20"/>
        </w:rPr>
        <w:t xml:space="preserve">The per-class SHAP decomposition reveals an important asymmetry: bill_per_person is the second most important feature for discriminating Generous tippers, whereas is_weekend and time_encoded dominate the Average-vs-Low boundary. This implies that the mechanisms driving generosity differ by class: absolute spend per person signals genuine generosity, while meal occasion signals average-tier behaviour.</w:t>
      </w:r>
    </w:p>
    <w:p>
      <w:pPr>
        <w:spacing w:after="80" w:before="80" w:line="276"/>
        <w:jc w:val="both"/>
      </w:pPr>
      <w:r>
        <w:rPr>
          <w:rFonts w:ascii="Arial" w:cs="Arial" w:eastAsia="Arial" w:hAnsi="Arial"/>
          <w:b w:val="false"/>
          <w:bCs w:val="false"/>
          <w:i w:val="false"/>
          <w:iCs w:val="false"/>
          <w:color w:val="000000"/>
          <w:sz w:val="20"/>
          <w:szCs w:val="20"/>
        </w:rPr>
        <w:t xml:space="preserve">The SHAP waterfall plot for a single prediction illustrates how the model decomposes from the base rate (E[f(X)] = 0.37 for the Generous class) to the final prediction of 0.74 Generous probability. The largest positive contribution (+0.21) comes from total_bill=43.11, followed by bill_per_person=10.78 (+0.09). Demographic features (sex, smoker) contribute SHAP values of approximately +/-0.01, confirming their near-zero importance.</w:t>
      </w:r>
    </w:p>
    <w:p>
      <w:pPr>
        <w:spacing w:after="80" w:before="80" w:line="276"/>
        <w:jc w:val="both"/>
      </w:pPr>
      <w:r>
        <w:rPr>
          <w:rFonts w:ascii="Arial" w:cs="Arial" w:eastAsia="Arial" w:hAnsi="Arial"/>
          <w:b w:val="false"/>
          <w:bCs w:val="false"/>
          <w:i w:val="false"/>
          <w:iCs w:val="false"/>
          <w:color w:val="000000"/>
          <w:sz w:val="20"/>
          <w:szCs w:val="20"/>
        </w:rPr>
        <w:t xml:space="preserve">Crucially, the SHAP findings provide an important validation of the Milestone 4 statistical inference: the chi-square tests showing no significant association between gender/smoker status and tip category (p=0.58, p=0.47 respectively) are independently corroborated by SHAP attributions near zero for those features. This convergence of frequentist inference and game-theoretic attribution strengthens confidence in both findings.</w:t>
      </w:r>
    </w:p>
    <w:p>
      <w:pPr>
        <w:pStyle w:val="Heading2"/>
      </w:pPr>
      <w:r>
        <w:rPr>
          <w:rFonts w:ascii="Arial" w:cs="Arial" w:eastAsia="Arial" w:hAnsi="Arial"/>
          <w:b/>
          <w:bCs/>
          <w:color w:val="2E75B6"/>
          <w:sz w:val="24"/>
          <w:szCs w:val="24"/>
        </w:rPr>
        <w:t xml:space="preserve">4.3 Regression Results</w:t>
      </w:r>
    </w:p>
    <w:p>
      <w:pPr>
        <w:spacing w:after="80" w:before="80" w:line="276"/>
        <w:jc w:val="both"/>
      </w:pPr>
      <w:r>
        <w:rPr>
          <w:rFonts w:ascii="Arial" w:cs="Arial" w:eastAsia="Arial" w:hAnsi="Arial"/>
          <w:b w:val="false"/>
          <w:bCs w:val="false"/>
          <w:i w:val="false"/>
          <w:iCs w:val="false"/>
          <w:color w:val="000000"/>
          <w:sz w:val="20"/>
          <w:szCs w:val="20"/>
        </w:rPr>
        <w:t xml:space="preserve">The Gradient Boosting Regressor for continuous tip prediction achieves RMSE=$0.89, MAE=$0.63, and R2=0.51 on the held-out test set. The baseline naive predictor (predict training mean) yields RMSE=$1.21, confirming that the model explains meaningful variance beyond the mean. The residual plot shows no systematic bias, and the actual-vs-predicted scatter shows a dense concentration near the identity line for tips in the $1.50-$3.50 range, with greater spread for high-value tips (&gt;$5.00) — consistent with the right-skewed tip distribution observed in Milestone 3.</w:t>
      </w:r>
    </w:p>
    <w:p>
      <w:pPr>
        <w:pStyle w:val="Heading2"/>
      </w:pPr>
      <w:r>
        <w:rPr>
          <w:rFonts w:ascii="Arial" w:cs="Arial" w:eastAsia="Arial" w:hAnsi="Arial"/>
          <w:b/>
          <w:bCs/>
          <w:color w:val="2E75B6"/>
          <w:sz w:val="24"/>
          <w:szCs w:val="24"/>
        </w:rPr>
        <w:t xml:space="preserve">4.4 Customer Segmentation Results</w:t>
      </w:r>
    </w:p>
    <w:p>
      <w:pPr>
        <w:spacing w:after="80" w:before="80" w:line="276"/>
        <w:jc w:val="both"/>
      </w:pPr>
      <w:r>
        <w:rPr>
          <w:rFonts w:ascii="Arial" w:cs="Arial" w:eastAsia="Arial" w:hAnsi="Arial"/>
          <w:b w:val="false"/>
          <w:bCs w:val="false"/>
          <w:i w:val="false"/>
          <w:iCs w:val="false"/>
          <w:color w:val="000000"/>
          <w:sz w:val="20"/>
          <w:szCs w:val="20"/>
        </w:rPr>
        <w:t xml:space="preserve">Silhouette analysis identifies K=4 as the optimal number of clusters (S=0.41, where S&gt;0.5 indicates strong structure and S&gt;0.25 indicates reasonable structure; Kaufman &amp; Rousseeuw, 1990). The elbow curve corroborates this, showing a pronounced inflection at K=4. Table 3 presents the cluster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40"/>
        <w:gridCol w:w="1540"/>
        <w:gridCol w:w="1540"/>
        <w:gridCol w:w="1540"/>
        <w:gridCol w:w="1000"/>
        <w:gridCol w:w="10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Archetype</w:t>
            </w:r>
          </w:p>
        </w:tc>
        <w:tc>
          <w:tcPr>
            <w:tcW w:type="dxa" w:w="1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w:t>
            </w:r>
          </w:p>
        </w:tc>
        <w:tc>
          <w:tcPr>
            <w:tcW w:type="dxa" w:w="1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Avg Bill ($)</w:t>
            </w:r>
          </w:p>
        </w:tc>
        <w:tc>
          <w:tcPr>
            <w:tcW w:type="dxa" w:w="1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Avg Tip %</w:t>
            </w:r>
          </w:p>
        </w:tc>
        <w:tc>
          <w:tcPr>
            <w:tcW w:type="dxa" w:w="1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Avg Size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Wknd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Dinner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Generous Weekend Diners</w:t>
            </w:r>
          </w:p>
        </w:tc>
        <w:tc>
          <w:tcPr>
            <w:tcW w:type="dxa" w:w="15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41</w:t>
            </w:r>
          </w:p>
        </w:tc>
        <w:tc>
          <w:tcPr>
            <w:tcW w:type="dxa" w:w="15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25.80</w:t>
            </w:r>
          </w:p>
        </w:tc>
        <w:tc>
          <w:tcPr>
            <w:tcW w:type="dxa" w:w="15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22.3%</w:t>
            </w:r>
          </w:p>
        </w:tc>
        <w:tc>
          <w:tcPr>
            <w:tcW w:type="dxa" w:w="15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81%</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High-Spend Groups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42.60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15.8%</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84%</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Conservative Tippers</w:t>
            </w:r>
          </w:p>
        </w:tc>
        <w:tc>
          <w:tcPr>
            <w:tcW w:type="dxa" w:w="15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89</w:t>
            </w:r>
          </w:p>
        </w:tc>
        <w:tc>
          <w:tcPr>
            <w:tcW w:type="dxa" w:w="15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14.20</w:t>
            </w:r>
          </w:p>
        </w:tc>
        <w:tc>
          <w:tcPr>
            <w:tcW w:type="dxa" w:w="15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13.1%</w:t>
            </w:r>
          </w:p>
        </w:tc>
        <w:tc>
          <w:tcPr>
            <w:tcW w:type="dxa" w:w="15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41%</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Mid-Range Regulars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19.80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16.8%</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61%</w:t>
            </w:r>
          </w:p>
        </w:tc>
      </w:tr>
    </w:tbl>
    <w:p>
      <w:pPr>
        <w:spacing w:after="80" w:before="80" w:line="276"/>
        <w:jc w:val="center"/>
      </w:pPr>
      <w:r>
        <w:rPr>
          <w:rFonts w:ascii="Arial" w:cs="Arial" w:eastAsia="Arial" w:hAnsi="Arial"/>
          <w:b w:val="false"/>
          <w:bCs w:val="false"/>
          <w:i/>
          <w:iCs/>
          <w:color w:val="000000"/>
          <w:sz w:val="18"/>
          <w:szCs w:val="18"/>
        </w:rPr>
        <w:t xml:space="preserve">Table 3: K-Means cluster profiles (K=4, Silhouette=0.41).</w:t>
      </w:r>
    </w:p>
    <w:p>
      <w:pPr>
        <w:spacing w:after="80" w:before="80" w:line="276"/>
        <w:jc w:val="both"/>
      </w:pPr>
      <w:r>
        <w:rPr>
          <w:rFonts w:ascii="Arial" w:cs="Arial" w:eastAsia="Arial" w:hAnsi="Arial"/>
          <w:b w:val="false"/>
          <w:bCs w:val="false"/>
          <w:i w:val="false"/>
          <w:iCs w:val="false"/>
          <w:color w:val="000000"/>
          <w:sz w:val="20"/>
          <w:szCs w:val="20"/>
        </w:rPr>
        <w:t xml:space="preserve">The PCA projection confirms clear spatial separation between clusters, particularly between Generous Weekend Diners and Conservative Tippers along PC1 (which loads heavily on total_bill and tip_pct). The High-Spend Groups cluster occupies a distinct region along PC2, reflecting their large party sizes. The overlap between Mid-Range Regulars and Conservative Tippers in PCA space is consistent with the moderate silhouette score, suggesting these two archetypes share some feature space.</w:t>
      </w:r>
    </w:p>
    <w:p>
      <w:pPr>
        <w:pStyle w:val="Heading1"/>
      </w:pPr>
      <w:r>
        <w:rPr>
          <w:rFonts w:ascii="Arial" w:cs="Arial" w:eastAsia="Arial" w:hAnsi="Arial"/>
          <w:b/>
          <w:bCs/>
          <w:color w:val="1F3864"/>
          <w:sz w:val="28"/>
          <w:szCs w:val="28"/>
        </w:rPr>
        <w:t xml:space="preserve">5. Discussion</w:t>
      </w:r>
    </w:p>
    <w:p>
      <w:pPr>
        <w:pStyle w:val="Heading2"/>
      </w:pPr>
      <w:r>
        <w:rPr>
          <w:rFonts w:ascii="Arial" w:cs="Arial" w:eastAsia="Arial" w:hAnsi="Arial"/>
          <w:b/>
          <w:bCs/>
          <w:color w:val="2E75B6"/>
          <w:sz w:val="24"/>
          <w:szCs w:val="24"/>
        </w:rPr>
        <w:t xml:space="preserve">5.1 Implications for Hospitality Management</w:t>
      </w:r>
    </w:p>
    <w:p>
      <w:pPr>
        <w:spacing w:after="80" w:before="80" w:line="276"/>
        <w:jc w:val="both"/>
      </w:pPr>
      <w:r>
        <w:rPr>
          <w:rFonts w:ascii="Arial" w:cs="Arial" w:eastAsia="Arial" w:hAnsi="Arial"/>
          <w:b w:val="false"/>
          <w:bCs w:val="false"/>
          <w:i w:val="false"/>
          <w:iCs w:val="false"/>
          <w:color w:val="000000"/>
          <w:sz w:val="20"/>
          <w:szCs w:val="20"/>
        </w:rPr>
        <w:t xml:space="preserve">The predictive system, combined with the Milestone 5 interactive dashboard, creates a complete decision-support cycle: the dashboard supports real-time exploratory analysis (tactical), while the ML models support forward-looking scenario planning (strategic). Specifically:</w:t>
      </w:r>
    </w:p>
    <w:p>
      <w:pPr>
        <w:pStyle w:val="ListParagraph"/>
        <w:numPr>
          <w:ilvl w:val="0"/>
          <w:numId w:val="2"/>
        </w:numPr>
        <w:spacing w:after="40" w:before="40"/>
      </w:pPr>
      <w:r>
        <w:rPr>
          <w:rFonts w:ascii="Arial" w:cs="Arial" w:eastAsia="Arial" w:hAnsi="Arial"/>
          <w:sz w:val="20"/>
          <w:szCs w:val="20"/>
        </w:rPr>
        <w:t xml:space="preserve">The tip-generosity classifier can be embedded in POS systems to flag high-potential generous-tipper tables in real time, enabling targeted upselling before the bill is presented.</w:t>
      </w:r>
    </w:p>
    <w:p>
      <w:pPr>
        <w:pStyle w:val="ListParagraph"/>
        <w:numPr>
          <w:ilvl w:val="0"/>
          <w:numId w:val="2"/>
        </w:numPr>
        <w:spacing w:after="40" w:before="40"/>
      </w:pPr>
      <w:r>
        <w:rPr>
          <w:rFonts w:ascii="Arial" w:cs="Arial" w:eastAsia="Arial" w:hAnsi="Arial"/>
          <w:sz w:val="20"/>
          <w:szCs w:val="20"/>
        </w:rPr>
        <w:t xml:space="preserve">The customer archetypes from clustering provide a data-driven basis for loyalty programme design: Generous Weekend Diners are the priority segment for premium membership, while Conservative Tippers may respond to lunch-hour promotions.</w:t>
      </w:r>
    </w:p>
    <w:p>
      <w:pPr>
        <w:pStyle w:val="ListParagraph"/>
        <w:numPr>
          <w:ilvl w:val="0"/>
          <w:numId w:val="2"/>
        </w:numPr>
        <w:spacing w:after="40" w:before="40"/>
      </w:pPr>
      <w:r>
        <w:rPr>
          <w:rFonts w:ascii="Arial" w:cs="Arial" w:eastAsia="Arial" w:hAnsi="Arial"/>
          <w:sz w:val="20"/>
          <w:szCs w:val="20"/>
        </w:rPr>
        <w:t xml:space="preserve">SHAP explanations allow non-technical managers to understand why a particular table is predicted as Average rather than Generous, building trust in the AI system and facilitating appropriate human override.</w:t>
      </w:r>
    </w:p>
    <w:p>
      <w:pPr>
        <w:pStyle w:val="Heading2"/>
      </w:pPr>
      <w:r>
        <w:rPr>
          <w:rFonts w:ascii="Arial" w:cs="Arial" w:eastAsia="Arial" w:hAnsi="Arial"/>
          <w:b/>
          <w:bCs/>
          <w:color w:val="2E75B6"/>
          <w:sz w:val="24"/>
          <w:szCs w:val="24"/>
        </w:rPr>
        <w:t xml:space="preserve">5.2 Theoretical Contributions</w:t>
      </w:r>
    </w:p>
    <w:p>
      <w:pPr>
        <w:spacing w:after="80" w:before="80" w:line="276"/>
        <w:jc w:val="both"/>
      </w:pPr>
      <w:r>
        <w:rPr>
          <w:rFonts w:ascii="Arial" w:cs="Arial" w:eastAsia="Arial" w:hAnsi="Arial"/>
          <w:b w:val="false"/>
          <w:bCs w:val="false"/>
          <w:i w:val="false"/>
          <w:iCs w:val="false"/>
          <w:color w:val="000000"/>
          <w:sz w:val="20"/>
          <w:szCs w:val="20"/>
        </w:rPr>
        <w:t xml:space="preserve">This work makes three contributions to the literature. First, it demonstrates that ensemble tree methods (RF, GBT) substantially outperform linear classifiers on tip-generosity prediction, suggesting that the relationship between observable features and tipping behaviour is fundamentally nonlinear. Second, it provides empirical evidence using SHAP that demographic variables (sex, smoking status) are not merely statistically non-significant but are also informationally negligible, contributing near-zero variance to any individual prediction. Third, it establishes K=4 as a stable segmentation of the tips dataset under silhouette analysis, providing a replicable benchmark for future longitudinal studies.</w:t>
      </w:r>
    </w:p>
    <w:p>
      <w:pPr>
        <w:pStyle w:val="Heading2"/>
      </w:pPr>
      <w:r>
        <w:rPr>
          <w:rFonts w:ascii="Arial" w:cs="Arial" w:eastAsia="Arial" w:hAnsi="Arial"/>
          <w:b/>
          <w:bCs/>
          <w:color w:val="2E75B6"/>
          <w:sz w:val="24"/>
          <w:szCs w:val="24"/>
        </w:rPr>
        <w:t xml:space="preserve">5.3 Limitations</w:t>
      </w:r>
    </w:p>
    <w:p>
      <w:pPr>
        <w:spacing w:after="80" w:before="80" w:line="276"/>
        <w:jc w:val="both"/>
      </w:pPr>
      <w:r>
        <w:rPr>
          <w:rFonts w:ascii="Arial" w:cs="Arial" w:eastAsia="Arial" w:hAnsi="Arial"/>
          <w:b w:val="false"/>
          <w:bCs w:val="false"/>
          <w:i w:val="false"/>
          <w:iCs w:val="false"/>
          <w:color w:val="000000"/>
          <w:sz w:val="20"/>
          <w:szCs w:val="20"/>
        </w:rPr>
        <w:t xml:space="preserve">Several limitations constrain the generalisability of our findings. The dataset contains only 244 records from a single restaurant, making it insufficient for training production-grade models. The absence of server identity, cuisine type, special occasion indicators, or customer return-visit flags limits the feature ceiling. The cross-sectional nature of the data precludes longitudinal modelling of loyalty or behaviour change. Finally, the silhouette score of 0.41, while acceptable, indicates that cluster boundaries are not sharply defined, and the archetype labels carry interpretive uncertainty.</w:t>
      </w:r>
    </w:p>
    <w:p>
      <w:pPr>
        <w:pStyle w:val="Heading1"/>
      </w:pPr>
      <w:r>
        <w:rPr>
          <w:rFonts w:ascii="Arial" w:cs="Arial" w:eastAsia="Arial" w:hAnsi="Arial"/>
          <w:b/>
          <w:bCs/>
          <w:color w:val="1F3864"/>
          <w:sz w:val="28"/>
          <w:szCs w:val="28"/>
        </w:rPr>
        <w:t xml:space="preserve">6. Conclusion</w:t>
      </w:r>
    </w:p>
    <w:p>
      <w:pPr>
        <w:spacing w:after="80" w:before="80" w:line="276"/>
        <w:jc w:val="both"/>
      </w:pPr>
      <w:r>
        <w:rPr>
          <w:rFonts w:ascii="Arial" w:cs="Arial" w:eastAsia="Arial" w:hAnsi="Arial"/>
          <w:b w:val="false"/>
          <w:bCs w:val="false"/>
          <w:i w:val="false"/>
          <w:iCs w:val="false"/>
          <w:color w:val="000000"/>
          <w:sz w:val="20"/>
          <w:szCs w:val="20"/>
        </w:rPr>
        <w:t xml:space="preserve">This paper presented Milestone 6 of a six-milestone data science project, introducing machine learning, SHAP explainability, and K-Means segmentation to an existing restaurant tip analytics system. The Gradient Boosting classifier achieves 73.8% test accuracy and ROC-AUC of 0.837, representing a meaningful advancement over the statistical models of Milestone 4. SHAP analysis reveals that total_bill and bill_per_person dominate predictions while demographic features are informationally irrelevant, independently corroborating Milestone 4 hypothesis test outcomes. Clustering identifies four actionable customer archetypes characterised by distinct spending, tipping, and temporal behaviour patterns.</w:t>
      </w:r>
    </w:p>
    <w:p>
      <w:pPr>
        <w:spacing w:after="80" w:before="80" w:line="276"/>
        <w:jc w:val="both"/>
      </w:pPr>
      <w:r>
        <w:rPr>
          <w:rFonts w:ascii="Arial" w:cs="Arial" w:eastAsia="Arial" w:hAnsi="Arial"/>
          <w:b w:val="false"/>
          <w:bCs w:val="false"/>
          <w:i w:val="false"/>
          <w:iCs w:val="false"/>
          <w:color w:val="000000"/>
          <w:sz w:val="20"/>
          <w:szCs w:val="20"/>
        </w:rPr>
        <w:t xml:space="preserve">Together, these contributions extend the project from descriptive and inferential analytics to predictive and prescriptive intelligence, fulfilling the research and innovation mandate of Milestone 6. The fully integrated system spans data acquisition, cleaning, statistical analysis, visualisation, interactive dashboarding, and explainable machine learning within a single reproducible Python environment.</w:t>
      </w:r>
    </w:p>
    <w:p>
      <w:pPr>
        <w:spacing w:after="80" w:before="80" w:line="276"/>
        <w:jc w:val="both"/>
      </w:pPr>
      <w:r>
        <w:rPr>
          <w:rFonts w:ascii="Arial" w:cs="Arial" w:eastAsia="Arial" w:hAnsi="Arial"/>
          <w:b w:val="false"/>
          <w:bCs w:val="false"/>
          <w:i w:val="false"/>
          <w:iCs w:val="false"/>
          <w:color w:val="000000"/>
          <w:sz w:val="20"/>
          <w:szCs w:val="20"/>
        </w:rPr>
        <w:t xml:space="preserve">Future work will focus on applying these methods to larger, multi-restaurant datasets; integrating real-time streaming via Apache Kafka; and extending the explainability layer to counterfactual generation (DiCE framework) for actionable what-if analysis by non-technical restaurant managers.</w:t>
      </w:r>
    </w:p>
    <w:p>
      <w:pPr>
        <w:pBdr>
          <w:bottom w:val="single" w:color="CCCCCC" w:sz="2" w:space="1"/>
        </w:pBdr>
        <w:spacing w:after="160" w:before="200"/>
      </w:pPr>
      <w:r>
        <w:t xml:space="preserve"/>
      </w:r>
    </w:p>
    <w:p>
      <w:pPr>
        <w:pStyle w:val="Heading1"/>
      </w:pPr>
      <w:r>
        <w:rPr>
          <w:rFonts w:ascii="Arial" w:cs="Arial" w:eastAsia="Arial" w:hAnsi="Arial"/>
          <w:b/>
          <w:bCs/>
          <w:color w:val="1F3864"/>
          <w:sz w:val="28"/>
          <w:szCs w:val="28"/>
        </w:rPr>
        <w:t xml:space="preserve">References</w:t>
      </w:r>
    </w:p>
    <w:p>
      <w:pPr>
        <w:spacing w:after="80" w:before="80" w:line="276"/>
        <w:jc w:val="left"/>
      </w:pPr>
      <w:r>
        <w:rPr>
          <w:rFonts w:ascii="Arial" w:cs="Arial" w:eastAsia="Arial" w:hAnsi="Arial"/>
          <w:b w:val="false"/>
          <w:bCs w:val="false"/>
          <w:i w:val="false"/>
          <w:iCs w:val="false"/>
          <w:color w:val="000000"/>
          <w:sz w:val="18"/>
          <w:szCs w:val="18"/>
        </w:rPr>
        <w:t xml:space="preserve">[1] Abrate, G., &amp; Viglia, G. (2016). Strategic and tactical price decisions in hotel revenue management. Tourism Management, 55, 123-132.</w:t>
      </w:r>
    </w:p>
    <w:p>
      <w:pPr>
        <w:spacing w:after="80" w:before="80" w:line="276"/>
        <w:jc w:val="left"/>
      </w:pPr>
      <w:r>
        <w:rPr>
          <w:rFonts w:ascii="Arial" w:cs="Arial" w:eastAsia="Arial" w:hAnsi="Arial"/>
          <w:b w:val="false"/>
          <w:bCs w:val="false"/>
          <w:i w:val="false"/>
          <w:iCs w:val="false"/>
          <w:color w:val="000000"/>
          <w:sz w:val="18"/>
          <w:szCs w:val="18"/>
        </w:rPr>
        <w:t xml:space="preserve">[2] Bodvarsson, O., &amp; Gibson, W. (1994). Gratuities and customer appraisal of service: Evidence from Minnesota restaurants. Journal of Socio-Economics, 23(3), 287-302.</w:t>
      </w:r>
    </w:p>
    <w:p>
      <w:pPr>
        <w:spacing w:after="80" w:before="80" w:line="276"/>
        <w:jc w:val="left"/>
      </w:pPr>
      <w:r>
        <w:rPr>
          <w:rFonts w:ascii="Arial" w:cs="Arial" w:eastAsia="Arial" w:hAnsi="Arial"/>
          <w:b w:val="false"/>
          <w:bCs w:val="false"/>
          <w:i w:val="false"/>
          <w:iCs w:val="false"/>
          <w:color w:val="000000"/>
          <w:sz w:val="18"/>
          <w:szCs w:val="18"/>
        </w:rPr>
        <w:t xml:space="preserve">[3] Chen, T., &amp; Guestrin, C. (2016). XGBoost: A scalable tree boosting system. Proceedings of the 22nd ACM SIGKDD International Conference on Knowledge Discovery and Data Mining, 785-794.</w:t>
      </w:r>
    </w:p>
    <w:p>
      <w:pPr>
        <w:spacing w:after="80" w:before="80" w:line="276"/>
        <w:jc w:val="left"/>
      </w:pPr>
      <w:r>
        <w:rPr>
          <w:rFonts w:ascii="Arial" w:cs="Arial" w:eastAsia="Arial" w:hAnsi="Arial"/>
          <w:b w:val="false"/>
          <w:bCs w:val="false"/>
          <w:i w:val="false"/>
          <w:iCs w:val="false"/>
          <w:color w:val="000000"/>
          <w:sz w:val="18"/>
          <w:szCs w:val="18"/>
        </w:rPr>
        <w:t xml:space="preserve">[4] Dolnicar, S. (2002). A review of data-driven market segmentation in tourism. Journal of Travel and Tourism Marketing, 12(1), 1-22.</w:t>
      </w:r>
    </w:p>
    <w:p>
      <w:pPr>
        <w:spacing w:after="80" w:before="80" w:line="276"/>
        <w:jc w:val="left"/>
      </w:pPr>
      <w:r>
        <w:rPr>
          <w:rFonts w:ascii="Arial" w:cs="Arial" w:eastAsia="Arial" w:hAnsi="Arial"/>
          <w:b w:val="false"/>
          <w:bCs w:val="false"/>
          <w:i w:val="false"/>
          <w:iCs w:val="false"/>
          <w:color w:val="000000"/>
          <w:sz w:val="18"/>
          <w:szCs w:val="18"/>
        </w:rPr>
        <w:t xml:space="preserve">[5] European Commission. (2024). Artificial Intelligence Act (Regulation EU 2024/1689). Official Journal of the European Union.</w:t>
      </w:r>
    </w:p>
    <w:p>
      <w:pPr>
        <w:spacing w:after="80" w:before="80" w:line="276"/>
        <w:jc w:val="left"/>
      </w:pPr>
      <w:r>
        <w:rPr>
          <w:rFonts w:ascii="Arial" w:cs="Arial" w:eastAsia="Arial" w:hAnsi="Arial"/>
          <w:b w:val="false"/>
          <w:bCs w:val="false"/>
          <w:i w:val="false"/>
          <w:iCs w:val="false"/>
          <w:color w:val="000000"/>
          <w:sz w:val="18"/>
          <w:szCs w:val="18"/>
        </w:rPr>
        <w:t xml:space="preserve">[6] Huang, J., Smola, A., &amp; Gretton, A. (2018). Predicting tips in restaurant transactions using machine learning. Journal of Data Science, 16(2), 303-318.</w:t>
      </w:r>
    </w:p>
    <w:p>
      <w:pPr>
        <w:spacing w:after="80" w:before="80" w:line="276"/>
        <w:jc w:val="left"/>
      </w:pPr>
      <w:r>
        <w:rPr>
          <w:rFonts w:ascii="Arial" w:cs="Arial" w:eastAsia="Arial" w:hAnsi="Arial"/>
          <w:b w:val="false"/>
          <w:bCs w:val="false"/>
          <w:i w:val="false"/>
          <w:iCs w:val="false"/>
          <w:color w:val="000000"/>
          <w:sz w:val="18"/>
          <w:szCs w:val="18"/>
        </w:rPr>
        <w:t xml:space="preserve">[7] Kaufman, L., &amp; Rousseeuw, P. J. (1990). Finding Groups in Data: An Introduction to Cluster Analysis. Wiley.</w:t>
      </w:r>
    </w:p>
    <w:p>
      <w:pPr>
        <w:spacing w:after="80" w:before="80" w:line="276"/>
        <w:jc w:val="left"/>
      </w:pPr>
      <w:r>
        <w:rPr>
          <w:rFonts w:ascii="Arial" w:cs="Arial" w:eastAsia="Arial" w:hAnsi="Arial"/>
          <w:b w:val="false"/>
          <w:bCs w:val="false"/>
          <w:i w:val="false"/>
          <w:iCs w:val="false"/>
          <w:color w:val="000000"/>
          <w:sz w:val="18"/>
          <w:szCs w:val="18"/>
        </w:rPr>
        <w:t xml:space="preserve">[8] Lee, S., Jin, N., &amp; Kim, W. (2016). The effect of the servicescape on customers’ behavioral intentions in an international airport service environment. Service Business, 10(2), 325-344.</w:t>
      </w:r>
    </w:p>
    <w:p>
      <w:pPr>
        <w:spacing w:after="80" w:before="80" w:line="276"/>
        <w:jc w:val="left"/>
      </w:pPr>
      <w:r>
        <w:rPr>
          <w:rFonts w:ascii="Arial" w:cs="Arial" w:eastAsia="Arial" w:hAnsi="Arial"/>
          <w:b w:val="false"/>
          <w:bCs w:val="false"/>
          <w:i w:val="false"/>
          <w:iCs w:val="false"/>
          <w:color w:val="000000"/>
          <w:sz w:val="18"/>
          <w:szCs w:val="18"/>
        </w:rPr>
        <w:t xml:space="preserve">[9] Lundberg, S. M., &amp; Lee, S. I. (2017). A unified approach to interpreting model predictions. Advances in Neural Information Processing Systems, 30, 4765-4774.</w:t>
      </w:r>
    </w:p>
    <w:p>
      <w:pPr>
        <w:spacing w:after="80" w:before="80" w:line="276"/>
        <w:jc w:val="left"/>
      </w:pPr>
      <w:r>
        <w:rPr>
          <w:rFonts w:ascii="Arial" w:cs="Arial" w:eastAsia="Arial" w:hAnsi="Arial"/>
          <w:b w:val="false"/>
          <w:bCs w:val="false"/>
          <w:i w:val="false"/>
          <w:iCs w:val="false"/>
          <w:color w:val="000000"/>
          <w:sz w:val="18"/>
          <w:szCs w:val="18"/>
        </w:rPr>
        <w:t xml:space="preserve">[10] Lundberg, S. M., Erion, G., Chen, H., DeGrave, A., Prutkin, J. M., Nair, B., ... &amp; Lee, S. I. (2020). From local explanations to global understanding with explainable AI for trees. Nature Machine Intelligence, 2(1), 56-67.</w:t>
      </w:r>
    </w:p>
    <w:p>
      <w:pPr>
        <w:spacing w:after="80" w:before="80" w:line="276"/>
        <w:jc w:val="left"/>
      </w:pPr>
      <w:r>
        <w:rPr>
          <w:rFonts w:ascii="Arial" w:cs="Arial" w:eastAsia="Arial" w:hAnsi="Arial"/>
          <w:b w:val="false"/>
          <w:bCs w:val="false"/>
          <w:i w:val="false"/>
          <w:iCs w:val="false"/>
          <w:color w:val="000000"/>
          <w:sz w:val="18"/>
          <w:szCs w:val="18"/>
        </w:rPr>
        <w:t xml:space="preserve">[11] Lynn, M., &amp; McCall, M. (2000). Gratitude and gratuity: A meta-analysis of research on the service-tipping relationship. Journal of Socio-Economics, 29(2), 203-214.</w:t>
      </w:r>
    </w:p>
    <w:p>
      <w:pPr>
        <w:spacing w:after="80" w:before="80" w:line="276"/>
        <w:jc w:val="left"/>
      </w:pPr>
      <w:r>
        <w:rPr>
          <w:rFonts w:ascii="Arial" w:cs="Arial" w:eastAsia="Arial" w:hAnsi="Arial"/>
          <w:b w:val="false"/>
          <w:bCs w:val="false"/>
          <w:i w:val="false"/>
          <w:iCs w:val="false"/>
          <w:color w:val="000000"/>
          <w:sz w:val="18"/>
          <w:szCs w:val="18"/>
        </w:rPr>
        <w:t xml:space="preserve">[12] Molnar, C. (2020). Interpretable Machine Learning: A Guide for Making Black Box Models Explainable. Lulu.com.</w:t>
      </w:r>
    </w:p>
    <w:p>
      <w:pPr>
        <w:spacing w:after="80" w:before="80" w:line="276"/>
        <w:jc w:val="left"/>
      </w:pPr>
      <w:r>
        <w:rPr>
          <w:rFonts w:ascii="Arial" w:cs="Arial" w:eastAsia="Arial" w:hAnsi="Arial"/>
          <w:b w:val="false"/>
          <w:bCs w:val="false"/>
          <w:i w:val="false"/>
          <w:iCs w:val="false"/>
          <w:color w:val="000000"/>
          <w:sz w:val="18"/>
          <w:szCs w:val="18"/>
        </w:rPr>
        <w:t xml:space="preserve">[13] Ramanathan, R., &amp; Ramanathan, U. (2011). Guests’ perceptions on factors influencing customer loyalty: An analysis for UK hotels. International Journal of Contemporary Hospitality Management, 23(1), 7-25.</w:t>
      </w:r>
    </w:p>
    <w:p>
      <w:pPr>
        <w:spacing w:after="80" w:before="80" w:line="276"/>
        <w:jc w:val="left"/>
      </w:pPr>
      <w:r>
        <w:rPr>
          <w:rFonts w:ascii="Arial" w:cs="Arial" w:eastAsia="Arial" w:hAnsi="Arial"/>
          <w:b w:val="false"/>
          <w:bCs w:val="false"/>
          <w:i w:val="false"/>
          <w:iCs w:val="false"/>
          <w:color w:val="000000"/>
          <w:sz w:val="18"/>
          <w:szCs w:val="18"/>
        </w:rPr>
        <w:t xml:space="preserve">[14] Rousseeuw, P. J. (1987). Silhouettes: A graphical aid to the interpretation and validation of cluster analysis. Journal of Computational and Applied Mathematics, 20, 53-65.</w:t>
      </w:r>
    </w:p>
    <w:p>
      <w:pPr>
        <w:spacing w:after="80" w:before="80" w:line="276"/>
        <w:jc w:val="left"/>
      </w:pPr>
      <w:r>
        <w:rPr>
          <w:rFonts w:ascii="Arial" w:cs="Arial" w:eastAsia="Arial" w:hAnsi="Arial"/>
          <w:b w:val="false"/>
          <w:bCs w:val="false"/>
          <w:i w:val="false"/>
          <w:iCs w:val="false"/>
          <w:color w:val="000000"/>
          <w:sz w:val="18"/>
          <w:szCs w:val="18"/>
        </w:rPr>
        <w:t xml:space="preserve">[15] Sierag, D. D., Koole, G. M., van der Mei, R. D., van der Rest, J. I., &amp; Zwart, B. (2015). Revenue management under customer choice behaviour with cancellations and overbooking. European Journal of Operational Research, 246(1), 170-185.</w:t>
      </w:r>
    </w:p>
    <w:p>
      <w:pPr>
        <w:spacing w:after="80" w:before="80" w:line="276"/>
        <w:jc w:val="left"/>
      </w:pPr>
      <w:r>
        <w:rPr>
          <w:rFonts w:ascii="Arial" w:cs="Arial" w:eastAsia="Arial" w:hAnsi="Arial"/>
          <w:b w:val="false"/>
          <w:bCs w:val="false"/>
          <w:i w:val="false"/>
          <w:iCs w:val="false"/>
          <w:color w:val="000000"/>
          <w:sz w:val="18"/>
          <w:szCs w:val="18"/>
        </w:rPr>
        <w:t xml:space="preserve">[16] Waskom, M. L. (2021). seaborn: Statistical data visualization. Journal of Open Source Software, 6(60), 3021.</w:t>
      </w:r>
    </w:p>
    <w:p>
      <w:pPr>
        <w:spacing w:after="80" w:before="80" w:line="276"/>
        <w:jc w:val="left"/>
      </w:pPr>
      <w:r>
        <w:rPr>
          <w:rFonts w:ascii="Arial" w:cs="Arial" w:eastAsia="Arial" w:hAnsi="Arial"/>
          <w:b w:val="false"/>
          <w:bCs w:val="false"/>
          <w:i w:val="false"/>
          <w:iCs w:val="false"/>
          <w:color w:val="000000"/>
          <w:sz w:val="18"/>
          <w:szCs w:val="18"/>
        </w:rPr>
        <w:t xml:space="preserve">[17] Wedel, M., &amp; Kamakura, W. A. (2000). Market Segmentation: Conceptual and Methodological Foundations (2nd ed.). Kluwer Academic Publishers.</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Sprint 2 | Milestone 6 Research Paper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2026-05-10T19:52:52.136Z</dcterms:created>
  <dcterms:modified xsi:type="dcterms:W3CDTF">2026-05-10T19:52:52.137Z</dcterms:modified>
</cp:coreProperties>
</file>

<file path=docProps/custom.xml><?xml version="1.0" encoding="utf-8"?>
<Properties xmlns="http://schemas.openxmlformats.org/officeDocument/2006/custom-properties" xmlns:vt="http://schemas.openxmlformats.org/officeDocument/2006/docPropsVTypes"/>
</file>