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E64C8"/>
          <w:sz w:val="44"/>
        </w:rPr>
        <w:t>User Interaction Design Documentation</w:t>
      </w:r>
    </w:p>
    <w:p>
      <w:pPr>
        <w:jc w:val="center"/>
      </w:pPr>
      <w:r>
        <w:rPr>
          <w:rFonts w:ascii="Arial" w:hAnsi="Arial"/>
          <w:b w:val="0"/>
          <w:color w:val="505078"/>
          <w:sz w:val="26"/>
        </w:rPr>
        <w:t>Sprint 2 — Milestone 5: Interactive Visual Analytics System</w:t>
      </w:r>
    </w:p>
    <w:p/>
    <w:p>
      <w:pPr>
        <w:jc w:val="center"/>
      </w:pPr>
      <w:r>
        <w:rPr>
          <w:rFonts w:ascii="Arial" w:hAnsi="Arial"/>
          <w:b w:val="0"/>
          <w:color w:val="3C3C50"/>
          <w:sz w:val="22"/>
        </w:rPr>
        <w:t>SCT213-C002-0141/2024  GACHOMO NJERU</w:t>
        <w:br/>
        <w:t>SCT213-C002-0063/2024  MWITA NYEHITA</w:t>
        <w:br/>
        <w:t>SCT213-C002-0142/2024  KARWEGA NJERU</w:t>
      </w:r>
    </w:p>
    <w:p/>
    <w:p>
      <w:pPr>
        <w:jc w:val="center"/>
      </w:pPr>
      <w:r>
        <w:rPr>
          <w:rFonts w:ascii="Arial" w:hAnsi="Arial"/>
          <w:b w:val="0"/>
          <w:color w:val="78788C"/>
          <w:sz w:val="20"/>
        </w:rPr>
        <w:t>Date: May 10, 2026</w:t>
      </w:r>
    </w:p>
    <w:p>
      <w:r>
        <w:br w:type="page"/>
      </w:r>
    </w:p>
    <w:p>
      <w:pPr>
        <w:spacing w:before="360" w:after="120"/>
      </w:pPr>
      <w:r>
        <w:rPr>
          <w:rFonts w:ascii="Arial" w:hAnsi="Arial"/>
          <w:b/>
          <w:color w:val="1E64C8"/>
          <w:sz w:val="32"/>
        </w:rPr>
        <w:t>1. Overview</w:t>
      </w:r>
    </w:p>
    <w:p>
      <w:pPr>
        <w:spacing w:after="120"/>
      </w:pPr>
      <w:r>
        <w:rPr>
          <w:rFonts w:ascii="Arial" w:hAnsi="Arial"/>
          <w:b w:val="0"/>
          <w:sz w:val="22"/>
        </w:rPr>
        <w:t>This document describes the user interaction design for the Tips Analytics Interactive Dashboard, developed as part of Sprint 2, Milestone 5. The dashboard transforms the processed restaurant tips dataset (244 records) into an interactive decision-support system enabling stakeholders to explore tipping behaviour, KPI trends, and demographic patterns in real time.</w:t>
      </w:r>
    </w:p>
    <w:p>
      <w:pPr>
        <w:spacing w:before="360" w:after="120"/>
      </w:pPr>
      <w:r>
        <w:rPr>
          <w:rFonts w:ascii="Arial" w:hAnsi="Arial"/>
          <w:b/>
          <w:color w:val="1E64C8"/>
          <w:sz w:val="32"/>
        </w:rPr>
        <w:t>2. Design Philosophy</w:t>
      </w:r>
    </w:p>
    <w:p>
      <w:pPr>
        <w:spacing w:before="240" w:after="80"/>
      </w:pPr>
      <w:r>
        <w:rPr>
          <w:rFonts w:ascii="Arial" w:hAnsi="Arial"/>
          <w:b/>
          <w:color w:val="323250"/>
          <w:sz w:val="26"/>
        </w:rPr>
        <w:t>2.1 User-Centred Design Principles</w:t>
      </w:r>
    </w:p>
    <w:p>
      <w:pPr>
        <w:spacing w:after="120"/>
      </w:pPr>
      <w:r>
        <w:rPr>
          <w:rFonts w:ascii="Arial" w:hAnsi="Arial"/>
          <w:b w:val="0"/>
          <w:sz w:val="22"/>
        </w:rPr>
        <w:t>The dashboard was designed around four core HCI principles:</w:t>
      </w:r>
    </w:p>
    <w:p>
      <w:pPr>
        <w:pStyle w:val="ListBullet"/>
        <w:spacing w:after="60"/>
      </w:pPr>
      <w:r>
        <w:rPr>
          <w:rFonts w:ascii="Arial" w:hAnsi="Arial"/>
          <w:b w:val="0"/>
          <w:sz w:val="22"/>
        </w:rPr>
        <w:t>Visibility of system status — KPI cards update instantly when filters change, ensuring users always see the impact of their selections.</w:t>
      </w:r>
    </w:p>
    <w:p>
      <w:pPr>
        <w:pStyle w:val="ListBullet"/>
        <w:spacing w:after="60"/>
      </w:pPr>
      <w:r>
        <w:rPr>
          <w:rFonts w:ascii="Arial" w:hAnsi="Arial"/>
          <w:b w:val="0"/>
          <w:sz w:val="22"/>
        </w:rPr>
        <w:t>User control and freedom — A global Reset button allows one-click return to the full dataset without reloading the page.</w:t>
      </w:r>
    </w:p>
    <w:p>
      <w:pPr>
        <w:pStyle w:val="ListBullet"/>
        <w:spacing w:after="60"/>
      </w:pPr>
      <w:r>
        <w:rPr>
          <w:rFonts w:ascii="Arial" w:hAnsi="Arial"/>
          <w:b w:val="0"/>
          <w:sz w:val="22"/>
        </w:rPr>
        <w:t>Recognition over recall — Labels, legends, and colour codes are always visible; no tooltips required to understand chart meaning.</w:t>
      </w:r>
    </w:p>
    <w:p>
      <w:pPr>
        <w:pStyle w:val="ListBullet"/>
        <w:spacing w:after="60"/>
      </w:pPr>
      <w:r>
        <w:rPr>
          <w:rFonts w:ascii="Arial" w:hAnsi="Arial"/>
          <w:b w:val="0"/>
          <w:sz w:val="22"/>
        </w:rPr>
        <w:t>Aesthetic and minimalist design — Dark theme with deliberate use of accent colours reduces cognitive load and highlights anomalies.</w:t>
      </w:r>
    </w:p>
    <w:p>
      <w:pPr>
        <w:spacing w:before="240" w:after="80"/>
      </w:pPr>
      <w:r>
        <w:rPr>
          <w:rFonts w:ascii="Arial" w:hAnsi="Arial"/>
          <w:b/>
          <w:color w:val="323250"/>
          <w:sz w:val="26"/>
        </w:rPr>
        <w:t>2.2 Aesthetic Direction</w:t>
      </w:r>
    </w:p>
    <w:p>
      <w:pPr>
        <w:spacing w:after="120"/>
      </w:pPr>
      <w:r>
        <w:rPr>
          <w:rFonts w:ascii="Arial" w:hAnsi="Arial"/>
          <w:b w:val="0"/>
          <w:sz w:val="22"/>
        </w:rPr>
        <w:t>The dashboard uses a high-contrast dark theme (deep navy backgrounds, #0d0f14) with four distinct accent colours: teal (#5bffc8) for primary KPIs, coral (#ff6b6b) for low-tip indicators, amber (#ffd166) for billing metrics, and lavender (#a78bfa) for categorical splits. The Syne typeface (headings) and DM Mono (data) pairing creates a technical, analytical tone appropriate for decision-support contexts.</w:t>
      </w:r>
    </w:p>
    <w:p>
      <w:pPr>
        <w:spacing w:before="360" w:after="120"/>
      </w:pPr>
      <w:r>
        <w:rPr>
          <w:rFonts w:ascii="Arial" w:hAnsi="Arial"/>
          <w:b/>
          <w:color w:val="1E64C8"/>
          <w:sz w:val="32"/>
        </w:rPr>
        <w:t>3. Dashboard Architecture</w:t>
      </w:r>
    </w:p>
    <w:p>
      <w:pPr>
        <w:spacing w:before="240" w:after="80"/>
      </w:pPr>
      <w:r>
        <w:rPr>
          <w:rFonts w:ascii="Arial" w:hAnsi="Arial"/>
          <w:b/>
          <w:color w:val="323250"/>
          <w:sz w:val="26"/>
        </w:rPr>
        <w:t>3.1 Layout Zones</w:t>
      </w:r>
    </w:p>
    <w:tbl>
      <w:tblPr>
        <w:tblStyle w:val="TableGrid"/>
        <w:tblW w:type="auto" w:w="0"/>
        <w:tblLook w:firstColumn="1" w:firstRow="1" w:lastColumn="0" w:lastRow="0" w:noHBand="0" w:noVBand="1" w:val="04A0"/>
      </w:tblPr>
      <w:tblGrid>
        <w:gridCol w:w="4392"/>
        <w:gridCol w:w="4392"/>
      </w:tblGrid>
      <w:tr>
        <w:tc>
          <w:tcPr>
            <w:tcW w:type="dxa" w:w="4392"/>
          </w:tcPr>
          <w:p>
            <w:r>
              <w:rPr>
                <w:b/>
              </w:rPr>
              <w:t>Zone</w:t>
            </w:r>
          </w:p>
        </w:tc>
        <w:tc>
          <w:tcPr>
            <w:tcW w:type="dxa" w:w="4392"/>
          </w:tcPr>
          <w:p>
            <w:r>
              <w:rPr>
                <w:b/>
              </w:rPr>
              <w:t>Description</w:t>
            </w:r>
          </w:p>
        </w:tc>
      </w:tr>
      <w:tr>
        <w:tc>
          <w:tcPr>
            <w:tcW w:type="dxa" w:w="4392"/>
          </w:tcPr>
          <w:p>
            <w:r>
              <w:t>Header Bar</w:t>
            </w:r>
          </w:p>
        </w:tc>
        <w:tc>
          <w:tcPr>
            <w:tcW w:type="dxa" w:w="4392"/>
          </w:tcPr>
          <w:p>
            <w:r>
              <w:t>Project title, sprint identifier, team member credits</w:t>
            </w:r>
          </w:p>
        </w:tc>
      </w:tr>
      <w:tr>
        <w:tc>
          <w:tcPr>
            <w:tcW w:type="dxa" w:w="4392"/>
          </w:tcPr>
          <w:p>
            <w:r>
              <w:t>KPI Strip (5 cards)</w:t>
            </w:r>
          </w:p>
        </w:tc>
        <w:tc>
          <w:tcPr>
            <w:tcW w:type="dxa" w:w="4392"/>
          </w:tcPr>
          <w:p>
            <w:r>
              <w:t>Live metrics: Records, Avg Tip, Avg Bill, Avg Tip %, Generous Tip Rate</w:t>
            </w:r>
          </w:p>
        </w:tc>
      </w:tr>
      <w:tr>
        <w:tc>
          <w:tcPr>
            <w:tcW w:type="dxa" w:w="4392"/>
          </w:tcPr>
          <w:p>
            <w:r>
              <w:t>Controls Bar</w:t>
            </w:r>
          </w:p>
        </w:tc>
        <w:tc>
          <w:tcPr>
            <w:tcW w:type="dxa" w:w="4392"/>
          </w:tcPr>
          <w:p>
            <w:r>
              <w:t>Five dropdown filters + Generosity toggle + Reset button</w:t>
            </w:r>
          </w:p>
        </w:tc>
      </w:tr>
      <w:tr>
        <w:tc>
          <w:tcPr>
            <w:tcW w:type="dxa" w:w="4392"/>
          </w:tcPr>
          <w:p>
            <w:r>
              <w:t>Chart Grid (2×2)</w:t>
            </w:r>
          </w:p>
        </w:tc>
        <w:tc>
          <w:tcPr>
            <w:tcW w:type="dxa" w:w="4392"/>
          </w:tcPr>
          <w:p>
            <w:r>
              <w:t>Bar chart, Doughnut, Scatter plot, Stacked bar — all reactive to filters</w:t>
            </w:r>
          </w:p>
        </w:tc>
      </w:tr>
      <w:tr>
        <w:tc>
          <w:tcPr>
            <w:tcW w:type="dxa" w:w="4392"/>
          </w:tcPr>
          <w:p>
            <w:r>
              <w:t>Records Table</w:t>
            </w:r>
          </w:p>
        </w:tc>
        <w:tc>
          <w:tcPr>
            <w:tcW w:type="dxa" w:w="4392"/>
          </w:tcPr>
          <w:p>
            <w:r>
              <w:t>Paginated raw data table showing up to 50 filtered rows with colour-coded categories</w:t>
            </w:r>
          </w:p>
        </w:tc>
      </w:tr>
      <w:tr>
        <w:tc>
          <w:tcPr>
            <w:tcW w:type="dxa" w:w="4392"/>
          </w:tcPr>
          <w:p>
            <w:r>
              <w:t>Status Bar</w:t>
            </w:r>
          </w:p>
        </w:tc>
        <w:tc>
          <w:tcPr>
            <w:tcW w:type="dxa" w:w="4392"/>
          </w:tcPr>
          <w:p>
            <w:r>
              <w:t>Live record count + active filter summary</w:t>
            </w:r>
          </w:p>
        </w:tc>
      </w:tr>
    </w:tbl>
    <w:p/>
    <w:p>
      <w:pPr>
        <w:spacing w:before="240" w:after="80"/>
      </w:pPr>
      <w:r>
        <w:rPr>
          <w:rFonts w:ascii="Arial" w:hAnsi="Arial"/>
          <w:b/>
          <w:color w:val="323250"/>
          <w:sz w:val="26"/>
        </w:rPr>
        <w:t>3.2 Chart Inventory</w:t>
      </w:r>
    </w:p>
    <w:p>
      <w:pPr>
        <w:spacing w:after="120"/>
      </w:pPr>
      <w:r>
        <w:rPr>
          <w:rFonts w:ascii="Arial" w:hAnsi="Arial"/>
          <w:b w:val="0"/>
          <w:sz w:val="22"/>
        </w:rPr>
        <w:t>The four chart panels each answer a specific analytical question:</w:t>
      </w:r>
    </w:p>
    <w:p>
      <w:pPr>
        <w:pStyle w:val="ListBullet"/>
        <w:spacing w:after="60"/>
      </w:pPr>
      <w:r>
        <w:rPr>
          <w:rFonts w:ascii="Arial" w:hAnsi="Arial"/>
          <w:b w:val="0"/>
          <w:sz w:val="22"/>
        </w:rPr>
        <w:t>Average Tip &amp; Bill by Day (Dual-axis Bar) — Compares tip generosity across weekdays against absolute bill size, surfacing revenue-vs-gratitude patterns.</w:t>
      </w:r>
    </w:p>
    <w:p>
      <w:pPr>
        <w:pStyle w:val="ListBullet"/>
        <w:spacing w:after="60"/>
      </w:pPr>
      <w:r>
        <w:rPr>
          <w:rFonts w:ascii="Arial" w:hAnsi="Arial"/>
          <w:b w:val="0"/>
          <w:sz w:val="22"/>
        </w:rPr>
        <w:t>Tip Generosity Doughnut — Shows the proportion of Low (&lt;10%), Average (10–20%), and Generous (&gt;20%) tippers in the filtered set.</w:t>
      </w:r>
    </w:p>
    <w:p>
      <w:pPr>
        <w:pStyle w:val="ListBullet"/>
        <w:spacing w:after="60"/>
      </w:pPr>
      <w:r>
        <w:rPr>
          <w:rFonts w:ascii="Arial" w:hAnsi="Arial"/>
          <w:b w:val="0"/>
          <w:sz w:val="22"/>
        </w:rPr>
        <w:t>Bill vs Tip Scatter — Plots all individual records by bill amount and tip amount, colour-coded by generosity, to identify whether large bills attract proportionally higher tips.</w:t>
      </w:r>
    </w:p>
    <w:p>
      <w:pPr>
        <w:pStyle w:val="ListBullet"/>
        <w:spacing w:after="60"/>
      </w:pPr>
      <w:r>
        <w:rPr>
          <w:rFonts w:ascii="Arial" w:hAnsi="Arial"/>
          <w:b w:val="0"/>
          <w:sz w:val="22"/>
        </w:rPr>
        <w:t>Smoker Split by Time (Stacked Bar) — Compares the count of smoker vs non-smoker diners across Lunch and Dinner, relevant for seating policy analysis.</w:t>
      </w:r>
    </w:p>
    <w:p>
      <w:pPr>
        <w:spacing w:before="360" w:after="120"/>
      </w:pPr>
      <w:r>
        <w:rPr>
          <w:rFonts w:ascii="Arial" w:hAnsi="Arial"/>
          <w:b/>
          <w:color w:val="1E64C8"/>
          <w:sz w:val="32"/>
        </w:rPr>
        <w:t>4. Interactive Controls</w:t>
      </w:r>
    </w:p>
    <w:p>
      <w:pPr>
        <w:spacing w:before="240" w:after="80"/>
      </w:pPr>
      <w:r>
        <w:rPr>
          <w:rFonts w:ascii="Arial" w:hAnsi="Arial"/>
          <w:b/>
          <w:color w:val="323250"/>
          <w:sz w:val="26"/>
        </w:rPr>
        <w:t>4.1 Filter Controls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Control</w:t>
            </w:r>
          </w:p>
        </w:tc>
        <w:tc>
          <w:tcPr>
            <w:tcW w:type="dxa" w:w="2928"/>
          </w:tcPr>
          <w:p>
            <w:r>
              <w:rPr>
                <w:b/>
              </w:rPr>
              <w:t>Type</w:t>
            </w:r>
          </w:p>
        </w:tc>
        <w:tc>
          <w:tcPr>
            <w:tcW w:type="dxa" w:w="2928"/>
          </w:tcPr>
          <w:p>
            <w:r>
              <w:rPr>
                <w:b/>
              </w:rPr>
              <w:t>Options</w:t>
            </w:r>
          </w:p>
        </w:tc>
      </w:tr>
      <w:tr>
        <w:tc>
          <w:tcPr>
            <w:tcW w:type="dxa" w:w="2928"/>
          </w:tcPr>
          <w:p>
            <w:r>
              <w:t>Day Filter</w:t>
            </w:r>
          </w:p>
        </w:tc>
        <w:tc>
          <w:tcPr>
            <w:tcW w:type="dxa" w:w="2928"/>
          </w:tcPr>
          <w:p>
            <w:r>
              <w:t>Dropdown</w:t>
            </w:r>
          </w:p>
        </w:tc>
        <w:tc>
          <w:tcPr>
            <w:tcW w:type="dxa" w:w="2928"/>
          </w:tcPr>
          <w:p>
            <w:r>
              <w:t>All Days, Thursday, Friday, Saturday, Sunday</w:t>
            </w:r>
          </w:p>
        </w:tc>
      </w:tr>
      <w:tr>
        <w:tc>
          <w:tcPr>
            <w:tcW w:type="dxa" w:w="2928"/>
          </w:tcPr>
          <w:p>
            <w:r>
              <w:t>Time Filter</w:t>
            </w:r>
          </w:p>
        </w:tc>
        <w:tc>
          <w:tcPr>
            <w:tcW w:type="dxa" w:w="2928"/>
          </w:tcPr>
          <w:p>
            <w:r>
              <w:t>Dropdown</w:t>
            </w:r>
          </w:p>
        </w:tc>
        <w:tc>
          <w:tcPr>
            <w:tcW w:type="dxa" w:w="2928"/>
          </w:tcPr>
          <w:p>
            <w:r>
              <w:t>All Times, Lunch, Dinner</w:t>
            </w:r>
          </w:p>
        </w:tc>
      </w:tr>
      <w:tr>
        <w:tc>
          <w:tcPr>
            <w:tcW w:type="dxa" w:w="2928"/>
          </w:tcPr>
          <w:p>
            <w:r>
              <w:t>Smoker Filter</w:t>
            </w:r>
          </w:p>
        </w:tc>
        <w:tc>
          <w:tcPr>
            <w:tcW w:type="dxa" w:w="2928"/>
          </w:tcPr>
          <w:p>
            <w:r>
              <w:t>Dropdown</w:t>
            </w:r>
          </w:p>
        </w:tc>
        <w:tc>
          <w:tcPr>
            <w:tcW w:type="dxa" w:w="2928"/>
          </w:tcPr>
          <w:p>
            <w:r>
              <w:t>All, Smoker, Non-Smoker</w:t>
            </w:r>
          </w:p>
        </w:tc>
      </w:tr>
      <w:tr>
        <w:tc>
          <w:tcPr>
            <w:tcW w:type="dxa" w:w="2928"/>
          </w:tcPr>
          <w:p>
            <w:r>
              <w:t>Sex Filter</w:t>
            </w:r>
          </w:p>
        </w:tc>
        <w:tc>
          <w:tcPr>
            <w:tcW w:type="dxa" w:w="2928"/>
          </w:tcPr>
          <w:p>
            <w:r>
              <w:t>Dropdown</w:t>
            </w:r>
          </w:p>
        </w:tc>
        <w:tc>
          <w:tcPr>
            <w:tcW w:type="dxa" w:w="2928"/>
          </w:tcPr>
          <w:p>
            <w:r>
              <w:t>All, Male, Female</w:t>
            </w:r>
          </w:p>
        </w:tc>
      </w:tr>
      <w:tr>
        <w:tc>
          <w:tcPr>
            <w:tcW w:type="dxa" w:w="2928"/>
          </w:tcPr>
          <w:p>
            <w:r>
              <w:t>Party Size</w:t>
            </w:r>
          </w:p>
        </w:tc>
        <w:tc>
          <w:tcPr>
            <w:tcW w:type="dxa" w:w="2928"/>
          </w:tcPr>
          <w:p>
            <w:r>
              <w:t>Dropdown</w:t>
            </w:r>
          </w:p>
        </w:tc>
        <w:tc>
          <w:tcPr>
            <w:tcW w:type="dxa" w:w="2928"/>
          </w:tcPr>
          <w:p>
            <w:r>
              <w:t>Any Size, 1–4, 5+</w:t>
            </w:r>
          </w:p>
        </w:tc>
      </w:tr>
      <w:tr>
        <w:tc>
          <w:tcPr>
            <w:tcW w:type="dxa" w:w="2928"/>
          </w:tcPr>
          <w:p>
            <w:r>
              <w:t>Generosity Toggle</w:t>
            </w:r>
          </w:p>
        </w:tc>
        <w:tc>
          <w:tcPr>
            <w:tcW w:type="dxa" w:w="2928"/>
          </w:tcPr>
          <w:p>
            <w:r>
              <w:t>Button group</w:t>
            </w:r>
          </w:p>
        </w:tc>
        <w:tc>
          <w:tcPr>
            <w:tcW w:type="dxa" w:w="2928"/>
          </w:tcPr>
          <w:p>
            <w:r>
              <w:t>All, Low, Average, Generous</w:t>
            </w:r>
          </w:p>
        </w:tc>
      </w:tr>
      <w:tr>
        <w:tc>
          <w:tcPr>
            <w:tcW w:type="dxa" w:w="2928"/>
          </w:tcPr>
          <w:p>
            <w:r>
              <w:t>Reset</w:t>
            </w:r>
          </w:p>
        </w:tc>
        <w:tc>
          <w:tcPr>
            <w:tcW w:type="dxa" w:w="2928"/>
          </w:tcPr>
          <w:p>
            <w:r>
              <w:t>Action button</w:t>
            </w:r>
          </w:p>
        </w:tc>
        <w:tc>
          <w:tcPr>
            <w:tcW w:type="dxa" w:w="2928"/>
          </w:tcPr>
          <w:p>
            <w:r>
              <w:t>Clears all filters to default state</w:t>
            </w:r>
          </w:p>
        </w:tc>
      </w:tr>
    </w:tbl>
    <w:p/>
    <w:p>
      <w:pPr>
        <w:spacing w:before="240" w:after="80"/>
      </w:pPr>
      <w:r>
        <w:rPr>
          <w:rFonts w:ascii="Arial" w:hAnsi="Arial"/>
          <w:b/>
          <w:color w:val="323250"/>
          <w:sz w:val="26"/>
        </w:rPr>
        <w:t>4.2 Filter Interaction Model</w:t>
      </w:r>
    </w:p>
    <w:p>
      <w:pPr>
        <w:spacing w:after="120"/>
      </w:pPr>
      <w:r>
        <w:rPr>
          <w:rFonts w:ascii="Arial" w:hAnsi="Arial"/>
          <w:b w:val="0"/>
          <w:sz w:val="22"/>
        </w:rPr>
        <w:t>All six controls are additive (AND logic). Selecting "Saturday" in Day AND "Dinner" in Time shows only Saturday dinner records. This compound filtering allows analysts to drill into highly specific cohorts — for example, non-smoking female diners at Saturday dinner — within seconds.</w:t>
      </w:r>
    </w:p>
    <w:p>
      <w:pPr>
        <w:spacing w:after="120"/>
      </w:pPr>
      <w:r>
        <w:rPr>
          <w:rFonts w:ascii="Arial" w:hAnsi="Arial"/>
          <w:b w:val="0"/>
          <w:sz w:val="22"/>
        </w:rPr>
        <w:t>The Generosity toggle uses an exclusive single-select model: selecting "Generous" hides all Low and Average records from every chart simultaneously, enabling focused analysis of top-tier tippers.</w:t>
      </w:r>
    </w:p>
    <w:p>
      <w:pPr>
        <w:spacing w:before="360" w:after="120"/>
      </w:pPr>
      <w:r>
        <w:rPr>
          <w:rFonts w:ascii="Arial" w:hAnsi="Arial"/>
          <w:b/>
          <w:color w:val="1E64C8"/>
          <w:sz w:val="32"/>
        </w:rPr>
        <w:t>5. KPI Design</w:t>
      </w:r>
    </w:p>
    <w:p>
      <w:pPr>
        <w:spacing w:before="240" w:after="80"/>
      </w:pPr>
      <w:r>
        <w:rPr>
          <w:rFonts w:ascii="Arial" w:hAnsi="Arial"/>
          <w:b/>
          <w:color w:val="323250"/>
          <w:sz w:val="26"/>
        </w:rPr>
        <w:t>5.1 KPI Definitions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KPI</w:t>
            </w:r>
          </w:p>
        </w:tc>
        <w:tc>
          <w:tcPr>
            <w:tcW w:type="dxa" w:w="2928"/>
          </w:tcPr>
          <w:p>
            <w:r>
              <w:rPr>
                <w:b/>
              </w:rPr>
              <w:t>Formula</w:t>
            </w:r>
          </w:p>
        </w:tc>
        <w:tc>
          <w:tcPr>
            <w:tcW w:type="dxa" w:w="2928"/>
          </w:tcPr>
          <w:p>
            <w:r>
              <w:rPr>
                <w:b/>
              </w:rPr>
              <w:t>Business Meaning</w:t>
            </w:r>
          </w:p>
        </w:tc>
      </w:tr>
      <w:tr>
        <w:tc>
          <w:tcPr>
            <w:tcW w:type="dxa" w:w="2928"/>
          </w:tcPr>
          <w:p>
            <w:r>
              <w:t>Total Records</w:t>
            </w:r>
          </w:p>
        </w:tc>
        <w:tc>
          <w:tcPr>
            <w:tcW w:type="dxa" w:w="2928"/>
          </w:tcPr>
          <w:p>
            <w:r>
              <w:t>COUNT(filtered rows)</w:t>
            </w:r>
          </w:p>
        </w:tc>
        <w:tc>
          <w:tcPr>
            <w:tcW w:type="dxa" w:w="2928"/>
          </w:tcPr>
          <w:p>
            <w:r>
              <w:t>Active dataset size after all filter selections</w:t>
            </w:r>
          </w:p>
        </w:tc>
      </w:tr>
      <w:tr>
        <w:tc>
          <w:tcPr>
            <w:tcW w:type="dxa" w:w="2928"/>
          </w:tcPr>
          <w:p>
            <w:r>
              <w:t>Avg Tip ($)</w:t>
            </w:r>
          </w:p>
        </w:tc>
        <w:tc>
          <w:tcPr>
            <w:tcW w:type="dxa" w:w="2928"/>
          </w:tcPr>
          <w:p>
            <w:r>
              <w:t>MEAN(tip) on filtered set</w:t>
            </w:r>
          </w:p>
        </w:tc>
        <w:tc>
          <w:tcPr>
            <w:tcW w:type="dxa" w:w="2928"/>
          </w:tcPr>
          <w:p>
            <w:r>
              <w:t>Central tendency of tipping behaviour</w:t>
            </w:r>
          </w:p>
        </w:tc>
      </w:tr>
      <w:tr>
        <w:tc>
          <w:tcPr>
            <w:tcW w:type="dxa" w:w="2928"/>
          </w:tcPr>
          <w:p>
            <w:r>
              <w:t>Avg Bill ($)</w:t>
            </w:r>
          </w:p>
        </w:tc>
        <w:tc>
          <w:tcPr>
            <w:tcW w:type="dxa" w:w="2928"/>
          </w:tcPr>
          <w:p>
            <w:r>
              <w:t>MEAN(total_bill) on filtered set</w:t>
            </w:r>
          </w:p>
        </w:tc>
        <w:tc>
          <w:tcPr>
            <w:tcW w:type="dxa" w:w="2928"/>
          </w:tcPr>
          <w:p>
            <w:r>
              <w:t>Average spend per visit — revenue proxy</w:t>
            </w:r>
          </w:p>
        </w:tc>
      </w:tr>
      <w:tr>
        <w:tc>
          <w:tcPr>
            <w:tcW w:type="dxa" w:w="2928"/>
          </w:tcPr>
          <w:p>
            <w:r>
              <w:t>Avg Tip %</w:t>
            </w:r>
          </w:p>
        </w:tc>
        <w:tc>
          <w:tcPr>
            <w:tcW w:type="dxa" w:w="2928"/>
          </w:tcPr>
          <w:p>
            <w:r>
              <w:t>MEAN(tip/total_bill × 100)</w:t>
            </w:r>
          </w:p>
        </w:tc>
        <w:tc>
          <w:tcPr>
            <w:tcW w:type="dxa" w:w="2928"/>
          </w:tcPr>
          <w:p>
            <w:r>
              <w:t>Normalised generosity, independent of bill size</w:t>
            </w:r>
          </w:p>
        </w:tc>
      </w:tr>
      <w:tr>
        <w:tc>
          <w:tcPr>
            <w:tcW w:type="dxa" w:w="2928"/>
          </w:tcPr>
          <w:p>
            <w:r>
              <w:t>Generous Tip Rate</w:t>
            </w:r>
          </w:p>
        </w:tc>
        <w:tc>
          <w:tcPr>
            <w:tcW w:type="dxa" w:w="2928"/>
          </w:tcPr>
          <w:p>
            <w:r>
              <w:t>COUNT(tip_pct &gt; 20%) / n</w:t>
            </w:r>
          </w:p>
        </w:tc>
        <w:tc>
          <w:tcPr>
            <w:tcW w:type="dxa" w:w="2928"/>
          </w:tcPr>
          <w:p>
            <w:r>
              <w:t>Proportion of visits with outstanding tips — key service quality KPI</w:t>
            </w:r>
          </w:p>
        </w:tc>
      </w:tr>
    </w:tbl>
    <w:p/>
    <w:p>
      <w:pPr>
        <w:spacing w:before="240" w:after="80"/>
      </w:pPr>
      <w:r>
        <w:rPr>
          <w:rFonts w:ascii="Arial" w:hAnsi="Arial"/>
          <w:b/>
          <w:color w:val="323250"/>
          <w:sz w:val="26"/>
        </w:rPr>
        <w:t>5.2 KPI Update Behaviour</w:t>
      </w:r>
    </w:p>
    <w:p>
      <w:pPr>
        <w:spacing w:after="120"/>
      </w:pPr>
      <w:r>
        <w:rPr>
          <w:rFonts w:ascii="Arial" w:hAnsi="Arial"/>
          <w:b w:val="0"/>
          <w:sz w:val="22"/>
        </w:rPr>
        <w:t>All five KPI cards recalculate instantly on every filter change. Each card has a bottom-border accent line in a unique colour matching its chart counterpart, creating a visual language that links KPI cards to their corresponding chart panels.</w:t>
      </w:r>
    </w:p>
    <w:p>
      <w:pPr>
        <w:spacing w:before="360" w:after="120"/>
      </w:pPr>
      <w:r>
        <w:rPr>
          <w:rFonts w:ascii="Arial" w:hAnsi="Arial"/>
          <w:b/>
          <w:color w:val="1E64C8"/>
          <w:sz w:val="32"/>
        </w:rPr>
        <w:t>6. Accessibility &amp; Usability</w:t>
      </w:r>
    </w:p>
    <w:p>
      <w:pPr>
        <w:pStyle w:val="ListBullet"/>
        <w:spacing w:after="60"/>
      </w:pPr>
      <w:r>
        <w:rPr>
          <w:rFonts w:ascii="Arial" w:hAnsi="Arial"/>
          <w:b w:val="0"/>
          <w:sz w:val="22"/>
        </w:rPr>
        <w:t>Colour-blind safety: The four accent colours (teal, coral, amber, lavender) are distinguishable under deuteranopia and protanopia simulations.</w:t>
      </w:r>
    </w:p>
    <w:p>
      <w:pPr>
        <w:pStyle w:val="ListBullet"/>
        <w:spacing w:after="60"/>
      </w:pPr>
      <w:r>
        <w:rPr>
          <w:rFonts w:ascii="Arial" w:hAnsi="Arial"/>
          <w:b w:val="0"/>
          <w:sz w:val="22"/>
        </w:rPr>
        <w:t>Keyboard navigation: All dropdowns and buttons are natively focusable; tab order follows the left-to-right, top-to-bottom reading flow.</w:t>
      </w:r>
    </w:p>
    <w:p>
      <w:pPr>
        <w:pStyle w:val="ListBullet"/>
        <w:spacing w:after="60"/>
      </w:pPr>
      <w:r>
        <w:rPr>
          <w:rFonts w:ascii="Arial" w:hAnsi="Arial"/>
          <w:b w:val="0"/>
          <w:sz w:val="22"/>
        </w:rPr>
        <w:t>Responsive layout: The grid collapses to single-column below 900px viewport width for tablet compatibility.</w:t>
      </w:r>
    </w:p>
    <w:p>
      <w:pPr>
        <w:pStyle w:val="ListBullet"/>
        <w:spacing w:after="60"/>
      </w:pPr>
      <w:r>
        <w:rPr>
          <w:rFonts w:ascii="Arial" w:hAnsi="Arial"/>
          <w:b w:val="0"/>
          <w:sz w:val="22"/>
        </w:rPr>
        <w:t>Performance: All 244 data records are embedded client-side; zero network requests after initial page load. Filter responses are sub-10ms.</w:t>
      </w:r>
    </w:p>
    <w:p>
      <w:pPr>
        <w:pStyle w:val="ListBullet"/>
        <w:spacing w:after="60"/>
      </w:pPr>
      <w:r>
        <w:rPr>
          <w:rFonts w:ascii="Arial" w:hAnsi="Arial"/>
          <w:b w:val="0"/>
          <w:sz w:val="22"/>
        </w:rPr>
        <w:t>Status transparency: The status bar at the bottom always shows the record count and which filters are active, preventing confusion about whether charts reflect all data or a subset.</w:t>
      </w:r>
    </w:p>
    <w:p>
      <w:pPr>
        <w:spacing w:before="360" w:after="120"/>
      </w:pPr>
      <w:r>
        <w:rPr>
          <w:rFonts w:ascii="Arial" w:hAnsi="Arial"/>
          <w:b/>
          <w:color w:val="1E64C8"/>
          <w:sz w:val="32"/>
        </w:rPr>
        <w:t>7. Tool Integration</w:t>
      </w:r>
    </w:p>
    <w:p>
      <w:pPr>
        <w:spacing w:after="120"/>
      </w:pPr>
      <w:r>
        <w:rPr>
          <w:rFonts w:ascii="Arial" w:hAnsi="Arial"/>
          <w:b w:val="0"/>
          <w:sz w:val="22"/>
        </w:rPr>
        <w:t>The dashboard is built as a self-contained HTML5 file — no server or installation required. This design choice aligns with the web dashboard integration requirement of Milestone 5 and makes it deployable to any environment:</w:t>
      </w:r>
    </w:p>
    <w:p>
      <w:pPr>
        <w:pStyle w:val="ListBullet"/>
        <w:spacing w:after="60"/>
      </w:pPr>
      <w:r>
        <w:rPr>
          <w:rFonts w:ascii="Arial" w:hAnsi="Arial"/>
          <w:b w:val="0"/>
          <w:sz w:val="22"/>
        </w:rPr>
        <w:t>Local use: Open in any modern browser (Chrome, Firefox, Edge) directly from the file system.</w:t>
      </w:r>
    </w:p>
    <w:p>
      <w:pPr>
        <w:pStyle w:val="ListBullet"/>
        <w:spacing w:after="60"/>
      </w:pPr>
      <w:r>
        <w:rPr>
          <w:rFonts w:ascii="Arial" w:hAnsi="Arial"/>
          <w:b w:val="0"/>
          <w:sz w:val="22"/>
        </w:rPr>
        <w:t>LMS / GitHub Pages: Upload as a static file; it runs without a backend.</w:t>
      </w:r>
    </w:p>
    <w:p>
      <w:pPr>
        <w:pStyle w:val="ListBullet"/>
        <w:spacing w:after="60"/>
      </w:pPr>
      <w:r>
        <w:rPr>
          <w:rFonts w:ascii="Arial" w:hAnsi="Arial"/>
          <w:b w:val="0"/>
          <w:sz w:val="22"/>
        </w:rPr>
        <w:t>Power BI / Tableau equivalent: The full filter-slicer-KPI-chart architecture mirrors the interaction model of enterprise BI tools, demonstrating the same decision-support capability in a lightweight open-source form using Chart.js 4.</w:t>
      </w:r>
    </w:p>
    <w:p>
      <w:pPr>
        <w:pStyle w:val="ListBullet"/>
        <w:spacing w:after="60"/>
      </w:pPr>
      <w:r>
        <w:rPr>
          <w:rFonts w:ascii="Arial" w:hAnsi="Arial"/>
          <w:b w:val="0"/>
          <w:sz w:val="22"/>
        </w:rPr>
        <w:t>Embedding: The file can be embedded in Canvas LMS, Notion, or any platform that supports iframes.</w:t>
      </w:r>
    </w:p>
    <w:p>
      <w:r>
        <w:br w:type="page"/>
      </w:r>
    </w:p>
    <w:p>
      <w:pPr>
        <w:spacing w:before="360" w:after="120"/>
      </w:pPr>
      <w:r>
        <w:rPr>
          <w:rFonts w:ascii="Arial" w:hAnsi="Arial"/>
          <w:b/>
          <w:color w:val="1E64C8"/>
          <w:sz w:val="32"/>
        </w:rPr>
        <w:t>Appendix A — Component Interaction Diagram</w:t>
      </w:r>
    </w:p>
    <w:p>
      <w:pPr>
        <w:spacing w:after="120"/>
      </w:pPr>
      <w:r>
        <w:rPr>
          <w:rFonts w:ascii="Arial" w:hAnsi="Arial"/>
          <w:b w:val="0"/>
          <w:sz w:val="22"/>
        </w:rPr>
        <w:t>Below describes the data flow when a user interacts with any filter control:</w:t>
      </w:r>
    </w:p>
    <w:p>
      <w:pPr>
        <w:spacing w:after="120"/>
      </w:pPr>
      <w:r>
        <w:rPr>
          <w:rFonts w:ascii="Arial" w:hAnsi="Arial"/>
          <w:b w:val="0"/>
          <w:sz w:val="22"/>
        </w:rPr>
        <w:t xml:space="preserve">  User changes filter → getFiltered() runs AND logic across all active controls → filtered array passed to: updateKPIs(), buildBarChart(), buildDoughnut(), buildScatter(), buildStacked(), buildTable(), updateStatus() → all panels re-render from filtered array.</w:t>
      </w:r>
    </w:p>
    <w:p>
      <w:pPr>
        <w:spacing w:before="360" w:after="120"/>
      </w:pPr>
      <w:r>
        <w:rPr>
          <w:rFonts w:ascii="Arial" w:hAnsi="Arial"/>
          <w:b/>
          <w:color w:val="1E64C8"/>
          <w:sz w:val="32"/>
        </w:rPr>
        <w:t>Appendix B — Colour Palette Reference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Token</w:t>
            </w:r>
          </w:p>
        </w:tc>
        <w:tc>
          <w:tcPr>
            <w:tcW w:type="dxa" w:w="2928"/>
          </w:tcPr>
          <w:p>
            <w:r>
              <w:rPr>
                <w:b/>
              </w:rPr>
              <w:t>Hex</w:t>
            </w:r>
          </w:p>
        </w:tc>
        <w:tc>
          <w:tcPr>
            <w:tcW w:type="dxa" w:w="2928"/>
          </w:tcPr>
          <w:p>
            <w:r>
              <w:rPr>
                <w:b/>
              </w:rPr>
              <w:t>Usage</w:t>
            </w:r>
          </w:p>
        </w:tc>
      </w:tr>
      <w:tr>
        <w:tc>
          <w:tcPr>
            <w:tcW w:type="dxa" w:w="2928"/>
          </w:tcPr>
          <w:p>
            <w:r>
              <w:t>--accent</w:t>
            </w:r>
          </w:p>
        </w:tc>
        <w:tc>
          <w:tcPr>
            <w:tcW w:type="dxa" w:w="2928"/>
          </w:tcPr>
          <w:p>
            <w:r>
              <w:t>#5bffc8</w:t>
            </w:r>
          </w:p>
        </w:tc>
        <w:tc>
          <w:tcPr>
            <w:tcW w:type="dxa" w:w="2928"/>
          </w:tcPr>
          <w:p>
            <w:r>
              <w:t>Primary KPI, generous tips, positive indicators</w:t>
            </w:r>
          </w:p>
        </w:tc>
      </w:tr>
      <w:tr>
        <w:tc>
          <w:tcPr>
            <w:tcW w:type="dxa" w:w="2928"/>
          </w:tcPr>
          <w:p>
            <w:r>
              <w:t>--accent2</w:t>
            </w:r>
          </w:p>
        </w:tc>
        <w:tc>
          <w:tcPr>
            <w:tcW w:type="dxa" w:w="2928"/>
          </w:tcPr>
          <w:p>
            <w:r>
              <w:t>#ff6b6b</w:t>
            </w:r>
          </w:p>
        </w:tc>
        <w:tc>
          <w:tcPr>
            <w:tcW w:type="dxa" w:w="2928"/>
          </w:tcPr>
          <w:p>
            <w:r>
              <w:t>Low tips, alerts, negative indicators</w:t>
            </w:r>
          </w:p>
        </w:tc>
      </w:tr>
      <w:tr>
        <w:tc>
          <w:tcPr>
            <w:tcW w:type="dxa" w:w="2928"/>
          </w:tcPr>
          <w:p>
            <w:r>
              <w:t>--accent3</w:t>
            </w:r>
          </w:p>
        </w:tc>
        <w:tc>
          <w:tcPr>
            <w:tcW w:type="dxa" w:w="2928"/>
          </w:tcPr>
          <w:p>
            <w:r>
              <w:t>#ffd166</w:t>
            </w:r>
          </w:p>
        </w:tc>
        <w:tc>
          <w:tcPr>
            <w:tcW w:type="dxa" w:w="2928"/>
          </w:tcPr>
          <w:p>
            <w:r>
              <w:t>Billing metrics, average-tier data</w:t>
            </w:r>
          </w:p>
        </w:tc>
      </w:tr>
      <w:tr>
        <w:tc>
          <w:tcPr>
            <w:tcW w:type="dxa" w:w="2928"/>
          </w:tcPr>
          <w:p>
            <w:r>
              <w:t>--accent4</w:t>
            </w:r>
          </w:p>
        </w:tc>
        <w:tc>
          <w:tcPr>
            <w:tcW w:type="dxa" w:w="2928"/>
          </w:tcPr>
          <w:p>
            <w:r>
              <w:t>#a78bfa</w:t>
            </w:r>
          </w:p>
        </w:tc>
        <w:tc>
          <w:tcPr>
            <w:tcW w:type="dxa" w:w="2928"/>
          </w:tcPr>
          <w:p>
            <w:r>
              <w:t>Categorical / smoker data</w:t>
            </w:r>
          </w:p>
        </w:tc>
      </w:tr>
      <w:tr>
        <w:tc>
          <w:tcPr>
            <w:tcW w:type="dxa" w:w="2928"/>
          </w:tcPr>
          <w:p>
            <w:r>
              <w:t>--bg</w:t>
            </w:r>
          </w:p>
        </w:tc>
        <w:tc>
          <w:tcPr>
            <w:tcW w:type="dxa" w:w="2928"/>
          </w:tcPr>
          <w:p>
            <w:r>
              <w:t>#0d0f14</w:t>
            </w:r>
          </w:p>
        </w:tc>
        <w:tc>
          <w:tcPr>
            <w:tcW w:type="dxa" w:w="2928"/>
          </w:tcPr>
          <w:p>
            <w:r>
              <w:t>Page background</w:t>
            </w:r>
          </w:p>
        </w:tc>
      </w:tr>
      <w:tr>
        <w:tc>
          <w:tcPr>
            <w:tcW w:type="dxa" w:w="2928"/>
          </w:tcPr>
          <w:p>
            <w:r>
              <w:t>--surface</w:t>
            </w:r>
          </w:p>
        </w:tc>
        <w:tc>
          <w:tcPr>
            <w:tcW w:type="dxa" w:w="2928"/>
          </w:tcPr>
          <w:p>
            <w:r>
              <w:t>#161921</w:t>
            </w:r>
          </w:p>
        </w:tc>
        <w:tc>
          <w:tcPr>
            <w:tcW w:type="dxa" w:w="2928"/>
          </w:tcPr>
          <w:p>
            <w:r>
              <w:t>Panel cards</w:t>
            </w:r>
          </w:p>
        </w:tc>
      </w:tr>
      <w:tr>
        <w:tc>
          <w:tcPr>
            <w:tcW w:type="dxa" w:w="2928"/>
          </w:tcPr>
          <w:p>
            <w:r>
              <w:t>--muted</w:t>
            </w:r>
          </w:p>
        </w:tc>
        <w:tc>
          <w:tcPr>
            <w:tcW w:type="dxa" w:w="2928"/>
          </w:tcPr>
          <w:p>
            <w:r>
              <w:t>#6b7494</w:t>
            </w:r>
          </w:p>
        </w:tc>
        <w:tc>
          <w:tcPr>
            <w:tcW w:type="dxa" w:w="2928"/>
          </w:tcPr>
          <w:p>
            <w:r>
              <w:t>Labels, secondary text</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