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i w:val="0"/>
          <w:sz w:val="32"/>
        </w:rPr>
        <w:t>AKSHAT PATHAK</w:t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sz w:val="20"/>
        </w:rPr>
        <w:t>Los Angeles, CA • Akshat.Pathak.2027@marshall.usc.edu • (213) 325-0609 • linkedin.com/in/akshats-pathak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2"/>
        </w:rPr>
        <w:t>August 20, 2026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2"/>
        </w:rPr>
        <w:t>Viterbi Student and Academic Services Hiring Committee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2"/>
        </w:rPr>
        <w:t>USC Viterbi School of Engineering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2"/>
        </w:rPr>
        <w:t>Los Angeles, CA</w:t>
      </w:r>
    </w:p>
    <w:p>
      <w:pPr>
        <w:spacing w:before="180" w:after="160"/>
      </w:pPr>
      <w:r>
        <w:rPr>
          <w:rFonts w:ascii="Times New Roman" w:hAnsi="Times New Roman"/>
          <w:b w:val="0"/>
          <w:i w:val="0"/>
          <w:sz w:val="22"/>
        </w:rPr>
        <w:t>Dear Viterbi Student and Academic Services Hiring Committee,</w:t>
      </w:r>
    </w:p>
    <w:p>
      <w:pPr>
        <w:spacing w:after="160" w:line="259" w:lineRule="auto"/>
      </w:pPr>
      <w:r>
        <w:rPr>
          <w:rFonts w:ascii="Times New Roman" w:hAnsi="Times New Roman"/>
          <w:b w:val="0"/>
          <w:i w:val="0"/>
          <w:sz w:val="22"/>
        </w:rPr>
        <w:t>I am applying for the Student Services Assistant role because I know how much a small administrative detail can change a student's semester. I am a USC Marshall MBA candidate and an international student, and I would value the chance to help Viterbi students get clear, careful support when they are navigating advisement, forms, deadlines, and unfamiliar university processes.</w:t>
      </w:r>
    </w:p>
    <w:p>
      <w:pPr>
        <w:spacing w:after="160" w:line="259" w:lineRule="auto"/>
      </w:pPr>
      <w:r>
        <w:rPr>
          <w:rFonts w:ascii="Times New Roman" w:hAnsi="Times New Roman"/>
          <w:b w:val="0"/>
          <w:i w:val="0"/>
          <w:sz w:val="22"/>
        </w:rPr>
        <w:t>That student journey is also the focus of my current work with Fluo. Working directly with the founder, I mapped 35 interdependent arrival steps for international students and built an interactive plan that reshapes itself when a visa, housing, banking, or campus task slips. I also used USC program calendars to correct the initial outreach plan and focus on Viterbi's live pre-departure window. The work has made me unusually attentive to dependencies, deadlines, and the difference between giving a student information and helping them understand what to do next.</w:t>
      </w:r>
    </w:p>
    <w:p>
      <w:pPr>
        <w:spacing w:after="160" w:line="259" w:lineRule="auto"/>
      </w:pPr>
      <w:r>
        <w:rPr>
          <w:rFonts w:ascii="Times New Roman" w:hAnsi="Times New Roman"/>
          <w:b w:val="0"/>
          <w:i w:val="0"/>
          <w:sz w:val="22"/>
        </w:rPr>
        <w:t>At Marshall, I support alumni and external-relations work for the South Asian Business Association and High Tech Association. Before USC, I spent five years in engineering roles where accurate records, clear written handoffs, and calm coordination across teams mattered every day. At Intuit, for example, I coordinated Engineering, QA, and Support during a billing issue affecting more than 1,500 businesses. I understand that VSAS handles FERPA-protected and other sensitive information, and I would bring the same discretion and process discipline to that responsibility.</w:t>
      </w:r>
    </w:p>
    <w:p>
      <w:pPr>
        <w:spacing w:after="160" w:line="259" w:lineRule="auto"/>
      </w:pPr>
      <w:r>
        <w:rPr>
          <w:rFonts w:ascii="Times New Roman" w:hAnsi="Times New Roman"/>
          <w:b w:val="0"/>
          <w:i w:val="0"/>
          <w:sz w:val="22"/>
        </w:rPr>
        <w:t>I can work the role's 10–20 hour in-person schedule and would be glad to support student issues, advisement, special projects, and administrative processing wherever the office needs reliable help. Thank you for considering my application.</w:t>
      </w:r>
    </w:p>
    <w:p>
      <w:pPr>
        <w:spacing w:before="80" w:after="240"/>
      </w:pPr>
      <w:r>
        <w:rPr>
          <w:rFonts w:ascii="Times New Roman" w:hAnsi="Times New Roman"/>
          <w:b w:val="0"/>
          <w:i w:val="0"/>
          <w:sz w:val="22"/>
        </w:rPr>
        <w:t>Sincerely,</w:t>
      </w:r>
    </w:p>
    <w:p>
      <w:r>
        <w:rPr>
          <w:rFonts w:ascii="Times New Roman" w:hAnsi="Times New Roman"/>
          <w:b/>
          <w:i w:val="0"/>
          <w:sz w:val="22"/>
        </w:rPr>
        <w:t>AKSHAT PATHAK</w:t>
      </w:r>
    </w:p>
    <w:sectPr w:rsidR="00FC693F" w:rsidRPr="0006063C" w:rsidSect="00034616"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