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9FF30" w14:textId="77777777" w:rsidR="007E618C" w:rsidRDefault="00842831">
      <w:r>
        <w:rPr>
          <w:noProof/>
          <w:lang w:eastAsia="es-CL"/>
        </w:rPr>
        <w:drawing>
          <wp:anchor distT="0" distB="0" distL="114300" distR="114300" simplePos="0" relativeHeight="251661312" behindDoc="1" locked="0" layoutInCell="1" allowOverlap="1" wp14:anchorId="26FF79E9" wp14:editId="31F49A64">
            <wp:simplePos x="0" y="0"/>
            <wp:positionH relativeFrom="page">
              <wp:posOffset>-44450</wp:posOffset>
            </wp:positionH>
            <wp:positionV relativeFrom="paragraph">
              <wp:posOffset>-2469515</wp:posOffset>
            </wp:positionV>
            <wp:extent cx="7787005" cy="10075545"/>
            <wp:effectExtent l="0" t="0" r="508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6968" cy="10075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F9D7E" w14:textId="77777777" w:rsidR="007E618C" w:rsidRDefault="007E618C"/>
    <w:p w14:paraId="3CC9C86F" w14:textId="77777777" w:rsidR="007E618C" w:rsidRDefault="007E618C">
      <w:bookmarkStart w:id="0" w:name="_Hlk56073969"/>
      <w:bookmarkEnd w:id="0"/>
    </w:p>
    <w:p w14:paraId="241B261D" w14:textId="77777777" w:rsidR="007E618C" w:rsidRDefault="007E618C"/>
    <w:p w14:paraId="4091ED91" w14:textId="77777777" w:rsidR="007E618C" w:rsidRDefault="007E618C"/>
    <w:p w14:paraId="3953B502" w14:textId="77777777" w:rsidR="007E618C" w:rsidRDefault="007E618C"/>
    <w:p w14:paraId="5B53E5B1" w14:textId="77777777" w:rsidR="007E618C" w:rsidRDefault="00842831">
      <w:pPr>
        <w:tabs>
          <w:tab w:val="center" w:pos="1113"/>
        </w:tabs>
      </w:pPr>
      <w:r>
        <w:tab/>
      </w:r>
    </w:p>
    <w:p w14:paraId="3C9F9A95" w14:textId="77777777" w:rsidR="007E618C" w:rsidRDefault="00842831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D3B164" wp14:editId="4749129C">
                <wp:simplePos x="0" y="0"/>
                <wp:positionH relativeFrom="column">
                  <wp:posOffset>1743710</wp:posOffset>
                </wp:positionH>
                <wp:positionV relativeFrom="paragraph">
                  <wp:posOffset>8255</wp:posOffset>
                </wp:positionV>
                <wp:extent cx="4339590" cy="1333500"/>
                <wp:effectExtent l="0" t="0" r="2286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959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33BA9398" w14:textId="77777777" w:rsidR="007E618C" w:rsidRDefault="00842831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“Análisis de los Indicadores Macroeconómicos y su Impacto en la Economía Nacional: Chile, 2021–2022”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uadro de texto 2" o:spid="_x0000_s1026" o:spt="202" type="#_x0000_t202" style="position:absolute;left:0pt;margin-left:137.3pt;margin-top:0.65pt;height:105pt;width:341.7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xtYD2dcAAAAJAQAADwAAAAAAAAABACAAAAAiAAAAZHJzL2Rvd25yZXYueG1sUEsB&#10;AhQAFAAAAAgAh07iQAE0kMgvAgAAhAQAAA4AAAAAAAAAAQAgAAAAJgEAAGRycy9lMm9Eb2MueG1s&#10;UEsFBgAAAAAGAAYAWQEAAMc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3C089069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“Análisis de los Indicadores Macroeconómicos y su Impacto en la Economía Nacional: Chile, 2021–2022”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FA1374" w14:textId="77777777" w:rsidR="007E618C" w:rsidRDefault="007E618C"/>
    <w:p w14:paraId="01C9345E" w14:textId="77777777" w:rsidR="007E618C" w:rsidRDefault="007E618C"/>
    <w:p w14:paraId="1EEAAADB" w14:textId="77777777" w:rsidR="007E618C" w:rsidRDefault="007E618C"/>
    <w:p w14:paraId="2BA94996" w14:textId="77777777" w:rsidR="007E618C" w:rsidRDefault="007E618C"/>
    <w:p w14:paraId="1878C88D" w14:textId="77777777" w:rsidR="007E618C" w:rsidRDefault="007E618C"/>
    <w:p w14:paraId="6CB28084" w14:textId="77777777" w:rsidR="007E618C" w:rsidRDefault="007E618C"/>
    <w:p w14:paraId="16F94A1B" w14:textId="77777777" w:rsidR="007E618C" w:rsidRDefault="007E618C"/>
    <w:p w14:paraId="749CB4EA" w14:textId="77777777" w:rsidR="007E618C" w:rsidRDefault="007E618C"/>
    <w:p w14:paraId="3AD55D4F" w14:textId="77777777" w:rsidR="007E618C" w:rsidRDefault="007E618C"/>
    <w:p w14:paraId="2669738C" w14:textId="77777777" w:rsidR="007E618C" w:rsidRDefault="007E618C"/>
    <w:p w14:paraId="36827F27" w14:textId="77777777" w:rsidR="007E618C" w:rsidRDefault="007E618C"/>
    <w:p w14:paraId="4754C4F9" w14:textId="77777777" w:rsidR="007E618C" w:rsidRDefault="007E618C"/>
    <w:p w14:paraId="1A155B14" w14:textId="77777777" w:rsidR="007E618C" w:rsidRDefault="007E618C"/>
    <w:p w14:paraId="4053C0D8" w14:textId="77777777" w:rsidR="007E618C" w:rsidRDefault="007E618C"/>
    <w:p w14:paraId="6819E93F" w14:textId="77777777" w:rsidR="007E618C" w:rsidRDefault="007E618C"/>
    <w:p w14:paraId="4515FA5E" w14:textId="77777777" w:rsidR="007E618C" w:rsidRDefault="0084283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BB6DF" wp14:editId="2E837ECD">
                <wp:simplePos x="0" y="0"/>
                <wp:positionH relativeFrom="margin">
                  <wp:align>left</wp:align>
                </wp:positionH>
                <wp:positionV relativeFrom="paragraph">
                  <wp:posOffset>347345</wp:posOffset>
                </wp:positionV>
                <wp:extent cx="5895340" cy="1405255"/>
                <wp:effectExtent l="0" t="0" r="10160" b="2349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5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4960FF54" w14:textId="77777777" w:rsidR="007E618C" w:rsidRDefault="00842831">
                            <w:pPr>
                              <w:rPr>
                                <w:rStyle w:val="Estilo2"/>
                                <w:b/>
                              </w:rPr>
                            </w:pPr>
                            <w:r>
                              <w:rPr>
                                <w:rStyle w:val="Estilo2"/>
                                <w:b/>
                              </w:rPr>
                              <w:t>MÓDULO: Fundamentos de la Economía</w:t>
                            </w:r>
                          </w:p>
                          <w:p w14:paraId="293018E7" w14:textId="77777777" w:rsidR="007E618C" w:rsidRDefault="00842831">
                            <w:pPr>
                              <w:rPr>
                                <w:rStyle w:val="Estilo2"/>
                                <w:b/>
                              </w:rPr>
                            </w:pPr>
                            <w:r>
                              <w:rPr>
                                <w:rStyle w:val="Estilo2"/>
                                <w:b/>
                              </w:rPr>
                              <w:t>SEMANA: Semana 2</w:t>
                            </w:r>
                          </w:p>
                          <w:p w14:paraId="35381229" w14:textId="77777777" w:rsidR="007E618C" w:rsidRDefault="00842831">
                            <w:pPr>
                              <w:rPr>
                                <w:rStyle w:val="Estilo2"/>
                              </w:rPr>
                            </w:pPr>
                            <w:r>
                              <w:rPr>
                                <w:rStyle w:val="Estilo2"/>
                              </w:rPr>
                              <w:t>Docente: Francisco Pradenas Venegas</w:t>
                            </w:r>
                          </w:p>
                          <w:p w14:paraId="431D8A3B" w14:textId="77777777" w:rsidR="007E618C" w:rsidRDefault="00842831">
                            <w:pPr>
                              <w:rPr>
                                <w:rFonts w:ascii="Futura" w:hAnsi="Futura"/>
                              </w:rPr>
                            </w:pPr>
                            <w:r>
                              <w:rPr>
                                <w:rStyle w:val="Estilo2"/>
                              </w:rPr>
                              <w:t xml:space="preserve">Estudiantes: José Ariel Nahuelpán Vera – Mariela Alejandra García Pérez </w:t>
                            </w:r>
                          </w:p>
                          <w:p w14:paraId="5F4CE361" w14:textId="77777777" w:rsidR="007E618C" w:rsidRDefault="007E618C">
                            <w:pPr>
                              <w:rPr>
                                <w:rFonts w:ascii="Futura" w:hAnsi="Futur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uadro de texto 2" o:spid="_x0000_s1026" o:spt="202" type="#_x0000_t202" style="position:absolute;left:0pt;margin-top:27.35pt;height:110.65pt;width:464.2pt;mso-position-horizontal:left;mso-position-horizontal-relative:margin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jC3pXXAAAABwEAAA8AAAAAAAAAAQAgAAAAIgAAAGRycy9kb3ducmV2LnhtbFBLAQIU&#10;ABQAAAAIAIdO4kBcwzP4LQIAAIIEAAAOAAAAAAAAAAEAIAAAACYBAABkcnMvZTJvRG9jLnhtbFBL&#10;BQYAAAAABgAGAFkBAADF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186B1E55">
                      <w:pPr>
                        <w:rPr>
                          <w:rStyle w:val="22"/>
                          <w:b/>
                        </w:rPr>
                      </w:pPr>
                      <w:r>
                        <w:rPr>
                          <w:rStyle w:val="22"/>
                          <w:b/>
                        </w:rPr>
                        <w:t>MÓDULO: Fundamentos de la Economía</w:t>
                      </w:r>
                    </w:p>
                    <w:p w14:paraId="60776710">
                      <w:pPr>
                        <w:rPr>
                          <w:rStyle w:val="22"/>
                          <w:b/>
                        </w:rPr>
                      </w:pPr>
                      <w:r>
                        <w:rPr>
                          <w:rStyle w:val="22"/>
                          <w:b/>
                        </w:rPr>
                        <w:t>SEMANA: Semana 2</w:t>
                      </w:r>
                    </w:p>
                    <w:p w14:paraId="5FB9B5E4">
                      <w:pPr>
                        <w:rPr>
                          <w:rStyle w:val="22"/>
                        </w:rPr>
                      </w:pPr>
                      <w:r>
                        <w:rPr>
                          <w:rStyle w:val="22"/>
                        </w:rPr>
                        <w:t>Docente: Francisco Pradenas Venegas</w:t>
                      </w:r>
                    </w:p>
                    <w:p w14:paraId="7283C6F0">
                      <w:pPr>
                        <w:rPr>
                          <w:rFonts w:ascii="Futura" w:hAnsi="Futura"/>
                        </w:rPr>
                      </w:pPr>
                      <w:r>
                        <w:rPr>
                          <w:rStyle w:val="22"/>
                        </w:rPr>
                        <w:t xml:space="preserve">Estudiantes: José Ariel Nahuelpán Vera – Mariela Alejandra García Pérez </w:t>
                      </w:r>
                    </w:p>
                    <w:p w14:paraId="4473E098">
                      <w:pPr>
                        <w:rPr>
                          <w:rFonts w:ascii="Futura" w:hAnsi="Futur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/>
        </w:rPr>
        <w:id w:val="997852750"/>
        <w:docPartObj>
          <w:docPartGallery w:val="Table of Contents"/>
          <w:docPartUnique/>
        </w:docPartObj>
      </w:sdtPr>
      <w:sdtEndPr>
        <w:rPr>
          <w:lang w:val="es-CL"/>
        </w:rPr>
      </w:sdtEndPr>
      <w:sdtContent>
        <w:p w14:paraId="7732B1E0" w14:textId="77777777" w:rsidR="007E618C" w:rsidRDefault="00842831">
          <w:pPr>
            <w:pStyle w:val="TtuloTDC1"/>
            <w:rPr>
              <w:rFonts w:ascii="Arial" w:hAnsi="Arial" w:cs="Arial"/>
              <w:color w:val="404040" w:themeColor="text1" w:themeTint="BF"/>
              <w:lang w:val="es-ES"/>
            </w:rPr>
          </w:pPr>
          <w:r>
            <w:rPr>
              <w:rFonts w:ascii="Arial" w:hAnsi="Arial" w:cs="Arial"/>
              <w:color w:val="404040" w:themeColor="text1" w:themeTint="BF"/>
              <w:lang w:val="es-ES"/>
            </w:rPr>
            <w:t>Índice</w:t>
          </w:r>
        </w:p>
        <w:p w14:paraId="6EDED462" w14:textId="77777777" w:rsidR="007E618C" w:rsidRDefault="007E618C">
          <w:pPr>
            <w:rPr>
              <w:color w:val="404040" w:themeColor="text1" w:themeTint="BF"/>
              <w:lang w:val="es-ES"/>
            </w:rPr>
          </w:pPr>
        </w:p>
        <w:p w14:paraId="7586B719" w14:textId="77777777" w:rsidR="007E618C" w:rsidRDefault="00842831">
          <w:pPr>
            <w:pStyle w:val="TDC1"/>
            <w:tabs>
              <w:tab w:val="right" w:leader="dot" w:pos="9345"/>
            </w:tabs>
            <w:rPr>
              <w:color w:val="404040" w:themeColor="text1" w:themeTint="BF"/>
            </w:rPr>
          </w:pPr>
          <w:r>
            <w:rPr>
              <w:b w:val="0"/>
              <w:bCs w:val="0"/>
              <w:color w:val="404040" w:themeColor="text1" w:themeTint="BF"/>
            </w:rPr>
            <w:fldChar w:fldCharType="begin"/>
          </w:r>
          <w:r>
            <w:rPr>
              <w:color w:val="404040" w:themeColor="text1" w:themeTint="BF"/>
            </w:rPr>
            <w:instrText>TOC \o "1-3" \h \z \u</w:instrText>
          </w:r>
          <w:r>
            <w:rPr>
              <w:b w:val="0"/>
              <w:bCs w:val="0"/>
              <w:color w:val="404040" w:themeColor="text1" w:themeTint="BF"/>
            </w:rPr>
            <w:fldChar w:fldCharType="separate"/>
          </w:r>
          <w:hyperlink w:anchor="_Toc46485953" w:history="1">
            <w:r>
              <w:rPr>
                <w:rStyle w:val="Hipervnculo"/>
                <w:rFonts w:ascii="Arial" w:hAnsi="Arial" w:cs="Arial"/>
                <w:color w:val="404040" w:themeColor="text1" w:themeTint="BF"/>
              </w:rPr>
              <w:t>Introducción</w:t>
            </w:r>
            <w:r>
              <w:rPr>
                <w:color w:val="404040" w:themeColor="text1" w:themeTint="BF"/>
              </w:rPr>
              <w:tab/>
            </w:r>
            <w:r>
              <w:rPr>
                <w:color w:val="404040" w:themeColor="text1" w:themeTint="BF"/>
              </w:rPr>
              <w:fldChar w:fldCharType="begin"/>
            </w:r>
            <w:r>
              <w:rPr>
                <w:color w:val="404040" w:themeColor="text1" w:themeTint="BF"/>
              </w:rPr>
              <w:instrText xml:space="preserve"> PAGEREF _Toc46485953 \h </w:instrText>
            </w:r>
            <w:r>
              <w:rPr>
                <w:color w:val="404040" w:themeColor="text1" w:themeTint="BF"/>
              </w:rPr>
            </w:r>
            <w:r>
              <w:rPr>
                <w:color w:val="404040" w:themeColor="text1" w:themeTint="BF"/>
              </w:rPr>
              <w:fldChar w:fldCharType="separate"/>
            </w:r>
            <w:r>
              <w:rPr>
                <w:color w:val="404040" w:themeColor="text1" w:themeTint="BF"/>
              </w:rPr>
              <w:t>4</w:t>
            </w:r>
            <w:r>
              <w:rPr>
                <w:color w:val="404040" w:themeColor="text1" w:themeTint="BF"/>
              </w:rPr>
              <w:fldChar w:fldCharType="end"/>
            </w:r>
          </w:hyperlink>
        </w:p>
        <w:p w14:paraId="4C2B31E4" w14:textId="77777777" w:rsidR="007E618C" w:rsidRDefault="00842831">
          <w:pPr>
            <w:pStyle w:val="TDC1"/>
            <w:tabs>
              <w:tab w:val="right" w:leader="dot" w:pos="9345"/>
            </w:tabs>
            <w:rPr>
              <w:color w:val="404040" w:themeColor="text1" w:themeTint="BF"/>
            </w:rPr>
          </w:pPr>
          <w:hyperlink w:anchor="_Toc46485954" w:history="1">
            <w:r>
              <w:rPr>
                <w:rStyle w:val="Hipervnculo"/>
                <w:rFonts w:ascii="Arial" w:hAnsi="Arial" w:cs="Arial"/>
                <w:color w:val="404040" w:themeColor="text1" w:themeTint="BF"/>
              </w:rPr>
              <w:t>Desarrollo</w:t>
            </w:r>
            <w:r>
              <w:rPr>
                <w:color w:val="404040" w:themeColor="text1" w:themeTint="BF"/>
              </w:rPr>
              <w:tab/>
            </w:r>
            <w:r>
              <w:rPr>
                <w:color w:val="404040" w:themeColor="text1" w:themeTint="BF"/>
              </w:rPr>
              <w:fldChar w:fldCharType="begin"/>
            </w:r>
            <w:r>
              <w:rPr>
                <w:color w:val="404040" w:themeColor="text1" w:themeTint="BF"/>
              </w:rPr>
              <w:instrText xml:space="preserve"> PAGEREF _Toc46485954 \h </w:instrText>
            </w:r>
            <w:r>
              <w:rPr>
                <w:color w:val="404040" w:themeColor="text1" w:themeTint="BF"/>
              </w:rPr>
            </w:r>
            <w:r>
              <w:rPr>
                <w:color w:val="404040" w:themeColor="text1" w:themeTint="BF"/>
              </w:rPr>
              <w:fldChar w:fldCharType="separate"/>
            </w:r>
            <w:r>
              <w:rPr>
                <w:color w:val="404040" w:themeColor="text1" w:themeTint="BF"/>
              </w:rPr>
              <w:t>5</w:t>
            </w:r>
            <w:r>
              <w:rPr>
                <w:color w:val="404040" w:themeColor="text1" w:themeTint="BF"/>
              </w:rPr>
              <w:fldChar w:fldCharType="end"/>
            </w:r>
          </w:hyperlink>
        </w:p>
        <w:p w14:paraId="3025E2C1" w14:textId="77777777" w:rsidR="007E618C" w:rsidRDefault="00842831">
          <w:pPr>
            <w:pStyle w:val="TDC1"/>
            <w:tabs>
              <w:tab w:val="right" w:leader="dot" w:pos="9345"/>
            </w:tabs>
            <w:rPr>
              <w:color w:val="404040" w:themeColor="text1" w:themeTint="BF"/>
            </w:rPr>
          </w:pPr>
          <w:hyperlink w:anchor="_Toc46485955" w:history="1">
            <w:r>
              <w:rPr>
                <w:rStyle w:val="Hipervnculo"/>
                <w:rFonts w:ascii="Arial" w:hAnsi="Arial" w:cs="Arial"/>
                <w:color w:val="404040" w:themeColor="text1" w:themeTint="BF"/>
              </w:rPr>
              <w:t>Conclusión</w:t>
            </w:r>
            <w:r>
              <w:rPr>
                <w:color w:val="404040" w:themeColor="text1" w:themeTint="BF"/>
              </w:rPr>
              <w:tab/>
            </w:r>
            <w:r>
              <w:rPr>
                <w:color w:val="404040" w:themeColor="text1" w:themeTint="BF"/>
              </w:rPr>
              <w:fldChar w:fldCharType="begin"/>
            </w:r>
            <w:r>
              <w:rPr>
                <w:color w:val="404040" w:themeColor="text1" w:themeTint="BF"/>
              </w:rPr>
              <w:instrText xml:space="preserve"> PAGEREF _Toc46485955 \h </w:instrText>
            </w:r>
            <w:r>
              <w:rPr>
                <w:color w:val="404040" w:themeColor="text1" w:themeTint="BF"/>
              </w:rPr>
            </w:r>
            <w:r>
              <w:rPr>
                <w:color w:val="404040" w:themeColor="text1" w:themeTint="BF"/>
              </w:rPr>
              <w:fldChar w:fldCharType="separate"/>
            </w:r>
            <w:r>
              <w:rPr>
                <w:color w:val="404040" w:themeColor="text1" w:themeTint="BF"/>
              </w:rPr>
              <w:t>6</w:t>
            </w:r>
            <w:r>
              <w:rPr>
                <w:color w:val="404040" w:themeColor="text1" w:themeTint="BF"/>
              </w:rPr>
              <w:fldChar w:fldCharType="end"/>
            </w:r>
          </w:hyperlink>
        </w:p>
        <w:p w14:paraId="3878C14F" w14:textId="77777777" w:rsidR="007E618C" w:rsidRDefault="00842831">
          <w:pPr>
            <w:pStyle w:val="TDC1"/>
            <w:tabs>
              <w:tab w:val="right" w:leader="dot" w:pos="9345"/>
            </w:tabs>
            <w:rPr>
              <w:color w:val="404040" w:themeColor="text1" w:themeTint="BF"/>
            </w:rPr>
          </w:pPr>
          <w:hyperlink w:anchor="_Toc46485956" w:history="1">
            <w:r>
              <w:rPr>
                <w:rStyle w:val="Hipervnculo"/>
                <w:rFonts w:ascii="Arial" w:hAnsi="Arial" w:cs="Arial"/>
                <w:color w:val="404040" w:themeColor="text1" w:themeTint="BF"/>
              </w:rPr>
              <w:t>Bibliografía</w:t>
            </w:r>
            <w:r>
              <w:rPr>
                <w:color w:val="404040" w:themeColor="text1" w:themeTint="BF"/>
              </w:rPr>
              <w:tab/>
            </w:r>
            <w:r>
              <w:rPr>
                <w:color w:val="404040" w:themeColor="text1" w:themeTint="BF"/>
              </w:rPr>
              <w:fldChar w:fldCharType="begin"/>
            </w:r>
            <w:r>
              <w:rPr>
                <w:color w:val="404040" w:themeColor="text1" w:themeTint="BF"/>
              </w:rPr>
              <w:instrText xml:space="preserve"> PAGEREF _Toc46485956 \h </w:instrText>
            </w:r>
            <w:r>
              <w:rPr>
                <w:color w:val="404040" w:themeColor="text1" w:themeTint="BF"/>
              </w:rPr>
            </w:r>
            <w:r>
              <w:rPr>
                <w:color w:val="404040" w:themeColor="text1" w:themeTint="BF"/>
              </w:rPr>
              <w:fldChar w:fldCharType="separate"/>
            </w:r>
            <w:r>
              <w:rPr>
                <w:color w:val="404040" w:themeColor="text1" w:themeTint="BF"/>
              </w:rPr>
              <w:t>7</w:t>
            </w:r>
            <w:r>
              <w:rPr>
                <w:color w:val="404040" w:themeColor="text1" w:themeTint="BF"/>
              </w:rPr>
              <w:fldChar w:fldCharType="end"/>
            </w:r>
          </w:hyperlink>
        </w:p>
        <w:p w14:paraId="0B9CBA36" w14:textId="77777777" w:rsidR="007E618C" w:rsidRDefault="00842831">
          <w:r>
            <w:rPr>
              <w:b/>
              <w:bCs/>
              <w:color w:val="404040" w:themeColor="text1" w:themeTint="BF"/>
            </w:rPr>
            <w:fldChar w:fldCharType="end"/>
          </w:r>
        </w:p>
      </w:sdtContent>
    </w:sdt>
    <w:p w14:paraId="16A05A2C" w14:textId="77777777" w:rsidR="007E618C" w:rsidRDefault="007E618C">
      <w:pPr>
        <w:spacing w:line="360" w:lineRule="auto"/>
        <w:jc w:val="both"/>
        <w:rPr>
          <w:rFonts w:ascii="Arial" w:hAnsi="Arial" w:cs="Arial"/>
          <w:color w:val="575757"/>
          <w:sz w:val="24"/>
          <w:szCs w:val="20"/>
        </w:rPr>
      </w:pPr>
    </w:p>
    <w:p w14:paraId="20B01870" w14:textId="77777777" w:rsidR="007E618C" w:rsidRDefault="007E618C">
      <w:pPr>
        <w:spacing w:line="360" w:lineRule="auto"/>
        <w:rPr>
          <w:rFonts w:ascii="Arial" w:hAnsi="Arial" w:cs="Arial"/>
          <w:sz w:val="28"/>
        </w:rPr>
      </w:pPr>
    </w:p>
    <w:p w14:paraId="1EA63AFC" w14:textId="77777777" w:rsidR="007E618C" w:rsidRDefault="007E618C"/>
    <w:p w14:paraId="6A319529" w14:textId="77777777" w:rsidR="007E618C" w:rsidRDefault="007E618C"/>
    <w:p w14:paraId="0B3427E7" w14:textId="77777777" w:rsidR="007E618C" w:rsidRDefault="007E618C"/>
    <w:p w14:paraId="6AEB92DF" w14:textId="77777777" w:rsidR="007E618C" w:rsidRDefault="007E618C"/>
    <w:p w14:paraId="6A6E5990" w14:textId="77777777" w:rsidR="007E618C" w:rsidRDefault="007E618C"/>
    <w:p w14:paraId="266EE086" w14:textId="77777777" w:rsidR="007E618C" w:rsidRDefault="007E618C"/>
    <w:p w14:paraId="06A84E26" w14:textId="77777777" w:rsidR="007E618C" w:rsidRDefault="007E618C"/>
    <w:p w14:paraId="01CAB6A4" w14:textId="77777777" w:rsidR="007E618C" w:rsidRDefault="007E618C"/>
    <w:p w14:paraId="58CD52D8" w14:textId="77777777" w:rsidR="007E618C" w:rsidRDefault="007E618C"/>
    <w:p w14:paraId="57F01B2F" w14:textId="77777777" w:rsidR="007E618C" w:rsidRDefault="007E618C"/>
    <w:p w14:paraId="314FCE70" w14:textId="77777777" w:rsidR="007E618C" w:rsidRDefault="007E618C"/>
    <w:p w14:paraId="5DAF7BE6" w14:textId="77777777" w:rsidR="007E618C" w:rsidRDefault="007E618C"/>
    <w:p w14:paraId="3030FEE5" w14:textId="77777777" w:rsidR="007E618C" w:rsidRDefault="007E618C"/>
    <w:p w14:paraId="62AF76F3" w14:textId="77777777" w:rsidR="007E618C" w:rsidRDefault="00842831">
      <w:pPr>
        <w:pStyle w:val="Ttulo1"/>
        <w:rPr>
          <w:rFonts w:ascii="Arial" w:hAnsi="Arial" w:cs="Arial"/>
        </w:rPr>
      </w:pPr>
      <w:r>
        <w:br w:type="page"/>
      </w:r>
      <w:bookmarkStart w:id="1" w:name="_Toc46485953"/>
      <w:r>
        <w:rPr>
          <w:rFonts w:ascii="Arial" w:hAnsi="Arial" w:cs="Arial"/>
          <w:color w:val="404040" w:themeColor="text1" w:themeTint="BF"/>
        </w:rPr>
        <w:lastRenderedPageBreak/>
        <w:t>Introducción</w:t>
      </w:r>
      <w:bookmarkEnd w:id="1"/>
    </w:p>
    <w:p w14:paraId="0073275E" w14:textId="77777777" w:rsidR="007E618C" w:rsidRDefault="007E618C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5CB9E184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análisis de los indicadores macroeconómicos constituye una herramienta fundamental para comprender la evolución de una economía nacional y orientar la toma de decisiones tanto en el ámbito público como en el privado. En el caso de Chile, el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Índice de Pr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ecios al Consumidor (IPC)</w:t>
      </w:r>
      <w:r>
        <w:rPr>
          <w:rFonts w:ascii="Arial" w:hAnsi="Arial" w:cs="Arial"/>
          <w:sz w:val="22"/>
          <w:szCs w:val="22"/>
        </w:rPr>
        <w:t xml:space="preserve"> elaborado por el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Instituto Nacional de Estadísticas (INE)</w:t>
      </w:r>
      <w:r>
        <w:rPr>
          <w:rFonts w:ascii="Arial" w:hAnsi="Arial" w:cs="Arial"/>
          <w:sz w:val="22"/>
          <w:szCs w:val="22"/>
        </w:rPr>
        <w:t xml:space="preserve"> permite medir la variación de los precios de bienes y servicios representativos del consumo de los hogares, reflejando la dinámica inflacionaria del país. En agosto de 2022</w:t>
      </w:r>
      <w:r>
        <w:rPr>
          <w:rFonts w:ascii="Arial" w:hAnsi="Arial" w:cs="Arial"/>
          <w:sz w:val="22"/>
          <w:szCs w:val="22"/>
        </w:rPr>
        <w:t xml:space="preserve">, el boletín estadístico N.º 286 del INE informó una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variación mensual del IPC de 1,2%</w:t>
      </w:r>
      <w:r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acumulando un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9,9% en el año</w:t>
      </w:r>
      <w:r>
        <w:rPr>
          <w:rFonts w:ascii="Arial" w:hAnsi="Arial" w:cs="Arial"/>
          <w:b/>
          <w:bCs/>
          <w:sz w:val="22"/>
          <w:szCs w:val="22"/>
        </w:rPr>
        <w:t xml:space="preserve"> y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14,1% en doce meses</w:t>
      </w:r>
      <w:r>
        <w:rPr>
          <w:rFonts w:ascii="Arial" w:hAnsi="Arial" w:cs="Arial"/>
          <w:sz w:val="22"/>
          <w:szCs w:val="22"/>
        </w:rPr>
        <w:t>, cifras que evidencian una fuerte presión inflacionaria.</w:t>
      </w:r>
    </w:p>
    <w:p w14:paraId="620D70C6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Estos resultados se producen en un contexto de recuperación </w:t>
      </w:r>
      <w:r>
        <w:rPr>
          <w:rFonts w:ascii="Arial" w:hAnsi="Arial" w:cs="Arial"/>
          <w:sz w:val="22"/>
          <w:szCs w:val="22"/>
        </w:rPr>
        <w:t>económica posterior a la pandemia del COVID-19, de incrementos internacionales en los precios de la energía y de tensiones logísticas globales. Dichos factores incidieron directamente sobre los precios internos de alimentos, transporte y vivienda, afectand</w:t>
      </w:r>
      <w:r>
        <w:rPr>
          <w:rFonts w:ascii="Arial" w:hAnsi="Arial" w:cs="Arial"/>
          <w:sz w:val="22"/>
          <w:szCs w:val="22"/>
        </w:rPr>
        <w:t>o el poder adquisitivo de los hogares y los costos operativos de las empresas. Por tanto, estudiar estos indicadores macroeconómicos no solo permite dimensionar el fenómeno inflacionario, sino también comprender cómo influye en la gestión empresarial, en l</w:t>
      </w:r>
      <w:r>
        <w:rPr>
          <w:rFonts w:ascii="Arial" w:hAnsi="Arial" w:cs="Arial"/>
          <w:sz w:val="22"/>
          <w:szCs w:val="22"/>
        </w:rPr>
        <w:t>a formulación de políticas públicas y en la estabilidad del sistema económico nacional.</w:t>
      </w:r>
    </w:p>
    <w:p w14:paraId="38AC4FD8" w14:textId="77777777" w:rsidR="007E618C" w:rsidRDefault="007E618C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57FEB3C" w14:textId="77777777" w:rsidR="007E618C" w:rsidRDefault="007E618C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7702780" w14:textId="77777777" w:rsidR="007E618C" w:rsidRDefault="007E618C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4A83704" w14:textId="77777777" w:rsidR="007E618C" w:rsidRDefault="007E618C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4533BF1" w14:textId="77777777" w:rsidR="007E618C" w:rsidRDefault="007E618C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82F5BD3" w14:textId="77777777" w:rsidR="007E618C" w:rsidRDefault="007E618C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BE28E3C" w14:textId="77777777" w:rsidR="007E618C" w:rsidRDefault="007E618C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D7772CF" w14:textId="77777777" w:rsidR="007E618C" w:rsidRDefault="007E618C">
      <w:pPr>
        <w:rPr>
          <w:rFonts w:ascii="Arial" w:eastAsiaTheme="majorEastAsia" w:hAnsi="Arial" w:cs="Arial"/>
          <w:b/>
          <w:color w:val="2E74B5" w:themeColor="accent1" w:themeShade="BF"/>
          <w:sz w:val="24"/>
          <w:szCs w:val="32"/>
        </w:rPr>
      </w:pPr>
    </w:p>
    <w:p w14:paraId="0A7C2EF7" w14:textId="77777777" w:rsidR="007E618C" w:rsidRDefault="00842831">
      <w:pPr>
        <w:pStyle w:val="Ttulo1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lastRenderedPageBreak/>
        <w:t xml:space="preserve">Análisis y causas del crecimiento </w:t>
      </w:r>
    </w:p>
    <w:p w14:paraId="5922834F" w14:textId="77777777" w:rsidR="007E618C" w:rsidRDefault="007E618C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1C1455C7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Según el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Boletín Estadístico N.º 286 del INE (2022)</w:t>
      </w:r>
      <w:r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la inflación observada en agosto de 2022 estuvo impulsada principalmente por los incrementos en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alimentos y bebidas no alcohólicas (2,0%)</w:t>
      </w:r>
      <w:r>
        <w:rPr>
          <w:rFonts w:ascii="Arial" w:hAnsi="Arial" w:cs="Arial"/>
          <w:b/>
          <w:bCs/>
          <w:sz w:val="22"/>
          <w:szCs w:val="22"/>
        </w:rPr>
        <w:t xml:space="preserve">,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transporte (1,6%)</w:t>
      </w:r>
      <w:r>
        <w:rPr>
          <w:rFonts w:ascii="Arial" w:hAnsi="Arial" w:cs="Arial"/>
          <w:sz w:val="22"/>
          <w:szCs w:val="22"/>
        </w:rPr>
        <w:t>, y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vivienda y servicios básicos (0,9%)</w:t>
      </w:r>
      <w:r>
        <w:rPr>
          <w:rFonts w:ascii="Arial" w:hAnsi="Arial" w:cs="Arial"/>
          <w:sz w:val="22"/>
          <w:szCs w:val="22"/>
        </w:rPr>
        <w:t xml:space="preserve">. Estos sectores representaron conjuntamente más del 70% de </w:t>
      </w:r>
      <w:r>
        <w:rPr>
          <w:rFonts w:ascii="Arial" w:hAnsi="Arial" w:cs="Arial"/>
          <w:sz w:val="22"/>
          <w:szCs w:val="22"/>
        </w:rPr>
        <w:t>la incidencia positiva mensual del índice.</w:t>
      </w:r>
    </w:p>
    <w:p w14:paraId="532B723B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Entre los productos más influyentes, se destacaron el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pan (3,3%)</w:t>
      </w:r>
      <w:r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la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carne de vacuno (3,6%)</w:t>
      </w:r>
      <w:r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la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carne de pollo (5,3%)</w:t>
      </w:r>
      <w:r>
        <w:rPr>
          <w:rFonts w:ascii="Arial" w:hAnsi="Arial" w:cs="Arial"/>
          <w:sz w:val="22"/>
          <w:szCs w:val="22"/>
        </w:rPr>
        <w:t xml:space="preserve"> y los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combustibles (4,6%)</w:t>
      </w:r>
      <w:r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los cuales acumularon alzas interanuales            </w:t>
      </w:r>
      <w:proofErr w:type="gramStart"/>
      <w:r>
        <w:rPr>
          <w:rFonts w:ascii="Arial" w:hAnsi="Arial" w:cs="Arial"/>
          <w:sz w:val="22"/>
          <w:szCs w:val="22"/>
        </w:rPr>
        <w:t xml:space="preserve">   (</w:t>
      </w:r>
      <w:proofErr w:type="gramEnd"/>
      <w:r>
        <w:rPr>
          <w:rFonts w:ascii="Arial" w:hAnsi="Arial" w:cs="Arial"/>
          <w:sz w:val="22"/>
          <w:szCs w:val="22"/>
        </w:rPr>
        <w:t xml:space="preserve">comparación </w:t>
      </w:r>
      <w:r>
        <w:rPr>
          <w:rFonts w:ascii="Arial" w:hAnsi="Arial" w:cs="Arial"/>
          <w:sz w:val="22"/>
          <w:szCs w:val="22"/>
        </w:rPr>
        <w:t xml:space="preserve">de cantidad de un año a otro) de hasta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44,1%</w:t>
      </w:r>
      <w:r>
        <w:rPr>
          <w:rFonts w:ascii="Arial" w:hAnsi="Arial" w:cs="Arial"/>
          <w:b/>
          <w:bCs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Estos aumentos reflejan los efectos de choques externos, como la guerra en Ucrania y el alza en los precios internacionales del petróleo y los granos, así como la depreciación del peso chileno durante ese perio</w:t>
      </w:r>
      <w:r>
        <w:rPr>
          <w:rFonts w:ascii="Arial" w:hAnsi="Arial" w:cs="Arial"/>
          <w:sz w:val="22"/>
          <w:szCs w:val="22"/>
        </w:rPr>
        <w:t>do.</w:t>
      </w:r>
    </w:p>
    <w:p w14:paraId="44CA3174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Desde una perspectiva macroeconómica, la inflación de dos dígitos observada durante 2022 generó presiones significativas sobre la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política monetaria</w:t>
      </w:r>
      <w:r>
        <w:rPr>
          <w:rFonts w:ascii="Arial" w:hAnsi="Arial" w:cs="Arial"/>
          <w:sz w:val="22"/>
          <w:szCs w:val="22"/>
        </w:rPr>
        <w:t xml:space="preserve"> del Banco Central, que respondió elevando la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Tasa de Política Monetaria (TPM)</w:t>
      </w:r>
      <w:r>
        <w:rPr>
          <w:rFonts w:ascii="Arial" w:hAnsi="Arial" w:cs="Arial"/>
          <w:sz w:val="22"/>
          <w:szCs w:val="22"/>
        </w:rPr>
        <w:t xml:space="preserve"> a niveles superiores al 9</w:t>
      </w:r>
      <w:r>
        <w:rPr>
          <w:rFonts w:ascii="Arial" w:hAnsi="Arial" w:cs="Arial"/>
          <w:sz w:val="22"/>
          <w:szCs w:val="22"/>
        </w:rPr>
        <w:t>%, buscando contener el consumo y estabilizar los precios.</w:t>
      </w:r>
    </w:p>
    <w:p w14:paraId="1BD7F7D3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nivel microeconómico, las empresas enfrentaron un aumento en los costos de producción y transporte, lo que obligó a reajustar precios, renegociar contratos y priorizar la eficiencia operativa. Lo</w:t>
      </w:r>
      <w:r>
        <w:rPr>
          <w:rFonts w:ascii="Arial" w:hAnsi="Arial" w:cs="Arial"/>
          <w:sz w:val="22"/>
          <w:szCs w:val="22"/>
        </w:rPr>
        <w:t>s sectores más afectados fueron los ligados al consumo masivo, transporte y alimentos, donde la demanda se mostró más sensible a las variaciones de precios.</w:t>
      </w:r>
    </w:p>
    <w:p w14:paraId="474B1479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cuanto al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Producto Interno Bruto (PIB)</w:t>
      </w:r>
      <w:r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durante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2021 Chile experimentó un crecimiento del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11,7%</w:t>
      </w:r>
      <w:r>
        <w:rPr>
          <w:rFonts w:ascii="Arial" w:hAnsi="Arial" w:cs="Arial"/>
          <w:sz w:val="22"/>
          <w:szCs w:val="22"/>
        </w:rPr>
        <w:t xml:space="preserve"> (Banco Central de Chile, 2022), el mayor en casi tres décadas, impulsado por la reactivación tras la pandemia, el consumo de los hogares estimulado por los retiros de fondos previsionales y ayudas estatales, y la expansión del gasto fiscal. Sin embar</w:t>
      </w:r>
      <w:r>
        <w:rPr>
          <w:rFonts w:ascii="Arial" w:hAnsi="Arial" w:cs="Arial"/>
          <w:sz w:val="22"/>
          <w:szCs w:val="22"/>
        </w:rPr>
        <w:t>go, este fuerte crecimiento generó presiones inflacionarias que se manifestaron plenamente en 2022.</w:t>
      </w:r>
    </w:p>
    <w:p w14:paraId="265D2FFD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expansión del PIB también incidió en el incremento de la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recaudación fiscal</w:t>
      </w:r>
      <w:r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lo que permitió al Estado fortalecer políticas sociales y subsidios, tales c</w:t>
      </w:r>
      <w:r>
        <w:rPr>
          <w:rFonts w:ascii="Arial" w:hAnsi="Arial" w:cs="Arial"/>
          <w:sz w:val="22"/>
          <w:szCs w:val="22"/>
        </w:rPr>
        <w:t xml:space="preserve">omo el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Ingreso Familiar de Emergencia (IFE)</w:t>
      </w:r>
      <w:r>
        <w:rPr>
          <w:rFonts w:ascii="Arial" w:hAnsi="Arial" w:cs="Arial"/>
          <w:sz w:val="22"/>
          <w:szCs w:val="22"/>
        </w:rPr>
        <w:t xml:space="preserve"> y otros beneficios de apoyo económico. No obstante, el aumento del gasto público y del consumo privado provocó desequilibrios macroeconómicos que exigieron posteriormente políticas de ajuste y control monetario.</w:t>
      </w:r>
      <w:r>
        <w:rPr>
          <w:rFonts w:ascii="Arial" w:hAnsi="Arial" w:cs="Arial"/>
          <w:color w:val="575757"/>
          <w:szCs w:val="20"/>
        </w:rPr>
        <w:br w:type="page"/>
      </w:r>
    </w:p>
    <w:p w14:paraId="6006C211" w14:textId="77777777" w:rsidR="007E618C" w:rsidRDefault="00842831">
      <w:pPr>
        <w:pStyle w:val="Ttulo1"/>
        <w:rPr>
          <w:rFonts w:ascii="Arial" w:hAnsi="Arial" w:cs="Arial"/>
          <w:color w:val="404040" w:themeColor="text1" w:themeTint="BF"/>
        </w:rPr>
      </w:pPr>
      <w:bookmarkStart w:id="2" w:name="_Toc46485955"/>
      <w:r>
        <w:rPr>
          <w:rFonts w:ascii="Arial" w:hAnsi="Arial" w:cs="Arial"/>
          <w:color w:val="404040" w:themeColor="text1" w:themeTint="BF"/>
        </w:rPr>
        <w:lastRenderedPageBreak/>
        <w:t>Conclusión</w:t>
      </w:r>
      <w:bookmarkEnd w:id="2"/>
    </w:p>
    <w:p w14:paraId="7E4FF91D" w14:textId="77777777" w:rsidR="007E618C" w:rsidRDefault="007E618C">
      <w:pPr>
        <w:spacing w:line="360" w:lineRule="auto"/>
        <w:rPr>
          <w:rFonts w:ascii="Arial" w:hAnsi="Arial" w:cs="Arial"/>
          <w:color w:val="575757"/>
          <w:sz w:val="24"/>
          <w:szCs w:val="20"/>
        </w:rPr>
      </w:pPr>
    </w:p>
    <w:p w14:paraId="5D14BFCD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análisis de los indicadores macroeconómicos correspondientes a agosto de 2022 revela un escenario inflacionario complejo, donde la variación mensual del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IPC (1,2%)</w:t>
      </w:r>
      <w:r>
        <w:rPr>
          <w:rFonts w:ascii="Arial" w:hAnsi="Arial" w:cs="Arial"/>
          <w:sz w:val="22"/>
          <w:szCs w:val="22"/>
        </w:rPr>
        <w:t xml:space="preserve"> y el aumento acumulado anual de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9,9%</w:t>
      </w:r>
      <w:r>
        <w:rPr>
          <w:rFonts w:ascii="Arial" w:hAnsi="Arial" w:cs="Arial"/>
          <w:sz w:val="22"/>
          <w:szCs w:val="22"/>
        </w:rPr>
        <w:t xml:space="preserve"> reflejan presiones sostenidas sobre los</w:t>
      </w:r>
      <w:r>
        <w:rPr>
          <w:rFonts w:ascii="Arial" w:hAnsi="Arial" w:cs="Arial"/>
          <w:sz w:val="22"/>
          <w:szCs w:val="22"/>
        </w:rPr>
        <w:t xml:space="preserve"> precios de bienes esenciales. Este fenómeno no solo afectó la economía de los hogares chilenos, reduciendo su poder adquisitivo, sino que también impactó de manera directa la planificación financiera y productiva de las empresas.</w:t>
      </w:r>
    </w:p>
    <w:p w14:paraId="000EF577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inflación observada du</w:t>
      </w:r>
      <w:r>
        <w:rPr>
          <w:rFonts w:ascii="Arial" w:hAnsi="Arial" w:cs="Arial"/>
          <w:sz w:val="22"/>
          <w:szCs w:val="22"/>
        </w:rPr>
        <w:t>rante este período responde a una combinación de factores externos —como el encarecimiento del petróleo y los alimentos a nivel mundial— y factores internos —como la expansión del gasto público y el elevado consumo posterior a la pandemia—. Así, los indica</w:t>
      </w:r>
      <w:r>
        <w:rPr>
          <w:rFonts w:ascii="Arial" w:hAnsi="Arial" w:cs="Arial"/>
          <w:sz w:val="22"/>
          <w:szCs w:val="22"/>
        </w:rPr>
        <w:t>dores macroeconómicos permiten comprender la interdependencia entre la política fiscal, monetaria y comercial, destacando la necesidad de mantener equilibrios sostenibles entre crecimiento y estabilidad de precios.</w:t>
      </w:r>
    </w:p>
    <w:p w14:paraId="58EB8F79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Por otra parte, el crecimiento del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PIB en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2021</w:t>
      </w:r>
      <w:r>
        <w:rPr>
          <w:rFonts w:ascii="Arial" w:hAnsi="Arial" w:cs="Arial"/>
          <w:sz w:val="22"/>
          <w:szCs w:val="22"/>
        </w:rPr>
        <w:t xml:space="preserve"> representó una fase de recuperación económica impulsada por políticas estatales de apoyo y la reapertura de sectores productivos. Sin embargo, sus efectos posteriores —reflejados en el alza inflacionaria de 2022— evidencian la importancia de implemen</w:t>
      </w:r>
      <w:r>
        <w:rPr>
          <w:rFonts w:ascii="Arial" w:hAnsi="Arial" w:cs="Arial"/>
          <w:sz w:val="22"/>
          <w:szCs w:val="22"/>
        </w:rPr>
        <w:t>tar estrategias de desarrollo económico basadas en la productividad y la eficiencia, más que en el consumo excesivo.</w:t>
      </w:r>
    </w:p>
    <w:p w14:paraId="5FEC0C78" w14:textId="77777777" w:rsidR="007E618C" w:rsidRDefault="0084283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definitiva, la interpretación de estos indicadores macroeconómicos no solo permite evaluar el desempeño de la economía chilena, sino tam</w:t>
      </w:r>
      <w:r>
        <w:rPr>
          <w:rFonts w:ascii="Arial" w:hAnsi="Arial" w:cs="Arial"/>
          <w:sz w:val="22"/>
          <w:szCs w:val="22"/>
        </w:rPr>
        <w:t>bién anticipar sus efectos sobre la gestión empresarial y la calidad de vida de la población. Un monitoreo constante de variables como el IPC, el PIB y la TPM resulta esencial para promover decisiones informadas en un entorno económico cada vez más volátil</w:t>
      </w:r>
      <w:r>
        <w:rPr>
          <w:rFonts w:ascii="Arial" w:hAnsi="Arial" w:cs="Arial"/>
          <w:sz w:val="22"/>
          <w:szCs w:val="22"/>
        </w:rPr>
        <w:t>.</w:t>
      </w:r>
    </w:p>
    <w:p w14:paraId="7DA73434" w14:textId="77777777" w:rsidR="007E618C" w:rsidRDefault="00842831">
      <w:pPr>
        <w:rPr>
          <w:rFonts w:ascii="Arial" w:hAnsi="Arial" w:cs="Arial"/>
          <w:color w:val="575757"/>
          <w:sz w:val="24"/>
          <w:szCs w:val="20"/>
        </w:rPr>
      </w:pPr>
      <w:r>
        <w:rPr>
          <w:rFonts w:ascii="Arial" w:hAnsi="Arial" w:cs="Arial"/>
          <w:color w:val="575757"/>
          <w:sz w:val="24"/>
          <w:szCs w:val="20"/>
        </w:rPr>
        <w:br w:type="page"/>
      </w:r>
    </w:p>
    <w:p w14:paraId="128A9C37" w14:textId="35ECE490" w:rsidR="007E618C" w:rsidRDefault="00842831">
      <w:pPr>
        <w:pStyle w:val="Ttulo1"/>
        <w:rPr>
          <w:rFonts w:ascii="Arial" w:hAnsi="Arial" w:cs="Arial"/>
          <w:color w:val="404040" w:themeColor="text1" w:themeTint="BF"/>
        </w:rPr>
      </w:pPr>
      <w:bookmarkStart w:id="3" w:name="_Toc46485956"/>
      <w:r>
        <w:rPr>
          <w:rFonts w:ascii="Arial" w:hAnsi="Arial" w:cs="Arial"/>
          <w:color w:val="404040" w:themeColor="text1" w:themeTint="BF"/>
        </w:rPr>
        <w:lastRenderedPageBreak/>
        <w:t>Bibliografía</w:t>
      </w:r>
      <w:bookmarkEnd w:id="3"/>
    </w:p>
    <w:p w14:paraId="5993011B" w14:textId="77777777" w:rsidR="00D57DDB" w:rsidRDefault="00D57DDB" w:rsidP="00D57DDB">
      <w:sdt>
        <w:sdtPr>
          <w:id w:val="-190777060"/>
          <w:citation/>
        </w:sdtPr>
        <w:sdtContent>
          <w:r>
            <w:fldChar w:fldCharType="begin"/>
          </w:r>
          <w:r>
            <w:rPr>
              <w:lang w:val="es-MX"/>
            </w:rPr>
            <w:instrText xml:space="preserve"> CITATION Inf221 \l 2058 </w:instrText>
          </w:r>
          <w:r>
            <w:fldChar w:fldCharType="separate"/>
          </w:r>
          <w:r w:rsidRPr="00D57DDB">
            <w:rPr>
              <w:noProof/>
              <w:lang w:val="es-MX"/>
            </w:rPr>
            <w:t>(Informe de Politicas Monetarias (IPoM), 2022)</w:t>
          </w:r>
          <w:r>
            <w:fldChar w:fldCharType="end"/>
          </w:r>
        </w:sdtContent>
      </w:sdt>
      <w:r>
        <w:t xml:space="preserve"> </w:t>
      </w:r>
    </w:p>
    <w:p w14:paraId="5CD77922" w14:textId="3D894C95" w:rsidR="00D57DDB" w:rsidRDefault="00D57DDB" w:rsidP="00532939">
      <w:pPr>
        <w:pStyle w:val="Bibliografa"/>
        <w:tabs>
          <w:tab w:val="left" w:pos="7950"/>
        </w:tabs>
        <w:ind w:left="720" w:hanging="720"/>
        <w:rPr>
          <w:noProof/>
        </w:rPr>
      </w:pPr>
      <w:r>
        <w:fldChar w:fldCharType="begin"/>
      </w:r>
      <w:r>
        <w:rPr>
          <w:lang w:val="es-MX"/>
        </w:rPr>
        <w:instrText xml:space="preserve"> BIBLIOGRAPHY  \l 2058 </w:instrText>
      </w:r>
      <w:r>
        <w:fldChar w:fldCharType="separate"/>
      </w:r>
      <w:r>
        <w:rPr>
          <w:noProof/>
        </w:rPr>
        <w:t>(diciembre de 2022). Obtenido de banco central de chile: https://www.bcentral.cl</w:t>
      </w:r>
      <w:r w:rsidR="00532939">
        <w:rPr>
          <w:noProof/>
        </w:rPr>
        <w:t xml:space="preserve">/ </w:t>
      </w:r>
    </w:p>
    <w:p w14:paraId="574BC3E6" w14:textId="77777777" w:rsidR="00FF197B" w:rsidRPr="00FF197B" w:rsidRDefault="00FF197B" w:rsidP="00FF197B"/>
    <w:p w14:paraId="5B1342C8" w14:textId="2FB31AC6" w:rsidR="00FF197B" w:rsidRPr="00FF197B" w:rsidRDefault="00D57DDB" w:rsidP="00FF197B">
      <w:r>
        <w:fldChar w:fldCharType="end"/>
      </w:r>
      <w:sdt>
        <w:sdtPr>
          <w:id w:val="1295414819"/>
          <w:citation/>
        </w:sdtPr>
        <w:sdtContent>
          <w:r w:rsidR="00532939">
            <w:fldChar w:fldCharType="begin"/>
          </w:r>
          <w:r w:rsidR="00532939">
            <w:rPr>
              <w:lang w:val="es-MX"/>
            </w:rPr>
            <w:instrText xml:space="preserve"> CITATION Ins22 \l 2058 </w:instrText>
          </w:r>
          <w:r w:rsidR="00532939">
            <w:fldChar w:fldCharType="separate"/>
          </w:r>
          <w:r w:rsidR="00532939">
            <w:rPr>
              <w:noProof/>
              <w:lang w:val="es-MX"/>
            </w:rPr>
            <w:t xml:space="preserve"> </w:t>
          </w:r>
          <w:r w:rsidR="00532939" w:rsidRPr="00532939">
            <w:rPr>
              <w:noProof/>
              <w:lang w:val="es-MX"/>
            </w:rPr>
            <w:t>(Instituto Nacional de Estadisticas (INE) Boletin estadistico N° 286 - indice de precios del consumidor, 2022)</w:t>
          </w:r>
          <w:r w:rsidR="00532939">
            <w:fldChar w:fldCharType="end"/>
          </w:r>
        </w:sdtContent>
      </w:sdt>
      <w:r w:rsidR="00532939">
        <w:t xml:space="preserve"> </w:t>
      </w:r>
      <w:r w:rsidR="00FF197B">
        <w:fldChar w:fldCharType="begin"/>
      </w:r>
      <w:r w:rsidR="00FF197B">
        <w:rPr>
          <w:lang w:val="es-MX"/>
        </w:rPr>
        <w:instrText xml:space="preserve"> BIBLIOGRAPHY  \l 2058 </w:instrText>
      </w:r>
      <w:r w:rsidR="00FF197B">
        <w:fldChar w:fldCharType="separate"/>
      </w:r>
    </w:p>
    <w:p w14:paraId="0CF5D7AA" w14:textId="5AA26F77" w:rsidR="00FF197B" w:rsidRDefault="00FF197B" w:rsidP="00FF197B">
      <w:pPr>
        <w:pStyle w:val="Bibliografa"/>
        <w:rPr>
          <w:noProof/>
        </w:rPr>
      </w:pPr>
      <w:r>
        <w:rPr>
          <w:noProof/>
        </w:rPr>
        <w:t>(agosto de 2022). Obtenido de Instituto Nacional de Estadisticas (INE) Boletin estadistico N° 286 - indice de precios del consumidor: https://www.ine.gob.cl/</w:t>
      </w:r>
    </w:p>
    <w:p w14:paraId="3BF83882" w14:textId="3BBC2FFA" w:rsidR="007E618C" w:rsidRDefault="00FF197B" w:rsidP="00FF197B">
      <w:r>
        <w:fldChar w:fldCharType="end"/>
      </w:r>
      <w:r w:rsidR="00842831">
        <w:t>M</w:t>
      </w:r>
      <w:r w:rsidR="00842831">
        <w:t>inisterio de Hacienda de Chile. (2022). *Reporte de Finanzas Públicas, Segundo Trimestre 2022*. Santiago, Chile: Ministerio de Hacienda.</w:t>
      </w:r>
    </w:p>
    <w:p w14:paraId="3C9CA92B" w14:textId="2D0FC40D" w:rsidR="007E618C" w:rsidRDefault="00842831">
      <w:pPr>
        <w:spacing w:after="240"/>
        <w:ind w:left="720" w:hanging="720"/>
        <w:jc w:val="both"/>
      </w:pPr>
      <w:r>
        <w:t>Organización para la Cooperación y el Desarrollo Económicos (OCDE). (2022). *</w:t>
      </w:r>
      <w:proofErr w:type="spellStart"/>
      <w:r>
        <w:t>Ec</w:t>
      </w:r>
      <w:r>
        <w:t>onomic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Chile</w:t>
      </w:r>
      <w:r w:rsidR="00FF197B">
        <w:t xml:space="preserve"> </w:t>
      </w:r>
      <w:r>
        <w:t>2022*. París, Francia: OECD Publishing.</w:t>
      </w:r>
    </w:p>
    <w:p w14:paraId="6112BD92" w14:textId="5D525CBA" w:rsidR="007E618C" w:rsidRDefault="007E618C"/>
    <w:sectPr w:rsidR="007E618C">
      <w:footerReference w:type="even" r:id="rId9"/>
      <w:footerReference w:type="default" r:id="rId10"/>
      <w:pgSz w:w="12240" w:h="15840"/>
      <w:pgMar w:top="1134" w:right="1467" w:bottom="1276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2C122" w14:textId="77777777" w:rsidR="00842831" w:rsidRDefault="00842831">
      <w:pPr>
        <w:spacing w:line="240" w:lineRule="auto"/>
      </w:pPr>
      <w:r>
        <w:separator/>
      </w:r>
    </w:p>
  </w:endnote>
  <w:endnote w:type="continuationSeparator" w:id="0">
    <w:p w14:paraId="22FC12DA" w14:textId="77777777" w:rsidR="00842831" w:rsidRDefault="008428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00000001" w:usb1="080E0000" w:usb2="00000010" w:usb3="00000000" w:csb0="00040000" w:csb1="00000000"/>
  </w:font>
  <w:font w:name="Futura Md BT">
    <w:altName w:val="Century Gothic"/>
    <w:charset w:val="B1"/>
    <w:family w:val="swiss"/>
    <w:pitch w:val="default"/>
    <w:sig w:usb0="00000000" w:usb1="00000000" w:usb2="00000000" w:usb3="00000000" w:csb0="000001FB" w:csb1="00000000"/>
  </w:font>
  <w:font w:name="Futura">
    <w:altName w:val="Century Gothic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60228304"/>
      <w:docPartObj>
        <w:docPartGallery w:val="AutoText"/>
      </w:docPartObj>
    </w:sdtPr>
    <w:sdtEndPr>
      <w:rPr>
        <w:rStyle w:val="Nmerodepgina"/>
      </w:rPr>
    </w:sdtEndPr>
    <w:sdtContent>
      <w:p w14:paraId="6FA2CA61" w14:textId="77777777" w:rsidR="007E618C" w:rsidRDefault="00842831">
        <w:pPr>
          <w:pStyle w:val="Piedepgina"/>
          <w:framePr w:wrap="auto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33AD3B0" w14:textId="77777777" w:rsidR="007E618C" w:rsidRDefault="007E618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940726269"/>
      <w:docPartObj>
        <w:docPartGallery w:val="AutoText"/>
      </w:docPartObj>
    </w:sdtPr>
    <w:sdtEndPr>
      <w:rPr>
        <w:rStyle w:val="Nmerodepgina"/>
      </w:rPr>
    </w:sdtEndPr>
    <w:sdtContent>
      <w:p w14:paraId="000D7600" w14:textId="77777777" w:rsidR="007E618C" w:rsidRDefault="00842831">
        <w:pPr>
          <w:pStyle w:val="Piedepgina"/>
          <w:framePr w:wrap="auto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t>2</w:t>
        </w:r>
        <w:r>
          <w:rPr>
            <w:rStyle w:val="Nmerodepgina"/>
          </w:rPr>
          <w:fldChar w:fldCharType="end"/>
        </w:r>
      </w:p>
    </w:sdtContent>
  </w:sdt>
  <w:p w14:paraId="1F74A050" w14:textId="77777777" w:rsidR="007E618C" w:rsidRDefault="007E618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750CE" w14:textId="77777777" w:rsidR="00842831" w:rsidRDefault="00842831">
      <w:pPr>
        <w:spacing w:after="0"/>
      </w:pPr>
      <w:r>
        <w:separator/>
      </w:r>
    </w:p>
  </w:footnote>
  <w:footnote w:type="continuationSeparator" w:id="0">
    <w:p w14:paraId="72C9ADF6" w14:textId="77777777" w:rsidR="00842831" w:rsidRDefault="008428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212"/>
    <w:rsid w:val="000227A3"/>
    <w:rsid w:val="0007020B"/>
    <w:rsid w:val="000D2EC7"/>
    <w:rsid w:val="000F7D12"/>
    <w:rsid w:val="00131753"/>
    <w:rsid w:val="001605F8"/>
    <w:rsid w:val="001926D0"/>
    <w:rsid w:val="00203C3A"/>
    <w:rsid w:val="00222D85"/>
    <w:rsid w:val="0028109E"/>
    <w:rsid w:val="00341B40"/>
    <w:rsid w:val="003A5300"/>
    <w:rsid w:val="003B431E"/>
    <w:rsid w:val="003B4EAF"/>
    <w:rsid w:val="003E5D7E"/>
    <w:rsid w:val="00532939"/>
    <w:rsid w:val="00540A6A"/>
    <w:rsid w:val="005555BA"/>
    <w:rsid w:val="00625E19"/>
    <w:rsid w:val="00735212"/>
    <w:rsid w:val="007E618C"/>
    <w:rsid w:val="008224BC"/>
    <w:rsid w:val="008338A6"/>
    <w:rsid w:val="00842831"/>
    <w:rsid w:val="00890136"/>
    <w:rsid w:val="008C109C"/>
    <w:rsid w:val="00926BED"/>
    <w:rsid w:val="009A6883"/>
    <w:rsid w:val="009B0A7B"/>
    <w:rsid w:val="009E7133"/>
    <w:rsid w:val="00AA4473"/>
    <w:rsid w:val="00B221D9"/>
    <w:rsid w:val="00B87B8A"/>
    <w:rsid w:val="00BB5CC4"/>
    <w:rsid w:val="00BE75B5"/>
    <w:rsid w:val="00C06D15"/>
    <w:rsid w:val="00C2085D"/>
    <w:rsid w:val="00C679C9"/>
    <w:rsid w:val="00CB7DAB"/>
    <w:rsid w:val="00D57DDB"/>
    <w:rsid w:val="00DC7594"/>
    <w:rsid w:val="00DF40D6"/>
    <w:rsid w:val="00E06142"/>
    <w:rsid w:val="00EC68A8"/>
    <w:rsid w:val="00ED10F5"/>
    <w:rsid w:val="00EF5895"/>
    <w:rsid w:val="00F444BB"/>
    <w:rsid w:val="00F6249A"/>
    <w:rsid w:val="00F74EFC"/>
    <w:rsid w:val="00FB619F"/>
    <w:rsid w:val="00FC2CA8"/>
    <w:rsid w:val="00FF197B"/>
    <w:rsid w:val="0FDF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E2D542"/>
  <w15:docId w15:val="{E9E4BE80-A19F-4882-B94D-63582327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CL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qFormat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DC3">
    <w:name w:val="toc 3"/>
    <w:basedOn w:val="Normal"/>
    <w:next w:val="Normal"/>
    <w:autoRedefine/>
    <w:uiPriority w:val="39"/>
    <w:semiHidden/>
    <w:unhideWhenUsed/>
    <w:qFormat/>
    <w:pPr>
      <w:spacing w:after="0"/>
      <w:ind w:left="4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pPr>
      <w:spacing w:after="0"/>
      <w:ind w:left="176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qFormat/>
    <w:pPr>
      <w:spacing w:after="0"/>
      <w:ind w:left="1320"/>
    </w:pPr>
    <w:rPr>
      <w:rFonts w:cstheme="minorHAns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qFormat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8">
    <w:name w:val="toc 8"/>
    <w:basedOn w:val="Normal"/>
    <w:next w:val="Normal"/>
    <w:autoRedefine/>
    <w:uiPriority w:val="39"/>
    <w:semiHidden/>
    <w:unhideWhenUsed/>
    <w:qFormat/>
    <w:pPr>
      <w:spacing w:after="0"/>
      <w:ind w:left="1540"/>
    </w:pPr>
    <w:rPr>
      <w:rFonts w:cstheme="minorHAnsi"/>
      <w:sz w:val="20"/>
      <w:szCs w:val="20"/>
    </w:rPr>
  </w:style>
  <w:style w:type="paragraph" w:styleId="TDC2">
    <w:name w:val="toc 2"/>
    <w:basedOn w:val="Normal"/>
    <w:next w:val="Normal"/>
    <w:autoRedefine/>
    <w:uiPriority w:val="39"/>
    <w:semiHidden/>
    <w:unhideWhenUsed/>
    <w:qFormat/>
    <w:pPr>
      <w:spacing w:before="120" w:after="0"/>
      <w:ind w:left="220"/>
    </w:pPr>
    <w:rPr>
      <w:rFonts w:cstheme="minorHAnsi"/>
      <w:b/>
      <w:bCs/>
    </w:rPr>
  </w:style>
  <w:style w:type="paragraph" w:styleId="TDC6">
    <w:name w:val="toc 6"/>
    <w:basedOn w:val="Normal"/>
    <w:next w:val="Normal"/>
    <w:autoRedefine/>
    <w:uiPriority w:val="39"/>
    <w:semiHidden/>
    <w:unhideWhenUsed/>
    <w:qFormat/>
    <w:pPr>
      <w:spacing w:after="0"/>
      <w:ind w:left="110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pPr>
      <w:spacing w:after="0"/>
      <w:ind w:left="88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pPr>
      <w:spacing w:after="0"/>
      <w:ind w:left="660"/>
    </w:pPr>
    <w:rPr>
      <w:rFonts w:cs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IDAD">
    <w:name w:val="UNIDAD"/>
    <w:basedOn w:val="Fuentedeprrafopredeter"/>
    <w:uiPriority w:val="1"/>
    <w:rPr>
      <w:rFonts w:ascii="Futura Md BT" w:hAnsi="Futura Md BT"/>
      <w:color w:val="000050"/>
      <w:sz w:val="40"/>
    </w:rPr>
  </w:style>
  <w:style w:type="character" w:customStyle="1" w:styleId="Estilo2">
    <w:name w:val="Estilo2"/>
    <w:basedOn w:val="Fuentedeprrafopredeter"/>
    <w:uiPriority w:val="1"/>
    <w:qFormat/>
    <w:rPr>
      <w:rFonts w:ascii="Futura Md BT" w:hAnsi="Futura Md BT"/>
      <w:color w:val="00005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203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Inf221</b:Tag>
    <b:SourceType>InternetSite</b:SourceType>
    <b:Guid>{B61EADD6-5334-4324-80BD-5F29686AF812}</b:Guid>
    <b:InternetSiteTitle>Informe de Politicas Monetarias (IPoM)</b:InternetSiteTitle>
    <b:Year>2022</b:Year>
    <b:Month>diciembre</b:Month>
    <b:URL>https://www.bcentral.cl/inicio</b:URL>
    <b:RefOrder>1</b:RefOrder>
  </b:Source>
  <b:Source>
    <b:Tag>Ins22</b:Tag>
    <b:SourceType>InternetSite</b:SourceType>
    <b:Guid>{068C82A5-6C2F-4D6A-A7EF-1D137DDF22AA}</b:Guid>
    <b:InternetSiteTitle>Instituto Nacional de Estadisticas (INE) Boletin estadistico N° 286 - indice de precios del consumidor</b:InternetSiteTitle>
    <b:Year>2022</b:Year>
    <b:Month>agosto</b:Month>
    <b:URL>https://www.ine.gob.cl/</b:URL>
    <b:RefOrder>2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F06F4E-5792-4999-BD6C-075A7F145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1039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Depto. Informatica</cp:lastModifiedBy>
  <cp:revision>5</cp:revision>
  <dcterms:created xsi:type="dcterms:W3CDTF">2025-10-25T12:33:00Z</dcterms:created>
  <dcterms:modified xsi:type="dcterms:W3CDTF">2025-10-25T14:28:00Z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57948755F5FD49249F5A28BEBBB10022_13</vt:lpwstr>
  </property>
</Properties>
</file>