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 de avance TFG: Fases 0, 1 y 2</w:t>
      </w:r>
    </w:p>
    <w:p>
      <w:pPr>
        <w:jc w:val="center"/>
      </w:pPr>
      <w:r>
        <w:rPr>
          <w:i/>
        </w:rPr>
        <w:t>Revisión de setup, experimentos con seeds y data_fraction</w:t>
      </w:r>
    </w:p>
    <w:p/>
    <w:p>
      <w:r>
        <w:t>Este documento resume lo realizado hasta ahora en el proyecto, revisa si los informes existentes son coherentes con los resultados guardados y propone una lectura clara para explicar las fases 0, 1 y 2.</w:t>
      </w:r>
    </w:p>
    <w:p>
      <w:pPr>
        <w:pStyle w:val="Heading1"/>
      </w:pPr>
      <w:r>
        <w:t>1. Valoración rápida</w:t>
      </w:r>
    </w:p>
    <w:p>
      <w:pPr>
        <w:pStyle w:val="ListBullet"/>
      </w:pPr>
      <w:r>
        <w:t>Sí: el trabajo realizado hasta ahora está bien estructurado como avance incremental del TFG.</w:t>
      </w:r>
    </w:p>
    <w:p>
      <w:pPr>
        <w:pStyle w:val="ListBullet"/>
      </w:pPr>
      <w:r>
        <w:t>La Fase 0 valida el pipeline completo: entorno, modelos, métricas, generación de resultados y ejecución con GPU/CUDA.</w:t>
      </w:r>
    </w:p>
    <w:p>
      <w:pPr>
        <w:pStyle w:val="ListBullet"/>
      </w:pPr>
      <w:r>
        <w:t>La Fase 1 responde bien a la duda metodológica sobre la influencia de la seed: FullGNN mejora de media a MLP y TinyGNN, aunque hay variabilidad entre ejecuciones.</w:t>
      </w:r>
    </w:p>
    <w:p>
      <w:pPr>
        <w:pStyle w:val="ListBullet"/>
      </w:pPr>
      <w:r>
        <w:t>La Fase 2 está correctamente planteada para medir sensibilidad a la cantidad de datos de entrenamiento mediante data_fraction y varias seeds.</w:t>
      </w:r>
    </w:p>
    <w:p>
      <w:pPr>
        <w:pStyle w:val="ListBullet"/>
      </w:pPr>
      <w:r>
        <w:t>Cautela importante: TinyGNN + PINN no muestra mejora clara frente a TinyGNN en estos resultados, por lo que no conviene presentarlo todavía como una ventaja demostrada.</w:t>
      </w:r>
    </w:p>
    <w:p>
      <w:pPr>
        <w:pStyle w:val="ListBullet"/>
      </w:pPr>
      <w:r>
        <w:t>Otra cautela: la degradación al reducir data_fraction es menor de lo esperado; esto no invalida el experimento, pero sugiere que el problema de calor usado es relativamente suave/simple.</w:t>
      </w:r>
    </w:p>
    <w:p>
      <w:pPr>
        <w:pStyle w:val="Heading1"/>
      </w:pPr>
      <w:r>
        <w:t>2. Revisión de los informes existentes</w:t>
      </w:r>
    </w:p>
    <w:p>
      <w:r>
        <w:t>En la carpeta INFORMES hay informes/Excels para ejecuciones iniciales, fase 1 preliminar, seeds 40-50 y data_fraction en GPU. En general son coherentes con lo esperado: separan configuración, resultados y explicación.</w:t>
      </w:r>
    </w:p>
    <w:p>
      <w:pPr>
        <w:pStyle w:val="ListBullet"/>
      </w:pPr>
      <w:r>
        <w:t>informe_ejecuciones_tfg.xlsx funciona bien como Fase 0 / preparación: compara configuraciones iniciales y deja claro que algunos campos como data_fraction/noise_level estaban registrados pero no eran todavía el foco real.</w:t>
      </w:r>
    </w:p>
    <w:p>
      <w:pPr>
        <w:pStyle w:val="ListBullet"/>
      </w:pPr>
      <w:r>
        <w:t>informe_fase1_preliminar.xlsx sirve como puente: prueba rápida de modelos y tamaños antes del barrido serio de seeds.</w:t>
      </w:r>
    </w:p>
    <w:p>
      <w:pPr>
        <w:pStyle w:val="ListBullet"/>
      </w:pPr>
      <w:r>
        <w:t>informe_seeds_40_50.xlsx es la pieza fuerte de Fase 1: contiene 11 seeds y permite hablar de robustez, medias y desviación.</w:t>
      </w:r>
    </w:p>
    <w:p>
      <w:pPr>
        <w:pStyle w:val="ListBullet"/>
      </w:pPr>
      <w:r>
        <w:t>informe_data_fraction_gpu.xlsx e informe_data_fraction_resumen.docx son coherentes con Fase 2 y ya contienen conclusiones prudentes sobre FullGNN, MLP, TinyGNN y PINN.</w:t>
      </w:r>
    </w:p>
    <w:p>
      <w:pPr>
        <w:pStyle w:val="ListBullet"/>
      </w:pPr>
      <w:r>
        <w:t>Pequeña mejora recomendada: al explicar la Fase 1, usar principalmente seeds_40_50 y no quedarse solo con la fase preliminar de 20 epochs.</w:t>
      </w:r>
    </w:p>
    <w:p>
      <w:pPr>
        <w:pStyle w:val="Heading1"/>
      </w:pPr>
      <w:r>
        <w:t>3. Fase 0 - Preparación del setup y smoke test</w:t>
      </w:r>
    </w:p>
    <w:p>
      <w:r>
        <w:t>Objetivo: comprobar que el proyecto funciona de extremo a extremo antes de extraer conclusiones experimentales: carga de datos, construcción del grafo, entrenamiento, evaluación, guardado de métricas y generación de gráficas. También se verificó la ejecución CUDA/GPU en el portátil.</w:t>
      </w:r>
    </w:p>
    <w:p>
      <w:r>
        <w:t>Resultado: el pipeline funciona y produce métricas comparables entre MLP, FullGNN, TinyGNN y TinyGNN+PINN. Esta fase no debe venderse como experimento definitivo, sino como validación técnica del entorno.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Modelo</w:t>
            </w:r>
          </w:p>
        </w:tc>
        <w:tc>
          <w:tcPr>
            <w:tcW w:type="dxa" w:w="1440"/>
          </w:tcPr>
          <w:p>
            <w:r>
              <w:t>Test MSE</w:t>
            </w:r>
          </w:p>
        </w:tc>
        <w:tc>
          <w:tcPr>
            <w:tcW w:type="dxa" w:w="1440"/>
          </w:tcPr>
          <w:p>
            <w:r>
              <w:t>Val MSE</w:t>
            </w:r>
          </w:p>
        </w:tc>
        <w:tc>
          <w:tcPr>
            <w:tcW w:type="dxa" w:w="1440"/>
          </w:tcPr>
          <w:p>
            <w:r>
              <w:t>Violación física</w:t>
            </w:r>
          </w:p>
        </w:tc>
        <w:tc>
          <w:tcPr>
            <w:tcW w:type="dxa" w:w="1440"/>
          </w:tcPr>
          <w:p>
            <w:r>
              <w:t>Parámetros</w:t>
            </w:r>
          </w:p>
        </w:tc>
        <w:tc>
          <w:tcPr>
            <w:tcW w:type="dxa" w:w="1440"/>
          </w:tcPr>
          <w:p>
            <w:r>
              <w:t>Inferencia (s)</w:t>
            </w:r>
          </w:p>
        </w:tc>
      </w:tr>
      <w:tr>
        <w:tc>
          <w:tcPr>
            <w:tcW w:type="dxa" w:w="1440"/>
          </w:tcPr>
          <w:p>
            <w:r>
              <w:t>MLP</w:t>
            </w:r>
          </w:p>
        </w:tc>
        <w:tc>
          <w:tcPr>
            <w:tcW w:type="dxa" w:w="1440"/>
          </w:tcPr>
          <w:p>
            <w:r>
              <w:t>0.0438</w:t>
            </w:r>
          </w:p>
        </w:tc>
        <w:tc>
          <w:tcPr>
            <w:tcW w:type="dxa" w:w="1440"/>
          </w:tcPr>
          <w:p>
            <w:r>
              <w:t>0.0537</w:t>
            </w:r>
          </w:p>
        </w:tc>
        <w:tc>
          <w:tcPr>
            <w:tcW w:type="dxa" w:w="1440"/>
          </w:tcPr>
          <w:p>
            <w:r>
              <w:t>0.0438</w:t>
            </w:r>
          </w:p>
        </w:tc>
        <w:tc>
          <w:tcPr>
            <w:tcW w:type="dxa" w:w="1440"/>
          </w:tcPr>
          <w:p>
            <w:r>
              <w:t>4353</w:t>
            </w:r>
          </w:p>
        </w:tc>
        <w:tc>
          <w:tcPr>
            <w:tcW w:type="dxa" w:w="1440"/>
          </w:tcPr>
          <w:p>
            <w:r>
              <w:t>0.000659</w:t>
            </w:r>
          </w:p>
        </w:tc>
      </w:tr>
      <w:tr>
        <w:tc>
          <w:tcPr>
            <w:tcW w:type="dxa" w:w="1440"/>
          </w:tcPr>
          <w:p>
            <w:r>
              <w:t>FullGNN</w:t>
            </w:r>
          </w:p>
        </w:tc>
        <w:tc>
          <w:tcPr>
            <w:tcW w:type="dxa" w:w="1440"/>
          </w:tcPr>
          <w:p>
            <w:r>
              <w:t>0.0271</w:t>
            </w:r>
          </w:p>
        </w:tc>
        <w:tc>
          <w:tcPr>
            <w:tcW w:type="dxa" w:w="1440"/>
          </w:tcPr>
          <w:p>
            <w:r>
              <w:t>0.0353</w:t>
            </w:r>
          </w:p>
        </w:tc>
        <w:tc>
          <w:tcPr>
            <w:tcW w:type="dxa" w:w="1440"/>
          </w:tcPr>
          <w:p>
            <w:r>
              <w:t>0.0271</w:t>
            </w:r>
          </w:p>
        </w:tc>
        <w:tc>
          <w:tcPr>
            <w:tcW w:type="dxa" w:w="1440"/>
          </w:tcPr>
          <w:p>
            <w:r>
              <w:t>4353</w:t>
            </w:r>
          </w:p>
        </w:tc>
        <w:tc>
          <w:tcPr>
            <w:tcW w:type="dxa" w:w="1440"/>
          </w:tcPr>
          <w:p>
            <w:r>
              <w:t>0.006085</w:t>
            </w:r>
          </w:p>
        </w:tc>
      </w:tr>
      <w:tr>
        <w:tc>
          <w:tcPr>
            <w:tcW w:type="dxa" w:w="1440"/>
          </w:tcPr>
          <w:p>
            <w:r>
              <w:t>TinyGNN</w:t>
            </w:r>
          </w:p>
        </w:tc>
        <w:tc>
          <w:tcPr>
            <w:tcW w:type="dxa" w:w="1440"/>
          </w:tcPr>
          <w:p>
            <w:r>
              <w:t>0.0170</w:t>
            </w:r>
          </w:p>
        </w:tc>
        <w:tc>
          <w:tcPr>
            <w:tcW w:type="dxa" w:w="1440"/>
          </w:tcPr>
          <w:p>
            <w:r>
              <w:t>0.0220</w:t>
            </w:r>
          </w:p>
        </w:tc>
        <w:tc>
          <w:tcPr>
            <w:tcW w:type="dxa" w:w="1440"/>
          </w:tcPr>
          <w:p>
            <w:r>
              <w:t>0.0170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0.003976</w:t>
            </w:r>
          </w:p>
        </w:tc>
      </w:tr>
      <w:tr>
        <w:tc>
          <w:tcPr>
            <w:tcW w:type="dxa" w:w="1440"/>
          </w:tcPr>
          <w:p>
            <w:r>
              <w:t>TinyGNN + PINN</w:t>
            </w:r>
          </w:p>
        </w:tc>
        <w:tc>
          <w:tcPr>
            <w:tcW w:type="dxa" w:w="1440"/>
          </w:tcPr>
          <w:p>
            <w:r>
              <w:t>0.0170</w:t>
            </w:r>
          </w:p>
        </w:tc>
        <w:tc>
          <w:tcPr>
            <w:tcW w:type="dxa" w:w="1440"/>
          </w:tcPr>
          <w:p>
            <w:r>
              <w:t>0.0220</w:t>
            </w:r>
          </w:p>
        </w:tc>
        <w:tc>
          <w:tcPr>
            <w:tcW w:type="dxa" w:w="1440"/>
          </w:tcPr>
          <w:p>
            <w:r>
              <w:t>0.0170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0.004323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2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0_smoke_test_m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2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Fase 1 - Experimentos con diferentes seeds</w:t>
      </w:r>
    </w:p>
    <w:p>
      <w:r>
        <w:t>Objetivo: comprobar si la hipótesis de que FullGNN es mejor que las alternativas se mantiene al cambiar la inicialización/seed. Esto es importante porque una sola ejecución puede ser engañosa.</w:t>
      </w:r>
    </w:p>
    <w:p>
      <w:r>
        <w:t>Se ejecutaron seeds 40-50. En media, FullGNN obtiene test_mse=0.001591 frente a MLP=0.002681 y TinyGNN=0.0101. FullGNN fue el mejor modelo en 8 de 11 seeds.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Modelo</w:t>
            </w:r>
          </w:p>
        </w:tc>
        <w:tc>
          <w:tcPr>
            <w:tcW w:type="dxa" w:w="1440"/>
          </w:tcPr>
          <w:p>
            <w:r>
              <w:t>Test MSE medio</w:t>
            </w:r>
          </w:p>
        </w:tc>
        <w:tc>
          <w:tcPr>
            <w:tcW w:type="dxa" w:w="1440"/>
          </w:tcPr>
          <w:p>
            <w:r>
              <w:t>Std</w:t>
            </w:r>
          </w:p>
        </w:tc>
        <w:tc>
          <w:tcPr>
            <w:tcW w:type="dxa" w:w="1440"/>
          </w:tcPr>
          <w:p>
            <w:r>
              <w:t>Violación física media</w:t>
            </w:r>
          </w:p>
        </w:tc>
        <w:tc>
          <w:tcPr>
            <w:tcW w:type="dxa" w:w="1440"/>
          </w:tcPr>
          <w:p>
            <w:r>
              <w:t>Parámetros</w:t>
            </w:r>
          </w:p>
        </w:tc>
        <w:tc>
          <w:tcPr>
            <w:tcW w:type="dxa" w:w="1440"/>
          </w:tcPr>
          <w:p>
            <w:r>
              <w:t>Inferencia media (s)</w:t>
            </w:r>
          </w:p>
        </w:tc>
      </w:tr>
      <w:tr>
        <w:tc>
          <w:tcPr>
            <w:tcW w:type="dxa" w:w="1440"/>
          </w:tcPr>
          <w:p>
            <w:r>
              <w:t>MLP</w:t>
            </w:r>
          </w:p>
        </w:tc>
        <w:tc>
          <w:tcPr>
            <w:tcW w:type="dxa" w:w="1440"/>
          </w:tcPr>
          <w:p>
            <w:r>
              <w:t>0.002681</w:t>
            </w:r>
          </w:p>
        </w:tc>
        <w:tc>
          <w:tcPr>
            <w:tcW w:type="dxa" w:w="1440"/>
          </w:tcPr>
          <w:p>
            <w:r>
              <w:t>0.002152</w:t>
            </w:r>
          </w:p>
        </w:tc>
        <w:tc>
          <w:tcPr>
            <w:tcW w:type="dxa" w:w="1440"/>
          </w:tcPr>
          <w:p>
            <w:r>
              <w:t>0.002681</w:t>
            </w:r>
          </w:p>
        </w:tc>
        <w:tc>
          <w:tcPr>
            <w:tcW w:type="dxa" w:w="1440"/>
          </w:tcPr>
          <w:p>
            <w:r>
              <w:t>1153.0000</w:t>
            </w:r>
          </w:p>
        </w:tc>
        <w:tc>
          <w:tcPr>
            <w:tcW w:type="dxa" w:w="1440"/>
          </w:tcPr>
          <w:p>
            <w:r>
              <w:t>0.000348</w:t>
            </w:r>
          </w:p>
        </w:tc>
      </w:tr>
      <w:tr>
        <w:tc>
          <w:tcPr>
            <w:tcW w:type="dxa" w:w="1440"/>
          </w:tcPr>
          <w:p>
            <w:r>
              <w:t>FullGNN</w:t>
            </w:r>
          </w:p>
        </w:tc>
        <w:tc>
          <w:tcPr>
            <w:tcW w:type="dxa" w:w="1440"/>
          </w:tcPr>
          <w:p>
            <w:r>
              <w:t>0.001591</w:t>
            </w:r>
          </w:p>
        </w:tc>
        <w:tc>
          <w:tcPr>
            <w:tcW w:type="dxa" w:w="1440"/>
          </w:tcPr>
          <w:p>
            <w:r>
              <w:t>0.001296</w:t>
            </w:r>
          </w:p>
        </w:tc>
        <w:tc>
          <w:tcPr>
            <w:tcW w:type="dxa" w:w="1440"/>
          </w:tcPr>
          <w:p>
            <w:r>
              <w:t>0.001591</w:t>
            </w:r>
          </w:p>
        </w:tc>
        <w:tc>
          <w:tcPr>
            <w:tcW w:type="dxa" w:w="1440"/>
          </w:tcPr>
          <w:p>
            <w:r>
              <w:t>1153.0000</w:t>
            </w:r>
          </w:p>
        </w:tc>
        <w:tc>
          <w:tcPr>
            <w:tcW w:type="dxa" w:w="1440"/>
          </w:tcPr>
          <w:p>
            <w:r>
              <w:t>0.004233</w:t>
            </w:r>
          </w:p>
        </w:tc>
      </w:tr>
      <w:tr>
        <w:tc>
          <w:tcPr>
            <w:tcW w:type="dxa" w:w="1440"/>
          </w:tcPr>
          <w:p>
            <w:r>
              <w:t>TinyGNN</w:t>
            </w:r>
          </w:p>
        </w:tc>
        <w:tc>
          <w:tcPr>
            <w:tcW w:type="dxa" w:w="1440"/>
          </w:tcPr>
          <w:p>
            <w:r>
              <w:t>0.0101</w:t>
            </w:r>
          </w:p>
        </w:tc>
        <w:tc>
          <w:tcPr>
            <w:tcW w:type="dxa" w:w="1440"/>
          </w:tcPr>
          <w:p>
            <w:r>
              <w:t>0.0107</w:t>
            </w:r>
          </w:p>
        </w:tc>
        <w:tc>
          <w:tcPr>
            <w:tcW w:type="dxa" w:w="1440"/>
          </w:tcPr>
          <w:p>
            <w:r>
              <w:t>0.0101</w:t>
            </w:r>
          </w:p>
        </w:tc>
        <w:tc>
          <w:tcPr>
            <w:tcW w:type="dxa" w:w="1440"/>
          </w:tcPr>
          <w:p>
            <w:r>
              <w:t>25.0000</w:t>
            </w:r>
          </w:p>
        </w:tc>
        <w:tc>
          <w:tcPr>
            <w:tcW w:type="dxa" w:w="1440"/>
          </w:tcPr>
          <w:p>
            <w:r>
              <w:t>0.002145</w:t>
            </w:r>
          </w:p>
        </w:tc>
      </w:tr>
      <w:tr>
        <w:tc>
          <w:tcPr>
            <w:tcW w:type="dxa" w:w="1440"/>
          </w:tcPr>
          <w:p>
            <w:r>
              <w:t>TinyGNN + PINN</w:t>
            </w:r>
          </w:p>
        </w:tc>
        <w:tc>
          <w:tcPr>
            <w:tcW w:type="dxa" w:w="1440"/>
          </w:tcPr>
          <w:p>
            <w:r>
              <w:t>0.0101</w:t>
            </w:r>
          </w:p>
        </w:tc>
        <w:tc>
          <w:tcPr>
            <w:tcW w:type="dxa" w:w="1440"/>
          </w:tcPr>
          <w:p>
            <w:r>
              <w:t>0.0107</w:t>
            </w:r>
          </w:p>
        </w:tc>
        <w:tc>
          <w:tcPr>
            <w:tcW w:type="dxa" w:w="1440"/>
          </w:tcPr>
          <w:p>
            <w:r>
              <w:t>0.0101</w:t>
            </w:r>
          </w:p>
        </w:tc>
        <w:tc>
          <w:tcPr>
            <w:tcW w:type="dxa" w:w="1440"/>
          </w:tcPr>
          <w:p>
            <w:r>
              <w:t>25.0000</w:t>
            </w:r>
          </w:p>
        </w:tc>
        <w:tc>
          <w:tcPr>
            <w:tcW w:type="dxa" w:w="1440"/>
          </w:tcPr>
          <w:p>
            <w:r>
              <w:t>0.002138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29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1_seeds_mean_st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2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941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1_test_mse_por_s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1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Conclusión Fase 1: los resultados apoyan la hipótesis de que FullGNN es una arquitectura más sólida que TinyGNN y, de media, también supera a MLP. No obstante, MLP es una baseline fuerte y en alguna seed puede competir o incluso ganar puntualmente; por eso la conclusión correcta es estadística, no basada en una única ejecución.</w:t>
      </w:r>
    </w:p>
    <w:p>
      <w:pPr>
        <w:pStyle w:val="Heading1"/>
      </w:pPr>
      <w:r>
        <w:t>5. Fase 2 - Experimentos con data_fraction</w:t>
      </w:r>
    </w:p>
    <w:p>
      <w:r>
        <w:t>Objetivo: medir cómo cambia el rendimiento al reducir la cantidad de datos de entrenamiento. Se probaron fracciones 1.0, 0.5, 0.2, 0.1, 0.05 y 0.01 con seeds 42, 43 y 44, usando GPU/CUDA.</w:t>
      </w:r>
    </w:p>
    <w:p>
      <w:r>
        <w:t>Resultado general: FullGNN mantiene el mejor test_mse medio en todas las fracciones agregadas, MLP queda cerca, y TinyGNN/TinyGNN+PINN pierden bastante precisión. La diferencia entre TinyGNN y TinyGNN+PINN es prácticamente nula en esta configuración.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fraction</w:t>
            </w:r>
          </w:p>
        </w:tc>
        <w:tc>
          <w:tcPr>
            <w:tcW w:type="dxa" w:w="2880"/>
          </w:tcPr>
          <w:p>
            <w:r>
              <w:t>Mejor modelo</w:t>
            </w:r>
          </w:p>
        </w:tc>
        <w:tc>
          <w:tcPr>
            <w:tcW w:type="dxa" w:w="2880"/>
          </w:tcPr>
          <w:p>
            <w:r>
              <w:t>Test MSE medio</w:t>
            </w:r>
          </w:p>
        </w:tc>
      </w:tr>
      <w:tr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FullGNN</w:t>
            </w:r>
          </w:p>
        </w:tc>
        <w:tc>
          <w:tcPr>
            <w:tcW w:type="dxa" w:w="2880"/>
          </w:tcPr>
          <w:p>
            <w:r>
              <w:t>0.001058</w:t>
            </w:r>
          </w:p>
        </w:tc>
      </w:tr>
      <w:tr>
        <w:tc>
          <w:tcPr>
            <w:tcW w:type="dxa" w:w="2880"/>
          </w:tcPr>
          <w:p>
            <w:r>
              <w:t>0.5000</w:t>
            </w:r>
          </w:p>
        </w:tc>
        <w:tc>
          <w:tcPr>
            <w:tcW w:type="dxa" w:w="2880"/>
          </w:tcPr>
          <w:p>
            <w:r>
              <w:t>FullGNN</w:t>
            </w:r>
          </w:p>
        </w:tc>
        <w:tc>
          <w:tcPr>
            <w:tcW w:type="dxa" w:w="2880"/>
          </w:tcPr>
          <w:p>
            <w:r>
              <w:t>0.001062</w:t>
            </w:r>
          </w:p>
        </w:tc>
      </w:tr>
      <w:tr>
        <w:tc>
          <w:tcPr>
            <w:tcW w:type="dxa" w:w="2880"/>
          </w:tcPr>
          <w:p>
            <w:r>
              <w:t>0.2000</w:t>
            </w:r>
          </w:p>
        </w:tc>
        <w:tc>
          <w:tcPr>
            <w:tcW w:type="dxa" w:w="2880"/>
          </w:tcPr>
          <w:p>
            <w:r>
              <w:t>FullGNN</w:t>
            </w:r>
          </w:p>
        </w:tc>
        <w:tc>
          <w:tcPr>
            <w:tcW w:type="dxa" w:w="2880"/>
          </w:tcPr>
          <w:p>
            <w:r>
              <w:t>0.001052</w:t>
            </w:r>
          </w:p>
        </w:tc>
      </w:tr>
      <w:tr>
        <w:tc>
          <w:tcPr>
            <w:tcW w:type="dxa" w:w="2880"/>
          </w:tcPr>
          <w:p>
            <w:r>
              <w:t>0.1000</w:t>
            </w:r>
          </w:p>
        </w:tc>
        <w:tc>
          <w:tcPr>
            <w:tcW w:type="dxa" w:w="2880"/>
          </w:tcPr>
          <w:p>
            <w:r>
              <w:t>FullGNN</w:t>
            </w:r>
          </w:p>
        </w:tc>
        <w:tc>
          <w:tcPr>
            <w:tcW w:type="dxa" w:w="2880"/>
          </w:tcPr>
          <w:p>
            <w:r>
              <w:t>0.001020</w:t>
            </w:r>
          </w:p>
        </w:tc>
      </w:tr>
      <w:tr>
        <w:tc>
          <w:tcPr>
            <w:tcW w:type="dxa" w:w="2880"/>
          </w:tcPr>
          <w:p>
            <w:r>
              <w:t>0.0500</w:t>
            </w:r>
          </w:p>
        </w:tc>
        <w:tc>
          <w:tcPr>
            <w:tcW w:type="dxa" w:w="2880"/>
          </w:tcPr>
          <w:p>
            <w:r>
              <w:t>FullGNN</w:t>
            </w:r>
          </w:p>
        </w:tc>
        <w:tc>
          <w:tcPr>
            <w:tcW w:type="dxa" w:w="2880"/>
          </w:tcPr>
          <w:p>
            <w:r>
              <w:t>0.001255</w:t>
            </w:r>
          </w:p>
        </w:tc>
      </w:tr>
      <w:tr>
        <w:tc>
          <w:tcPr>
            <w:tcW w:type="dxa" w:w="2880"/>
          </w:tcPr>
          <w:p>
            <w:r>
              <w:t>0.0100</w:t>
            </w:r>
          </w:p>
        </w:tc>
        <w:tc>
          <w:tcPr>
            <w:tcW w:type="dxa" w:w="2880"/>
          </w:tcPr>
          <w:p>
            <w:r>
              <w:t>FullGNN</w:t>
            </w:r>
          </w:p>
        </w:tc>
        <w:tc>
          <w:tcPr>
            <w:tcW w:type="dxa" w:w="2880"/>
          </w:tcPr>
          <w:p>
            <w:r>
              <w:t>0.001284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94960" cy="2973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2_data_fraction_test_m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7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3473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2_parametros_vs_m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7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Conclusión Fase 2: el experimento está bien planteado y los resultados son útiles, pero hay que interpretar con cuidado que la reducción de datos apenas degrada FullGNN/MLP. Probablemente el problema de difusión de calor generado es suave y regular, con train/val/test procedentes del mismo tipo de trayectoria. Para reforzar el TFG conviene añadir después escenarios más difíciles: ruido, condiciones iniciales más variadas, más horizonte temporal o validación fuera de distribución.</w:t>
      </w:r>
    </w:p>
    <w:p>
      <w:pPr>
        <w:pStyle w:val="Heading1"/>
      </w:pPr>
      <w:r>
        <w:t>6. Conclusiones globales hasta ahora</w:t>
      </w:r>
    </w:p>
    <w:p>
      <w:pPr>
        <w:pStyle w:val="ListBullet"/>
      </w:pPr>
      <w:r>
        <w:t>Vamos bien: ya hay pipeline funcional, métricas guardadas, gráficas y experimentos reproducibles.</w:t>
      </w:r>
    </w:p>
    <w:p>
      <w:pPr>
        <w:pStyle w:val="ListBullet"/>
      </w:pPr>
      <w:r>
        <w:t>La narrativa Fase 0 → Fase 1 → Fase 2 tiene coherencia metodológica: primero validar setup, luego robustez a seeds, después sensibilidad a datos.</w:t>
      </w:r>
    </w:p>
    <w:p>
      <w:pPr>
        <w:pStyle w:val="ListBullet"/>
      </w:pPr>
      <w:r>
        <w:t>FullGNN queda como candidato principal por precisión y estabilidad media.</w:t>
      </w:r>
    </w:p>
    <w:p>
      <w:pPr>
        <w:pStyle w:val="ListBullet"/>
      </w:pPr>
      <w:r>
        <w:t>MLP debe mantenerse como baseline fuerte porque en un problema suave puede rendir sorprendentemente bien.</w:t>
      </w:r>
    </w:p>
    <w:p>
      <w:pPr>
        <w:pStyle w:val="ListBullet"/>
      </w:pPr>
      <w:r>
        <w:t>TinyGNN demuestra la idea de modelo muy ligero, pero paga con bastante error.</w:t>
      </w:r>
    </w:p>
    <w:p>
      <w:pPr>
        <w:pStyle w:val="ListBullet"/>
      </w:pPr>
      <w:r>
        <w:t>TinyGNN+PINN necesita revisión antes de afirmar valor añadido físico: en estos resultados replica casi exactamente a TinyGNN.</w:t>
      </w:r>
    </w:p>
    <w:p>
      <w:pPr>
        <w:pStyle w:val="ListBullet"/>
      </w:pPr>
      <w:r>
        <w:t>Para una defensa sólida, el siguiente paso debería ser Fase 3 con ruido/robustez o escenarios más complejos, para que la ventaja geométrica/física sea más clara.</w:t>
      </w:r>
    </w:p>
    <w:p>
      <w:pPr>
        <w:pStyle w:val="Heading1"/>
      </w:pPr>
      <w:r>
        <w:t>7. Cómo explicarlo en la memoria</w:t>
      </w:r>
    </w:p>
    <w:p>
      <w:r>
        <w:t>Una redacción segura sería:</w:t>
      </w:r>
    </w:p>
    <w:p>
      <w:pPr>
        <w:ind w:left="360"/>
      </w:pPr>
      <w:r>
        <w:t>"Hasta este punto se ha construido y validado un pipeline experimental completo para comparar arquitecturas sobre un problema de difusión de calor. La Fase 0 verificó el funcionamiento del entorno y de las métricas. La Fase 1 mostró que la comparación no depende de una única seed y que FullGNN obtiene el mejor rendimiento medio. La Fase 2 analizó la sensibilidad a la reducción de datos, observando que FullGNN mantiene ventaja media frente al resto, aunque MLP resulta competitivo y la variante PINN no aporta todavía una mejora clara en esta configuración."</w:t>
      </w:r>
    </w:p>
    <w:p>
      <w:pPr>
        <w:pStyle w:val="Heading1"/>
      </w:pPr>
      <w:r>
        <w:t>8. Archivos usados como evidencia</w:t>
      </w:r>
    </w:p>
    <w:p>
      <w:pPr>
        <w:pStyle w:val="ListBullet"/>
      </w:pPr>
      <w:r>
        <w:t>src\results\gpu_smoke\metrics.csv</w:t>
      </w:r>
    </w:p>
    <w:p>
      <w:pPr>
        <w:pStyle w:val="ListBullet"/>
      </w:pPr>
      <w:r>
        <w:t>src\results\seeds_40_50\seeds_40_50_results.csv</w:t>
      </w:r>
    </w:p>
    <w:p>
      <w:pPr>
        <w:pStyle w:val="ListBullet"/>
      </w:pPr>
      <w:r>
        <w:t>src\results\data_fraction_gpu\data_fraction_gpu_runs.csv</w:t>
      </w:r>
    </w:p>
    <w:p>
      <w:pPr>
        <w:pStyle w:val="ListBullet"/>
      </w:pPr>
      <w:r>
        <w:t>INFORMES\informe_ejecuciones_tfg.xlsx</w:t>
      </w:r>
    </w:p>
    <w:p>
      <w:pPr>
        <w:pStyle w:val="ListBullet"/>
      </w:pPr>
      <w:r>
        <w:t>INFORMES\informe_fase1_preliminar.xlsx</w:t>
      </w:r>
    </w:p>
    <w:p>
      <w:pPr>
        <w:pStyle w:val="ListBullet"/>
      </w:pPr>
      <w:r>
        <w:t>INFORMES\informe_seeds_40_50.xlsx</w:t>
      </w:r>
    </w:p>
    <w:p>
      <w:pPr>
        <w:pStyle w:val="ListBullet"/>
      </w:pPr>
      <w:r>
        <w:t>INFORMES\informe_data_fraction_gpu.xlsx</w:t>
      </w:r>
    </w:p>
    <w:p>
      <w:pPr>
        <w:pStyle w:val="ListBullet"/>
      </w:pPr>
      <w:r>
        <w:t>INFORMES\informe_data_fraction_resumen.docx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