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Calibri" w:hAnsi="Calibri"/>
          <w:b/>
          <w:color w:val="17365D"/>
          <w:sz w:val="58"/>
        </w:rPr>
        <w:t>ANÁLISIS DE RESULTADOS</w:t>
        <w:br/>
      </w:r>
      <w:r>
        <w:rPr>
          <w:rFonts w:ascii="Calibri" w:hAnsi="Calibri"/>
          <w:b/>
          <w:color w:val="0F8B8D"/>
          <w:sz w:val="36"/>
        </w:rPr>
        <w:t>MLP, FULL_GNN, TINY_GNN y TINY_GNN + PINN</w:t>
      </w:r>
    </w:p>
    <w:p>
      <w:pPr>
        <w:spacing w:before="360"/>
        <w:jc w:val="center"/>
      </w:pPr>
      <w:r>
        <w:rPr>
          <w:rFonts w:ascii="Calibri" w:hAnsi="Calibri"/>
          <w:color w:val="4B5563"/>
          <w:sz w:val="26"/>
        </w:rPr>
        <w:t>Estudio comparativo de precisión, eficiencia, robustez y regularización física</w:t>
      </w:r>
    </w:p>
    <w:tbl>
      <w:tblPr>
        <w:tblW w:type="auto" w:w="0"/>
        <w:jc w:val="center"/>
        <w:tblLayout w:type="fixed"/>
        <w:tblLook w:firstColumn="1" w:firstRow="1" w:lastColumn="0" w:lastRow="0" w:noHBand="0" w:noVBand="1" w:val="04A0"/>
      </w:tblPr>
      <w:tblGrid>
        <w:gridCol w:w="3324"/>
        <w:gridCol w:w="3324"/>
        <w:gridCol w:w="3324"/>
      </w:tblGrid>
      <w:tr>
        <w:tc>
          <w:tcPr>
            <w:tcW w:type="dxa" w:w="2948"/>
            <w:shd w:fill="17365D"/>
          </w:tcPr>
          <w:p>
            <w:r>
              <w:t xml:space="preserve"> </w:t>
            </w:r>
          </w:p>
        </w:tc>
        <w:tc>
          <w:tcPr>
            <w:tcW w:type="dxa" w:w="2948"/>
            <w:shd w:fill="0F8B8D"/>
          </w:tcPr>
          <w:p>
            <w:r>
              <w:t xml:space="preserve"> </w:t>
            </w:r>
          </w:p>
        </w:tc>
        <w:tc>
          <w:tcPr>
            <w:tcW w:type="dxa" w:w="2948"/>
            <w:shd w:fill="F28E2B"/>
          </w:tcPr>
          <w:p>
            <w:r>
              <w:t xml:space="preserve"> </w:t>
            </w:r>
          </w:p>
        </w:tc>
      </w:tr>
    </w:tbl>
    <w:p>
      <w:pPr>
        <w:spacing w:before="2200"/>
        <w:jc w:val="center"/>
      </w:pPr>
      <w:r>
        <w:rPr>
          <w:rFonts w:ascii="Calibri" w:hAnsi="Calibri"/>
          <w:b/>
          <w:color w:val="1F2937"/>
          <w:sz w:val="24"/>
        </w:rPr>
        <w:t>Axel Berral</w:t>
      </w:r>
      <w:r>
        <w:br/>
      </w:r>
      <w:r>
        <w:rPr>
          <w:rFonts w:ascii="Calibri" w:hAnsi="Calibri"/>
          <w:color w:val="4B5563"/>
          <w:sz w:val="21"/>
        </w:rPr>
        <w:t>Junio de 2026</w:t>
      </w:r>
    </w:p>
    <w:p>
      <w:pPr>
        <w:spacing w:before="360"/>
        <w:jc w:val="center"/>
      </w:pPr>
      <w:r>
        <w:rPr>
          <w:rFonts w:ascii="Calibri" w:hAnsi="Calibri"/>
          <w:color w:val="4B5563"/>
          <w:sz w:val="17"/>
        </w:rPr>
        <w:t>Fuentes analizadas: all_results.csv (5,720 registros) y sweep_report.xlsx</w:t>
      </w:r>
    </w:p>
    <w:p>
      <w:r>
        <w:br w:type="page"/>
      </w:r>
    </w:p>
    <w:p>
      <w:pPr>
        <w:pStyle w:val="Heading1"/>
      </w:pPr>
      <w:r>
        <w:t>Resumen ejecutivo</w:t>
      </w:r>
    </w:p>
    <w:tbl>
      <w:tblPr>
        <w:tblW w:type="auto" w:w="0"/>
        <w:jc w:val="center"/>
        <w:tblLayout w:type="fixed"/>
        <w:tblLook w:firstColumn="1" w:firstRow="1" w:lastColumn="0" w:lastRow="0" w:noHBand="0" w:noVBand="1" w:val="04A0"/>
      </w:tblPr>
      <w:tblGrid>
        <w:gridCol w:w="102"/>
        <w:gridCol w:w="8957"/>
      </w:tblGrid>
      <w:tr>
        <w:tc>
          <w:tcPr>
            <w:tcW w:type="dxa" w:w="102"/>
            <w:shd w:fill="17365D"/>
          </w:tcPr>
          <w:p/>
        </w:tc>
        <w:tc>
          <w:tcPr>
            <w:tcW w:type="dxa" w:w="8957"/>
            <w:shd w:fill="EAF2F8"/>
            <w:vAlign w:val="center"/>
          </w:tcPr>
          <w:p>
            <w:pPr>
              <w:spacing w:before="120" w:after="120"/>
            </w:pPr>
            <w:r>
              <w:rPr>
                <w:rFonts w:ascii="Calibri" w:hAnsi="Calibri"/>
                <w:b/>
                <w:color w:val="17365D"/>
                <w:sz w:val="22"/>
              </w:rPr>
              <w:t>Resultado central</w:t>
              <w:br/>
            </w:r>
            <w:r>
              <w:rPr>
                <w:rFonts w:ascii="Calibri" w:hAnsi="Calibri"/>
                <w:color w:val="1F2937"/>
                <w:sz w:val="20"/>
              </w:rPr>
              <w:t>FULL_GNN es el modelo con menor error medio final (9.26e-04), con una reducción del 47.4% frente a MLP y del 50.7% frente a TINY_GNN. No obstante, MLP logra más victorias individuales y TINY_GNN ofrece un ahorro de tamaño muy relevante.</w:t>
            </w:r>
          </w:p>
        </w:tc>
      </w:tr>
    </w:tbl>
    <w:p>
      <w:pPr>
        <w:spacing w:after="20"/>
      </w:pPr>
    </w:p>
    <w:tbl>
      <w:tblPr>
        <w:tblW w:type="auto" w:w="0"/>
        <w:jc w:val="center"/>
        <w:tblLayout w:type="fixed"/>
        <w:tblLook w:firstColumn="1" w:firstRow="1" w:lastColumn="0" w:lastRow="0" w:noHBand="0" w:noVBand="1" w:val="04A0"/>
      </w:tblPr>
      <w:tblGrid>
        <w:gridCol w:w="102"/>
        <w:gridCol w:w="8957"/>
      </w:tblGrid>
      <w:tr>
        <w:tc>
          <w:tcPr>
            <w:tcW w:type="dxa" w:w="102"/>
            <w:shd w:fill="D97706"/>
          </w:tcPr>
          <w:p/>
        </w:tc>
        <w:tc>
          <w:tcPr>
            <w:tcW w:type="dxa" w:w="8957"/>
            <w:shd w:fill="FFF3E6"/>
            <w:vAlign w:val="center"/>
          </w:tcPr>
          <w:p>
            <w:pPr>
              <w:spacing w:before="120" w:after="120"/>
            </w:pPr>
            <w:r>
              <w:rPr>
                <w:rFonts w:ascii="Calibri" w:hAnsi="Calibri"/>
                <w:b/>
                <w:color w:val="D97706"/>
                <w:sz w:val="22"/>
              </w:rPr>
              <w:t>Mejor equilibrio precisión–eficiencia</w:t>
              <w:br/>
            </w:r>
            <w:r>
              <w:rPr>
                <w:rFonts w:ascii="Calibri" w:hAnsi="Calibri"/>
                <w:color w:val="1F2937"/>
                <w:sz w:val="20"/>
              </w:rPr>
              <w:t>Con hidden=32 y datos limpios, TINY_GNN utiliza un 91.6% menos de parámetros que FULL_GNN, reduce un 35.5% el tiempo de inferencia y mantiene un MSE solo un 31.1% superior.</w:t>
            </w:r>
          </w:p>
        </w:tc>
      </w:tr>
    </w:tbl>
    <w:p>
      <w:pPr>
        <w:spacing w:after="20"/>
      </w:pPr>
    </w:p>
    <w:tbl>
      <w:tblPr>
        <w:tblW w:type="auto" w:w="0"/>
        <w:jc w:val="center"/>
        <w:tblLayout w:type="fixed"/>
        <w:tblLook w:firstColumn="1" w:firstRow="1" w:lastColumn="0" w:lastRow="0" w:noHBand="0" w:noVBand="1" w:val="04A0"/>
      </w:tblPr>
      <w:tblGrid>
        <w:gridCol w:w="102"/>
        <w:gridCol w:w="8957"/>
      </w:tblGrid>
      <w:tr>
        <w:tc>
          <w:tcPr>
            <w:tcW w:type="dxa" w:w="102"/>
            <w:shd w:fill="7C3AED"/>
          </w:tcPr>
          <w:p/>
        </w:tc>
        <w:tc>
          <w:tcPr>
            <w:tcW w:type="dxa" w:w="8957"/>
            <w:shd w:fill="F2ECF8"/>
            <w:vAlign w:val="center"/>
          </w:tcPr>
          <w:p>
            <w:pPr>
              <w:spacing w:before="120" w:after="120"/>
            </w:pPr>
            <w:r>
              <w:rPr>
                <w:rFonts w:ascii="Calibri" w:hAnsi="Calibri"/>
                <w:b/>
                <w:color w:val="7C3AED"/>
                <w:sz w:val="22"/>
              </w:rPr>
              <w:t>Aportación de PINN</w:t>
              <w:br/>
            </w:r>
            <w:r>
              <w:rPr>
                <w:rFonts w:ascii="Calibri" w:hAnsi="Calibri"/>
                <w:color w:val="1F2937"/>
                <w:sz w:val="20"/>
              </w:rPr>
              <w:t>La pérdida física no produce una mejora material con datos limpios, pero sí actúa como regularizador bajo ruido. Con ruido=0.20 y λ=10, reduce el MSE de TINY_GNN un 38.6%.</w:t>
            </w:r>
          </w:p>
        </w:tc>
      </w:tr>
    </w:tbl>
    <w:p>
      <w:pPr>
        <w:spacing w:after="20"/>
      </w:pPr>
    </w:p>
    <w:tbl>
      <w:tblPr>
        <w:tblW w:type="auto" w:w="0"/>
        <w:jc w:val="center"/>
        <w:tblLayout w:type="fixed"/>
        <w:tblLook w:firstColumn="1" w:firstRow="1" w:lastColumn="0" w:lastRow="0" w:noHBand="0" w:noVBand="1" w:val="04A0"/>
      </w:tblPr>
      <w:tblGrid>
        <w:gridCol w:w="102"/>
        <w:gridCol w:w="8957"/>
      </w:tblGrid>
      <w:tr>
        <w:tc>
          <w:tcPr>
            <w:tcW w:type="dxa" w:w="102"/>
            <w:shd w:fill="0F8B8D"/>
          </w:tcPr>
          <w:p/>
        </w:tc>
        <w:tc>
          <w:tcPr>
            <w:tcW w:type="dxa" w:w="8957"/>
            <w:shd w:fill="E8F6F3"/>
            <w:vAlign w:val="center"/>
          </w:tcPr>
          <w:p>
            <w:pPr>
              <w:spacing w:before="120" w:after="120"/>
            </w:pPr>
            <w:r>
              <w:rPr>
                <w:rFonts w:ascii="Calibri" w:hAnsi="Calibri"/>
                <w:b/>
                <w:color w:val="0F8B8D"/>
                <w:sz w:val="22"/>
              </w:rPr>
              <w:t>Advertencia metodológica</w:t>
              <w:br/>
            </w:r>
            <w:r>
              <w:rPr>
                <w:rFonts w:ascii="Calibri" w:hAnsi="Calibri"/>
                <w:color w:val="1F2937"/>
                <w:sz w:val="20"/>
              </w:rPr>
              <w:t>Test MSE y physics violation son prácticamente la misma métrica (correlación 1.000000000000). Además, el test resulta más fácil que validation en la mayoría de las ejecuciones, por lo que conviene revisar la partición de datos.</w:t>
            </w:r>
          </w:p>
        </w:tc>
      </w:tr>
    </w:tbl>
    <w:p>
      <w:pPr>
        <w:spacing w:after="20"/>
      </w:pPr>
    </w:p>
    <w:p>
      <w:r>
        <w:rPr>
          <w:rFonts w:ascii="Calibri" w:hAnsi="Calibri"/>
          <w:b/>
          <w:color w:val="17365D"/>
          <w:sz w:val="21"/>
        </w:rPr>
        <w:t xml:space="preserve">Recomendación final. </w:t>
      </w:r>
      <w:r>
        <w:rPr>
          <w:rFonts w:ascii="Calibri" w:hAnsi="Calibri"/>
          <w:color w:val="1F2937"/>
          <w:sz w:val="21"/>
        </w:rPr>
        <w:t>Usar FULL_GNN cuando la prioridad sea la precisión y la robustez; TINY_GNN con hidden=32 cuando importe el despliegue eficiente; MLP con hidden=32 como baseline de máxima velocidad en datos limpios; y TINY_GNN + PINN con λ≈10 cuando exista ruido relevante.</w:t>
      </w:r>
    </w:p>
    <w:p>
      <w:r>
        <w:br w:type="page"/>
      </w:r>
    </w:p>
    <w:p>
      <w:pPr>
        <w:pStyle w:val="Heading1"/>
      </w:pPr>
      <w:r>
        <w:t>Contenido</w:t>
      </w:r>
    </w:p>
    <w:p>
      <w:pPr>
        <w:spacing w:after="60"/>
        <w:ind w:left="198"/>
      </w:pPr>
      <w:r>
        <w:rPr>
          <w:rFonts w:ascii="Calibri" w:hAnsi="Calibri"/>
          <w:color w:val="1F2937"/>
          <w:sz w:val="21"/>
        </w:rPr>
        <w:t>1. Datos y metodología del análisis</w:t>
      </w:r>
    </w:p>
    <w:p>
      <w:pPr>
        <w:spacing w:after="60"/>
        <w:ind w:left="198"/>
      </w:pPr>
      <w:r>
        <w:rPr>
          <w:rFonts w:ascii="Calibri" w:hAnsi="Calibri"/>
          <w:color w:val="1F2937"/>
          <w:sz w:val="21"/>
        </w:rPr>
        <w:t>2. Comparación global de los modelos</w:t>
      </w:r>
    </w:p>
    <w:p>
      <w:pPr>
        <w:spacing w:after="60"/>
        <w:ind w:left="198"/>
      </w:pPr>
      <w:r>
        <w:rPr>
          <w:rFonts w:ascii="Calibri" w:hAnsi="Calibri"/>
          <w:color w:val="1F2937"/>
          <w:sz w:val="21"/>
        </w:rPr>
        <w:t>3. Evolución del entrenamiento</w:t>
      </w:r>
    </w:p>
    <w:p>
      <w:pPr>
        <w:spacing w:after="60"/>
        <w:ind w:left="198"/>
      </w:pPr>
      <w:r>
        <w:rPr>
          <w:rFonts w:ascii="Calibri" w:hAnsi="Calibri"/>
          <w:color w:val="1F2937"/>
          <w:sz w:val="21"/>
        </w:rPr>
        <w:t>4. Capacidad del modelo y dimensión oculta</w:t>
      </w:r>
    </w:p>
    <w:p>
      <w:pPr>
        <w:spacing w:after="60"/>
        <w:ind w:left="198"/>
      </w:pPr>
      <w:r>
        <w:rPr>
          <w:rFonts w:ascii="Calibri" w:hAnsi="Calibri"/>
          <w:color w:val="1F2937"/>
          <w:sz w:val="21"/>
        </w:rPr>
        <w:t>5. Eficiencia de datos</w:t>
      </w:r>
    </w:p>
    <w:p>
      <w:pPr>
        <w:spacing w:after="60"/>
        <w:ind w:left="198"/>
      </w:pPr>
      <w:r>
        <w:rPr>
          <w:rFonts w:ascii="Calibri" w:hAnsi="Calibri"/>
          <w:color w:val="1F2937"/>
          <w:sz w:val="21"/>
        </w:rPr>
        <w:t>6. Robustez frente al ruido</w:t>
      </w:r>
    </w:p>
    <w:p>
      <w:pPr>
        <w:spacing w:after="60"/>
        <w:ind w:left="198"/>
      </w:pPr>
      <w:r>
        <w:rPr>
          <w:rFonts w:ascii="Calibri" w:hAnsi="Calibri"/>
          <w:color w:val="1F2937"/>
          <w:sz w:val="21"/>
        </w:rPr>
        <w:t>7. Contribución de la regularización física (PINN)</w:t>
      </w:r>
    </w:p>
    <w:p>
      <w:pPr>
        <w:spacing w:after="60"/>
        <w:ind w:left="198"/>
      </w:pPr>
      <w:r>
        <w:rPr>
          <w:rFonts w:ascii="Calibri" w:hAnsi="Calibri"/>
          <w:color w:val="1F2937"/>
          <w:sz w:val="21"/>
        </w:rPr>
        <w:t>8. Interpretación del baseline MLP</w:t>
      </w:r>
    </w:p>
    <w:p>
      <w:pPr>
        <w:spacing w:after="60"/>
        <w:ind w:left="198"/>
      </w:pPr>
      <w:r>
        <w:rPr>
          <w:rFonts w:ascii="Calibri" w:hAnsi="Calibri"/>
          <w:color w:val="1F2937"/>
          <w:sz w:val="21"/>
        </w:rPr>
        <w:t>9. Limitaciones y comprobaciones metodológicas</w:t>
      </w:r>
    </w:p>
    <w:p>
      <w:pPr>
        <w:spacing w:after="60"/>
        <w:ind w:left="198"/>
      </w:pPr>
      <w:r>
        <w:rPr>
          <w:rFonts w:ascii="Calibri" w:hAnsi="Calibri"/>
          <w:color w:val="1F2937"/>
          <w:sz w:val="21"/>
        </w:rPr>
        <w:t>10. Conclusiones y recomendaciones</w:t>
      </w:r>
    </w:p>
    <w:p>
      <w:pPr>
        <w:spacing w:after="60"/>
        <w:ind w:left="198"/>
      </w:pPr>
      <w:r>
        <w:rPr>
          <w:rFonts w:ascii="Calibri" w:hAnsi="Calibri"/>
          <w:color w:val="1F2937"/>
          <w:sz w:val="21"/>
        </w:rPr>
        <w:t>Anexo. Resultados numéricos seleccionados</w:t>
      </w:r>
    </w:p>
    <w:p>
      <w:r>
        <w:br w:type="page"/>
      </w:r>
    </w:p>
    <w:p>
      <w:pPr>
        <w:pStyle w:val="Heading1"/>
      </w:pPr>
      <w:r>
        <w:t>1. Datos y metodología del análisis</w:t>
      </w:r>
    </w:p>
    <w:p>
      <w:r>
        <w:rPr>
          <w:rFonts w:ascii="Calibri" w:hAnsi="Calibri"/>
          <w:b/>
          <w:color w:val="17365D"/>
        </w:rPr>
        <w:t xml:space="preserve">Objetivo. </w:t>
      </w:r>
      <w:r>
        <w:rPr>
          <w:rFonts w:ascii="Calibri" w:hAnsi="Calibri"/>
          <w:color w:val="1F2937"/>
        </w:rPr>
        <w:t>Comparar cuatro alternativas —MLP, FULL_GNN, TINY_GNN y TINY_GNN + PINN— en precisión, estabilidad, coste computacional, eficiencia de datos y robustez ante ruido.</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365D"/>
            <w:vAlign w:val="center"/>
          </w:tcPr>
          <w:p>
            <w:pPr>
              <w:spacing w:before="60" w:after="60"/>
              <w:jc w:val="center"/>
            </w:pPr>
            <w:r>
              <w:rPr>
                <w:rFonts w:ascii="Calibri" w:hAnsi="Calibri"/>
                <w:b/>
                <w:color w:val="FFFFFF"/>
                <w:sz w:val="19"/>
              </w:rPr>
              <w:t>Elemento</w:t>
            </w:r>
          </w:p>
        </w:tc>
        <w:tc>
          <w:tcPr>
            <w:tcW w:type="dxa" w:w="5386"/>
            <w:shd w:fill="17365D"/>
            <w:vAlign w:val="center"/>
          </w:tcPr>
          <w:p>
            <w:pPr>
              <w:spacing w:before="60" w:after="60"/>
              <w:jc w:val="center"/>
            </w:pPr>
            <w:r>
              <w:rPr>
                <w:rFonts w:ascii="Calibri" w:hAnsi="Calibri"/>
                <w:b/>
                <w:color w:val="FFFFFF"/>
                <w:sz w:val="19"/>
              </w:rPr>
              <w:t>Valor</w:t>
            </w:r>
          </w:p>
        </w:tc>
      </w:tr>
      <w:tr>
        <w:trPr>
          <w:cantSplit/>
        </w:trPr>
        <w:tc>
          <w:tcPr>
            <w:tcW w:type="dxa" w:w="3515"/>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Registros analizados</w:t>
            </w:r>
          </w:p>
        </w:tc>
        <w:tc>
          <w:tcPr>
            <w:tcW w:type="dxa" w:w="5386"/>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5,720</w:t>
            </w:r>
          </w:p>
        </w:tc>
      </w:tr>
      <w:tr>
        <w:trPr>
          <w:cantSplit/>
        </w:trPr>
        <w:tc>
          <w:tcPr>
            <w:tcW w:type="dxa" w:w="3515"/>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Seeds</w:t>
            </w:r>
          </w:p>
        </w:tc>
        <w:tc>
          <w:tcPr>
            <w:tcW w:type="dxa" w:w="5386"/>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40, 41, 42, 43, 44, 45, 46, 47, 48, 49, 50</w:t>
            </w:r>
          </w:p>
        </w:tc>
      </w:tr>
      <w:tr>
        <w:trPr>
          <w:cantSplit/>
        </w:trPr>
        <w:tc>
          <w:tcPr>
            <w:tcW w:type="dxa" w:w="3515"/>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Checkpoints</w:t>
            </w:r>
          </w:p>
        </w:tc>
        <w:tc>
          <w:tcPr>
            <w:tcW w:type="dxa" w:w="5386"/>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1, 10, 50, 100, 300</w:t>
            </w:r>
          </w:p>
        </w:tc>
      </w:tr>
      <w:tr>
        <w:trPr>
          <w:cantSplit/>
        </w:trPr>
        <w:tc>
          <w:tcPr>
            <w:tcW w:type="dxa" w:w="3515"/>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Dimensiones ocultas</w:t>
            </w:r>
          </w:p>
        </w:tc>
        <w:tc>
          <w:tcPr>
            <w:tcW w:type="dxa" w:w="5386"/>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4, 8, 16, 32</w:t>
            </w:r>
          </w:p>
        </w:tc>
      </w:tr>
      <w:tr>
        <w:trPr>
          <w:cantSplit/>
        </w:trPr>
        <w:tc>
          <w:tcPr>
            <w:tcW w:type="dxa" w:w="3515"/>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Fracciones de datos</w:t>
            </w:r>
          </w:p>
        </w:tc>
        <w:tc>
          <w:tcPr>
            <w:tcW w:type="dxa" w:w="5386"/>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1%, 5%, 10%, 20%, 50%, 100%</w:t>
            </w:r>
          </w:p>
        </w:tc>
      </w:tr>
      <w:tr>
        <w:trPr>
          <w:cantSplit/>
        </w:trPr>
        <w:tc>
          <w:tcPr>
            <w:tcW w:type="dxa" w:w="3515"/>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Niveles de ruido</w:t>
            </w:r>
          </w:p>
        </w:tc>
        <w:tc>
          <w:tcPr>
            <w:tcW w:type="dxa" w:w="5386"/>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0.00, 0.01, 0.05, 0.10, 0.20</w:t>
            </w:r>
          </w:p>
        </w:tc>
      </w:tr>
      <w:tr>
        <w:trPr>
          <w:cantSplit/>
        </w:trPr>
        <w:tc>
          <w:tcPr>
            <w:tcW w:type="dxa" w:w="3515"/>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Valores de λ</w:t>
            </w:r>
          </w:p>
        </w:tc>
        <w:tc>
          <w:tcPr>
            <w:tcW w:type="dxa" w:w="5386"/>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0.001, 0.01, 0.1, 1.0, 10.0</w:t>
            </w:r>
          </w:p>
        </w:tc>
      </w:tr>
      <w:tr>
        <w:trPr>
          <w:cantSplit/>
        </w:trPr>
        <w:tc>
          <w:tcPr>
            <w:tcW w:type="dxa" w:w="3515"/>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Integridad</w:t>
            </w:r>
          </w:p>
        </w:tc>
        <w:tc>
          <w:tcPr>
            <w:tcW w:type="dxa" w:w="5386"/>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0 valores ausentes; 0 duplicados exactos</w:t>
            </w:r>
          </w:p>
        </w:tc>
      </w:tr>
    </w:tbl>
    <w:p>
      <w:pPr>
        <w:spacing w:after="20"/>
      </w:pPr>
    </w:p>
    <w:p>
      <w:r>
        <w:rPr>
          <w:b/>
        </w:rPr>
        <w:t xml:space="preserve">Criterio de comparación. </w:t>
      </w:r>
      <w:r>
        <w:t>Las medias globales pueden estar sesgadas porque algunas configuraciones aparecen con mayor frecuencia. Por ello, las conclusiones principales se apoyan en comparaciones emparejadas: misma seed, epoch, hidden dimension, fracción de datos y nivel de ruido. Para PINN se muestra λ=10 como valor fijo, evitando elegir retrospectivamente el mejor λ con el conjunto de test.</w:t>
      </w:r>
    </w:p>
    <w:p>
      <w:r>
        <w:rPr>
          <w:b/>
        </w:rPr>
        <w:t xml:space="preserve">Métricas. </w:t>
      </w:r>
      <w:r>
        <w:t>La métrica principal es test MSE. También se consideran número de parámetros, tamaño del modelo, tiempo de inferencia, tiempo de entrenamiento hasta el checkpoint y physics violation. Dado que el error abarca varios órdenes de magnitud, las gráficas de MSE utilizan escala logarítmica.</w:t>
      </w:r>
    </w:p>
    <w:p>
      <w:pPr>
        <w:pStyle w:val="Heading1"/>
      </w:pPr>
      <w:r>
        <w:t>2. Comparación global de los modelos</w:t>
      </w:r>
    </w:p>
    <w:p>
      <w:r>
        <w:rPr>
          <w:b/>
        </w:rPr>
        <w:t xml:space="preserve">A 300 epochs, FULL_GNN obtiene el mejor resultado medio y mediano. </w:t>
      </w:r>
      <w:r>
        <w:t>MLP presenta una distribución mucho más dispersa: consigue resultados extraordinariamente bajos en algunas seeds, pero también errores altos que deterioran su media. TINY_GNN es menos preciso en promedio, aunque reduce drásticamente el número de parámetros.</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2268"/>
            <w:shd w:fill="17365D"/>
            <w:vAlign w:val="center"/>
          </w:tcPr>
          <w:p>
            <w:pPr>
              <w:spacing w:before="60" w:after="60"/>
              <w:jc w:val="center"/>
            </w:pPr>
            <w:r>
              <w:rPr>
                <w:rFonts w:ascii="Calibri" w:hAnsi="Calibri"/>
                <w:b/>
                <w:color w:val="FFFFFF"/>
                <w:sz w:val="16"/>
              </w:rPr>
              <w:t>Modelo</w:t>
            </w:r>
          </w:p>
        </w:tc>
        <w:tc>
          <w:tcPr>
            <w:tcW w:type="dxa" w:w="1247"/>
            <w:shd w:fill="17365D"/>
            <w:vAlign w:val="center"/>
          </w:tcPr>
          <w:p>
            <w:pPr>
              <w:spacing w:before="60" w:after="60"/>
              <w:jc w:val="center"/>
            </w:pPr>
            <w:r>
              <w:rPr>
                <w:rFonts w:ascii="Calibri" w:hAnsi="Calibri"/>
                <w:b/>
                <w:color w:val="FFFFFF"/>
                <w:sz w:val="16"/>
              </w:rPr>
              <w:t>MSE medio</w:t>
            </w:r>
          </w:p>
        </w:tc>
        <w:tc>
          <w:tcPr>
            <w:tcW w:type="dxa" w:w="1247"/>
            <w:shd w:fill="17365D"/>
            <w:vAlign w:val="center"/>
          </w:tcPr>
          <w:p>
            <w:pPr>
              <w:spacing w:before="60" w:after="60"/>
              <w:jc w:val="center"/>
            </w:pPr>
            <w:r>
              <w:rPr>
                <w:rFonts w:ascii="Calibri" w:hAnsi="Calibri"/>
                <w:b/>
                <w:color w:val="FFFFFF"/>
                <w:sz w:val="16"/>
              </w:rPr>
              <w:t>Mediana</w:t>
            </w:r>
          </w:p>
        </w:tc>
        <w:tc>
          <w:tcPr>
            <w:tcW w:type="dxa" w:w="1191"/>
            <w:shd w:fill="17365D"/>
            <w:vAlign w:val="center"/>
          </w:tcPr>
          <w:p>
            <w:pPr>
              <w:spacing w:before="60" w:after="60"/>
              <w:jc w:val="center"/>
            </w:pPr>
            <w:r>
              <w:rPr>
                <w:rFonts w:ascii="Calibri" w:hAnsi="Calibri"/>
                <w:b/>
                <w:color w:val="FFFFFF"/>
                <w:sz w:val="16"/>
              </w:rPr>
              <w:t>P90</w:t>
            </w:r>
          </w:p>
        </w:tc>
        <w:tc>
          <w:tcPr>
            <w:tcW w:type="dxa" w:w="1134"/>
            <w:shd w:fill="17365D"/>
            <w:vAlign w:val="center"/>
          </w:tcPr>
          <w:p>
            <w:pPr>
              <w:spacing w:before="60" w:after="60"/>
              <w:jc w:val="center"/>
            </w:pPr>
            <w:r>
              <w:rPr>
                <w:rFonts w:ascii="Calibri" w:hAnsi="Calibri"/>
                <w:b/>
                <w:color w:val="FFFFFF"/>
                <w:sz w:val="16"/>
              </w:rPr>
              <w:t>Parámetros</w:t>
            </w:r>
          </w:p>
        </w:tc>
        <w:tc>
          <w:tcPr>
            <w:tcW w:type="dxa" w:w="1247"/>
            <w:shd w:fill="17365D"/>
            <w:vAlign w:val="center"/>
          </w:tcPr>
          <w:p>
            <w:pPr>
              <w:spacing w:before="60" w:after="60"/>
              <w:jc w:val="center"/>
            </w:pPr>
            <w:r>
              <w:rPr>
                <w:rFonts w:ascii="Calibri" w:hAnsi="Calibri"/>
                <w:b/>
                <w:color w:val="FFFFFF"/>
                <w:sz w:val="16"/>
              </w:rPr>
              <w:t>Inferencia</w:t>
            </w:r>
          </w:p>
        </w:tc>
        <w:tc>
          <w:tcPr>
            <w:tcW w:type="dxa" w:w="1304"/>
            <w:shd w:fill="17365D"/>
            <w:vAlign w:val="center"/>
          </w:tcPr>
          <w:p>
            <w:pPr>
              <w:spacing w:before="60" w:after="60"/>
              <w:jc w:val="center"/>
            </w:pPr>
            <w:r>
              <w:rPr>
                <w:rFonts w:ascii="Calibri" w:hAnsi="Calibri"/>
                <w:b/>
                <w:color w:val="FFFFFF"/>
                <w:sz w:val="16"/>
              </w:rPr>
              <w:t>Entrenamiento</w:t>
            </w:r>
          </w:p>
        </w:tc>
      </w:tr>
      <w:tr>
        <w:trPr>
          <w:cantSpli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6"/>
              </w:rPr>
              <w:t>MLP</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1.76e-03</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1.53e-04</w:t>
            </w:r>
          </w:p>
        </w:tc>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6.54e-03</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346</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0.139 ms</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14.8 s</w:t>
            </w:r>
          </w:p>
        </w:tc>
      </w:tr>
      <w:tr>
        <w:trPr>
          <w:cantSplit/>
        </w:trPr>
        <w:tc>
          <w:tcPr>
            <w:tcW w:type="dxa" w:w="2268"/>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6"/>
              </w:rPr>
              <w:t>FULL_GNN</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9.26e-04</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9.31e-05</w:t>
            </w:r>
          </w:p>
        </w:tc>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1.83e-03</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346</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1.981 ms</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72.9 s</w:t>
            </w:r>
          </w:p>
        </w:tc>
      </w:tr>
      <w:tr>
        <w:trPr>
          <w:cantSplit/>
        </w:trPr>
        <w:tc>
          <w:tcPr>
            <w:tcW w:type="dxa" w:w="2268"/>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6"/>
              </w:rPr>
              <w:t>TINY_GNN</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1.88e-03</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2.63e-04</w:t>
            </w:r>
          </w:p>
        </w:tc>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3.92e-03</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48</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1.326 ms</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47.0 s</w:t>
            </w:r>
          </w:p>
        </w:tc>
      </w:tr>
      <w:tr>
        <w:trPr>
          <w:cantSplit/>
        </w:trPr>
        <w:tc>
          <w:tcPr>
            <w:tcW w:type="dxa" w:w="2268"/>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6"/>
              </w:rPr>
              <w:t>TINY_GNN + PINN (λ=10)</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1.79e-03</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2.47e-04</w:t>
            </w:r>
          </w:p>
        </w:tc>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3.79e-03</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48</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1.288 ms</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6"/>
              </w:rPr>
              <w:t>58.4 s</w:t>
            </w:r>
          </w:p>
        </w:tc>
      </w:tr>
    </w:tbl>
    <w:p>
      <w:pPr>
        <w:spacing w:after="20"/>
      </w:pPr>
    </w:p>
    <w:p>
      <w:pPr>
        <w:spacing w:before="80" w:after="40"/>
        <w:jc w:val="center"/>
      </w:pPr>
      <w:r>
        <w:drawing>
          <wp:inline xmlns:a="http://schemas.openxmlformats.org/drawingml/2006/main" xmlns:pic="http://schemas.openxmlformats.org/drawingml/2006/picture">
            <wp:extent cx="5989320" cy="3284672"/>
            <wp:docPr id="1" name="Picture 1"/>
            <wp:cNvGraphicFramePr>
              <a:graphicFrameLocks noChangeAspect="1"/>
            </wp:cNvGraphicFramePr>
            <a:graphic>
              <a:graphicData uri="http://schemas.openxmlformats.org/drawingml/2006/picture">
                <pic:pic>
                  <pic:nvPicPr>
                    <pic:cNvPr id="0" name="fig01_global_boxplot.png"/>
                    <pic:cNvPicPr/>
                  </pic:nvPicPr>
                  <pic:blipFill>
                    <a:blip r:embed="rId11"/>
                    <a:stretch>
                      <a:fillRect/>
                    </a:stretch>
                  </pic:blipFill>
                  <pic:spPr>
                    <a:xfrm>
                      <a:off x="0" y="0"/>
                      <a:ext cx="5989320" cy="3284672"/>
                    </a:xfrm>
                    <a:prstGeom prst="rect"/>
                  </pic:spPr>
                </pic:pic>
              </a:graphicData>
            </a:graphic>
          </wp:inline>
        </w:drawing>
      </w:r>
    </w:p>
    <w:p>
      <w:pPr>
        <w:keepNext w:val="0"/>
        <w:spacing w:after="160"/>
        <w:jc w:val="center"/>
      </w:pPr>
      <w:r>
        <w:rPr>
          <w:rFonts w:ascii="Calibri" w:hAnsi="Calibri"/>
          <w:b/>
          <w:color w:val="1F2937"/>
          <w:sz w:val="18"/>
        </w:rPr>
        <w:t xml:space="preserve">Figura 1. </w:t>
      </w:r>
      <w:r>
        <w:rPr>
          <w:rFonts w:ascii="Calibri" w:hAnsi="Calibri"/>
          <w:color w:val="4B5563"/>
          <w:sz w:val="18"/>
        </w:rPr>
        <w:t>Distribución del test MSE a 300 epochs. FULL_GNN concentra más resultados en la zona de bajo error; MLP muestra mayor dispersión.</w:t>
      </w:r>
    </w:p>
    <w:p>
      <w:r>
        <w:rPr>
          <w:b/>
        </w:rPr>
        <w:t xml:space="preserve">Victorias emparejadas. </w:t>
      </w:r>
      <w:r>
        <w:t>De las 143 configuraciones finales comparables, MLP es el mejor modelo base en 64, FULL_GNN en 43 y TINY_GNN en 36. Esto explica por qué MLP puede ganar muchas veces aunque no tenga la mejor media: sus fallos extremos son más costosos.</w:t>
      </w:r>
    </w:p>
    <w:tbl>
      <w:tblPr>
        <w:tblW w:type="auto" w:w="0"/>
        <w:jc w:val="center"/>
        <w:tblLayout w:type="fixed"/>
        <w:tblLook w:firstColumn="1" w:firstRow="1" w:lastColumn="0" w:lastRow="0" w:noHBand="0" w:noVBand="1" w:val="04A0"/>
      </w:tblPr>
      <w:tblGrid>
        <w:gridCol w:w="102"/>
        <w:gridCol w:w="8957"/>
      </w:tblGrid>
      <w:tr>
        <w:tc>
          <w:tcPr>
            <w:tcW w:type="dxa" w:w="102"/>
            <w:shd w:fill="17365D"/>
          </w:tcPr>
          <w:p/>
        </w:tc>
        <w:tc>
          <w:tcPr>
            <w:tcW w:type="dxa" w:w="8957"/>
            <w:shd w:fill="EAF2F8"/>
            <w:vAlign w:val="center"/>
          </w:tcPr>
          <w:p>
            <w:pPr>
              <w:spacing w:before="120" w:after="120"/>
            </w:pPr>
            <w:r>
              <w:rPr>
                <w:rFonts w:ascii="Calibri" w:hAnsi="Calibri"/>
                <w:b/>
                <w:color w:val="17365D"/>
                <w:sz w:val="22"/>
              </w:rPr>
              <w:t>Interpretación</w:t>
              <w:br/>
            </w:r>
            <w:r>
              <w:rPr>
                <w:rFonts w:ascii="Calibri" w:hAnsi="Calibri"/>
                <w:color w:val="1F2937"/>
                <w:sz w:val="20"/>
              </w:rPr>
              <w:t>FULL_GNN es la alternativa más fiable cuando se desea minimizar el riesgo de una seed o condición desfavorable. MLP ofrece mayor potencial de resultado mínimo, pero también mayor varianza. La mediana y el percentil 90 son especialmente importantes para evaluar robustez.</w:t>
            </w:r>
          </w:p>
        </w:tc>
      </w:tr>
    </w:tbl>
    <w:p>
      <w:pPr>
        <w:spacing w:after="20"/>
      </w:pPr>
    </w:p>
    <w:p>
      <w:pPr>
        <w:pStyle w:val="Heading1"/>
      </w:pPr>
      <w:r>
        <w:t>3. Evolución del entrenamiento</w:t>
      </w:r>
    </w:p>
    <w:p>
      <w:r>
        <w:rPr>
          <w:b/>
        </w:rPr>
        <w:t xml:space="preserve">TINY_GNN aprende rápidamente al principio, pero FULL_GNN continúa mejorando durante más tiempo. </w:t>
      </w:r>
      <w:r>
        <w:t>En los checkpoints iniciales la red tiny presenta errores competitivos; a partir de 100 epochs, la capacidad adicional de FULL_GNN se traduce en una ventaja clara. Entre 100 y 300 epochs todavía se observa una reducción importante del error, por lo que detener el entrenamiento en 100 epochs sería prematuro.</w:t>
      </w:r>
    </w:p>
    <w:p>
      <w:pPr>
        <w:spacing w:before="80" w:after="40"/>
        <w:jc w:val="center"/>
      </w:pPr>
      <w:r>
        <w:drawing>
          <wp:inline xmlns:a="http://schemas.openxmlformats.org/drawingml/2006/main" xmlns:pic="http://schemas.openxmlformats.org/drawingml/2006/picture">
            <wp:extent cx="5989320" cy="3384014"/>
            <wp:docPr id="2" name="Picture 2"/>
            <wp:cNvGraphicFramePr>
              <a:graphicFrameLocks noChangeAspect="1"/>
            </wp:cNvGraphicFramePr>
            <a:graphic>
              <a:graphicData uri="http://schemas.openxmlformats.org/drawingml/2006/picture">
                <pic:pic>
                  <pic:nvPicPr>
                    <pic:cNvPr id="0" name="fig02_learning_curves.png"/>
                    <pic:cNvPicPr/>
                  </pic:nvPicPr>
                  <pic:blipFill>
                    <a:blip r:embed="rId12"/>
                    <a:stretch>
                      <a:fillRect/>
                    </a:stretch>
                  </pic:blipFill>
                  <pic:spPr>
                    <a:xfrm>
                      <a:off x="0" y="0"/>
                      <a:ext cx="5989320" cy="3384014"/>
                    </a:xfrm>
                    <a:prstGeom prst="rect"/>
                  </pic:spPr>
                </pic:pic>
              </a:graphicData>
            </a:graphic>
          </wp:inline>
        </w:drawing>
      </w:r>
    </w:p>
    <w:p>
      <w:pPr>
        <w:keepNext w:val="0"/>
        <w:spacing w:after="160"/>
        <w:jc w:val="center"/>
      </w:pPr>
      <w:r>
        <w:rPr>
          <w:rFonts w:ascii="Calibri" w:hAnsi="Calibri"/>
          <w:b/>
          <w:color w:val="1F2937"/>
          <w:sz w:val="18"/>
        </w:rPr>
        <w:t xml:space="preserve">Figura 2. </w:t>
      </w:r>
      <w:r>
        <w:rPr>
          <w:rFonts w:ascii="Calibri" w:hAnsi="Calibri"/>
          <w:color w:val="4B5563"/>
          <w:sz w:val="18"/>
        </w:rPr>
        <w:t>Mediana del test MSE por checkpoint. TINY_GNN converge pronto, mientras FULL_GNN alcanza una solución final superior.</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247"/>
            <w:shd w:fill="17365D"/>
            <w:vAlign w:val="center"/>
          </w:tcPr>
          <w:p>
            <w:pPr>
              <w:spacing w:before="60" w:after="60"/>
              <w:jc w:val="center"/>
            </w:pPr>
            <w:r>
              <w:rPr>
                <w:rFonts w:ascii="Calibri" w:hAnsi="Calibri"/>
                <w:b/>
                <w:color w:val="FFFFFF"/>
                <w:sz w:val="17"/>
              </w:rPr>
              <w:t>Epoch</w:t>
            </w:r>
          </w:p>
        </w:tc>
        <w:tc>
          <w:tcPr>
            <w:tcW w:type="dxa" w:w="1757"/>
            <w:shd w:fill="17365D"/>
            <w:vAlign w:val="center"/>
          </w:tcPr>
          <w:p>
            <w:pPr>
              <w:spacing w:before="60" w:after="60"/>
              <w:jc w:val="center"/>
            </w:pPr>
            <w:r>
              <w:rPr>
                <w:rFonts w:ascii="Calibri" w:hAnsi="Calibri"/>
                <w:b/>
                <w:color w:val="FFFFFF"/>
                <w:sz w:val="17"/>
              </w:rPr>
              <w:t>MLP</w:t>
            </w:r>
          </w:p>
        </w:tc>
        <w:tc>
          <w:tcPr>
            <w:tcW w:type="dxa" w:w="1757"/>
            <w:shd w:fill="17365D"/>
            <w:vAlign w:val="center"/>
          </w:tcPr>
          <w:p>
            <w:pPr>
              <w:spacing w:before="60" w:after="60"/>
              <w:jc w:val="center"/>
            </w:pPr>
            <w:r>
              <w:rPr>
                <w:rFonts w:ascii="Calibri" w:hAnsi="Calibri"/>
                <w:b/>
                <w:color w:val="FFFFFF"/>
                <w:sz w:val="17"/>
              </w:rPr>
              <w:t>FULL_GNN</w:t>
            </w:r>
          </w:p>
        </w:tc>
        <w:tc>
          <w:tcPr>
            <w:tcW w:type="dxa" w:w="1757"/>
            <w:shd w:fill="17365D"/>
            <w:vAlign w:val="center"/>
          </w:tcPr>
          <w:p>
            <w:pPr>
              <w:spacing w:before="60" w:after="60"/>
              <w:jc w:val="center"/>
            </w:pPr>
            <w:r>
              <w:rPr>
                <w:rFonts w:ascii="Calibri" w:hAnsi="Calibri"/>
                <w:b/>
                <w:color w:val="FFFFFF"/>
                <w:sz w:val="17"/>
              </w:rPr>
              <w:t>TINY_GNN</w:t>
            </w:r>
          </w:p>
        </w:tc>
        <w:tc>
          <w:tcPr>
            <w:tcW w:type="dxa" w:w="1984"/>
            <w:shd w:fill="17365D"/>
            <w:vAlign w:val="center"/>
          </w:tcPr>
          <w:p>
            <w:pPr>
              <w:spacing w:before="60" w:after="60"/>
              <w:jc w:val="center"/>
            </w:pPr>
            <w:r>
              <w:rPr>
                <w:rFonts w:ascii="Calibri" w:hAnsi="Calibri"/>
                <w:b/>
                <w:color w:val="FFFFFF"/>
                <w:sz w:val="17"/>
              </w:rPr>
              <w:t>TINY + PINN λ=10</w:t>
            </w:r>
          </w:p>
        </w:tc>
      </w:tr>
      <w:tr>
        <w:trPr>
          <w:cantSplit/>
        </w:trPr>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1</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5.22e-02</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4.99e-02</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3.23e-02</w:t>
            </w:r>
          </w:p>
        </w:tc>
        <w:tc>
          <w:tcPr>
            <w:tcW w:type="dxa" w:w="198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3.23e-02</w:t>
            </w:r>
          </w:p>
        </w:tc>
      </w:tr>
      <w:tr>
        <w:trPr>
          <w:cantSplit/>
        </w:trPr>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10</w:t>
            </w:r>
          </w:p>
        </w:tc>
        <w:tc>
          <w:tcPr>
            <w:tcW w:type="dxa" w:w="175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3.08e-02</w:t>
            </w:r>
          </w:p>
        </w:tc>
        <w:tc>
          <w:tcPr>
            <w:tcW w:type="dxa" w:w="175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3.49e-02</w:t>
            </w:r>
          </w:p>
        </w:tc>
        <w:tc>
          <w:tcPr>
            <w:tcW w:type="dxa" w:w="175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2.34e-02</w:t>
            </w:r>
          </w:p>
        </w:tc>
        <w:tc>
          <w:tcPr>
            <w:tcW w:type="dxa" w:w="198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2.34e-02</w:t>
            </w:r>
          </w:p>
        </w:tc>
      </w:tr>
      <w:tr>
        <w:trPr>
          <w:cantSplit/>
        </w:trPr>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50</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1.50e-02</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7.94e-03</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8.34e-03</w:t>
            </w:r>
          </w:p>
        </w:tc>
        <w:tc>
          <w:tcPr>
            <w:tcW w:type="dxa" w:w="198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8.34e-03</w:t>
            </w:r>
          </w:p>
        </w:tc>
      </w:tr>
      <w:tr>
        <w:trPr>
          <w:cantSplit/>
        </w:trPr>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100</w:t>
            </w:r>
          </w:p>
        </w:tc>
        <w:tc>
          <w:tcPr>
            <w:tcW w:type="dxa" w:w="175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8.12e-03</w:t>
            </w:r>
          </w:p>
        </w:tc>
        <w:tc>
          <w:tcPr>
            <w:tcW w:type="dxa" w:w="175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1.49e-03</w:t>
            </w:r>
          </w:p>
        </w:tc>
        <w:tc>
          <w:tcPr>
            <w:tcW w:type="dxa" w:w="175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6.26e-03</w:t>
            </w:r>
          </w:p>
        </w:tc>
        <w:tc>
          <w:tcPr>
            <w:tcW w:type="dxa" w:w="198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6.26e-03</w:t>
            </w:r>
          </w:p>
        </w:tc>
      </w:tr>
      <w:tr>
        <w:trPr>
          <w:cantSplit/>
        </w:trPr>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300</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1.53e-04</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9.31e-05</w:t>
            </w:r>
          </w:p>
        </w:tc>
        <w:tc>
          <w:tcPr>
            <w:tcW w:type="dxa" w:w="175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2.63e-04</w:t>
            </w:r>
          </w:p>
        </w:tc>
        <w:tc>
          <w:tcPr>
            <w:tcW w:type="dxa" w:w="198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2.47e-04</w:t>
            </w:r>
          </w:p>
        </w:tc>
      </w:tr>
    </w:tbl>
    <w:p>
      <w:pPr>
        <w:spacing w:after="20"/>
      </w:pPr>
    </w:p>
    <w:p>
      <w:pPr>
        <w:pStyle w:val="Heading1"/>
      </w:pPr>
      <w:r>
        <w:t>4. Capacidad del modelo y dimensión oculta</w:t>
      </w:r>
    </w:p>
    <w:p>
      <w:r>
        <w:rPr>
          <w:b/>
        </w:rPr>
        <w:t xml:space="preserve">La dimensión oculta es uno de los factores con mayor impacto. </w:t>
      </w:r>
      <w:r>
        <w:t>En datos completos y sin ruido, aumentar hidden dimension mejora de forma notable los cuatro modelos. El salto de TINY_GNN de hidden=16 a hidden=32 reduce el MSE medio aproximadamente 27 veces, pasando de un modelo claramente limitado a una alternativa cercana a FULL_GNN.</w:t>
      </w:r>
    </w:p>
    <w:p>
      <w:pPr>
        <w:spacing w:before="80" w:after="40"/>
        <w:jc w:val="center"/>
      </w:pPr>
      <w:r>
        <w:drawing>
          <wp:inline xmlns:a="http://schemas.openxmlformats.org/drawingml/2006/main" xmlns:pic="http://schemas.openxmlformats.org/drawingml/2006/picture">
            <wp:extent cx="5989320" cy="3384014"/>
            <wp:docPr id="3" name="Picture 3"/>
            <wp:cNvGraphicFramePr>
              <a:graphicFrameLocks noChangeAspect="1"/>
            </wp:cNvGraphicFramePr>
            <a:graphic>
              <a:graphicData uri="http://schemas.openxmlformats.org/drawingml/2006/picture">
                <pic:pic>
                  <pic:nvPicPr>
                    <pic:cNvPr id="0" name="fig03_hidden_dimension.png"/>
                    <pic:cNvPicPr/>
                  </pic:nvPicPr>
                  <pic:blipFill>
                    <a:blip r:embed="rId13"/>
                    <a:stretch>
                      <a:fillRect/>
                    </a:stretch>
                  </pic:blipFill>
                  <pic:spPr>
                    <a:xfrm>
                      <a:off x="0" y="0"/>
                      <a:ext cx="5989320" cy="3384014"/>
                    </a:xfrm>
                    <a:prstGeom prst="rect"/>
                  </pic:spPr>
                </pic:pic>
              </a:graphicData>
            </a:graphic>
          </wp:inline>
        </w:drawing>
      </w:r>
    </w:p>
    <w:p>
      <w:pPr>
        <w:keepNext w:val="0"/>
        <w:spacing w:after="160"/>
        <w:jc w:val="center"/>
      </w:pPr>
      <w:r>
        <w:rPr>
          <w:rFonts w:ascii="Calibri" w:hAnsi="Calibri"/>
          <w:b/>
          <w:color w:val="1F2937"/>
          <w:sz w:val="18"/>
        </w:rPr>
        <w:t xml:space="preserve">Figura 3. </w:t>
      </w:r>
      <w:r>
        <w:rPr>
          <w:rFonts w:ascii="Calibri" w:hAnsi="Calibri"/>
          <w:color w:val="4B5563"/>
          <w:sz w:val="18"/>
        </w:rPr>
        <w:t>Efecto de hidden dimension sobre el error medio en el escenario limpio. La mejora es especialmente pronunciada entre 16 y 32.</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2891"/>
            <w:shd w:fill="17365D"/>
            <w:vAlign w:val="center"/>
          </w:tcPr>
          <w:p>
            <w:pPr>
              <w:spacing w:before="60" w:after="60"/>
              <w:jc w:val="center"/>
            </w:pPr>
            <w:r>
              <w:rPr>
                <w:rFonts w:ascii="Calibri" w:hAnsi="Calibri"/>
                <w:b/>
                <w:color w:val="FFFFFF"/>
                <w:sz w:val="18"/>
              </w:rPr>
              <w:t>Modelo (hidden=32)</w:t>
            </w:r>
          </w:p>
        </w:tc>
        <w:tc>
          <w:tcPr>
            <w:tcW w:type="dxa" w:w="1587"/>
            <w:shd w:fill="17365D"/>
            <w:vAlign w:val="center"/>
          </w:tcPr>
          <w:p>
            <w:pPr>
              <w:spacing w:before="60" w:after="60"/>
              <w:jc w:val="center"/>
            </w:pPr>
            <w:r>
              <w:rPr>
                <w:rFonts w:ascii="Calibri" w:hAnsi="Calibri"/>
                <w:b/>
                <w:color w:val="FFFFFF"/>
                <w:sz w:val="18"/>
              </w:rPr>
              <w:t>MSE medio</w:t>
            </w:r>
          </w:p>
        </w:tc>
        <w:tc>
          <w:tcPr>
            <w:tcW w:type="dxa" w:w="1417"/>
            <w:shd w:fill="17365D"/>
            <w:vAlign w:val="center"/>
          </w:tcPr>
          <w:p>
            <w:pPr>
              <w:spacing w:before="60" w:after="60"/>
              <w:jc w:val="center"/>
            </w:pPr>
            <w:r>
              <w:rPr>
                <w:rFonts w:ascii="Calibri" w:hAnsi="Calibri"/>
                <w:b/>
                <w:color w:val="FFFFFF"/>
                <w:sz w:val="18"/>
              </w:rPr>
              <w:t>Parámetros</w:t>
            </w:r>
          </w:p>
        </w:tc>
        <w:tc>
          <w:tcPr>
            <w:tcW w:type="dxa" w:w="1531"/>
            <w:shd w:fill="17365D"/>
            <w:vAlign w:val="center"/>
          </w:tcPr>
          <w:p>
            <w:pPr>
              <w:spacing w:before="60" w:after="60"/>
              <w:jc w:val="center"/>
            </w:pPr>
            <w:r>
              <w:rPr>
                <w:rFonts w:ascii="Calibri" w:hAnsi="Calibri"/>
                <w:b/>
                <w:color w:val="FFFFFF"/>
                <w:sz w:val="18"/>
              </w:rPr>
              <w:t>Inferencia</w:t>
            </w:r>
          </w:p>
        </w:tc>
        <w:tc>
          <w:tcPr>
            <w:tcW w:type="dxa" w:w="1531"/>
            <w:shd w:fill="17365D"/>
            <w:vAlign w:val="center"/>
          </w:tcPr>
          <w:p>
            <w:pPr>
              <w:spacing w:before="60" w:after="60"/>
              <w:jc w:val="center"/>
            </w:pPr>
            <w:r>
              <w:rPr>
                <w:rFonts w:ascii="Calibri" w:hAnsi="Calibri"/>
                <w:b/>
                <w:color w:val="FFFFFF"/>
                <w:sz w:val="18"/>
              </w:rPr>
              <w:t>Entrenamiento</w:t>
            </w:r>
          </w:p>
        </w:tc>
      </w:tr>
      <w:tr>
        <w:trPr>
          <w:cantSplit/>
        </w:trPr>
        <w:tc>
          <w:tcPr>
            <w:tcW w:type="dxa" w:w="28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MLP</w:t>
            </w:r>
          </w:p>
        </w:tc>
        <w:tc>
          <w:tcPr>
            <w:tcW w:type="dxa" w:w="158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6.29e-06</w:t>
            </w:r>
          </w:p>
        </w:tc>
        <w:tc>
          <w:tcPr>
            <w:tcW w:type="dxa" w:w="141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1153</w:t>
            </w:r>
          </w:p>
        </w:tc>
        <w:tc>
          <w:tcPr>
            <w:tcW w:type="dxa" w:w="153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0.127 ms</w:t>
            </w:r>
          </w:p>
        </w:tc>
        <w:tc>
          <w:tcPr>
            <w:tcW w:type="dxa" w:w="153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21.1 s</w:t>
            </w:r>
          </w:p>
        </w:tc>
      </w:tr>
      <w:tr>
        <w:trPr>
          <w:cantSplit/>
        </w:trPr>
        <w:tc>
          <w:tcPr>
            <w:tcW w:type="dxa" w:w="28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FULL_GNN</w:t>
            </w:r>
          </w:p>
        </w:tc>
        <w:tc>
          <w:tcPr>
            <w:tcW w:type="dxa" w:w="158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2.43e-05</w:t>
            </w:r>
          </w:p>
        </w:tc>
        <w:tc>
          <w:tcPr>
            <w:tcW w:type="dxa" w:w="141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1153</w:t>
            </w:r>
          </w:p>
        </w:tc>
        <w:tc>
          <w:tcPr>
            <w:tcW w:type="dxa" w:w="153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1.990 ms</w:t>
            </w:r>
          </w:p>
        </w:tc>
        <w:tc>
          <w:tcPr>
            <w:tcW w:type="dxa" w:w="153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104.5 s</w:t>
            </w:r>
          </w:p>
        </w:tc>
      </w:tr>
      <w:tr>
        <w:trPr>
          <w:cantSplit/>
        </w:trPr>
        <w:tc>
          <w:tcPr>
            <w:tcW w:type="dxa" w:w="28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TINY_GNN</w:t>
            </w:r>
          </w:p>
        </w:tc>
        <w:tc>
          <w:tcPr>
            <w:tcW w:type="dxa" w:w="158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3.19e-05</w:t>
            </w:r>
          </w:p>
        </w:tc>
        <w:tc>
          <w:tcPr>
            <w:tcW w:type="dxa" w:w="141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97</w:t>
            </w:r>
          </w:p>
        </w:tc>
        <w:tc>
          <w:tcPr>
            <w:tcW w:type="dxa" w:w="153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1.284 ms</w:t>
            </w:r>
          </w:p>
        </w:tc>
        <w:tc>
          <w:tcPr>
            <w:tcW w:type="dxa" w:w="153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67.2 s</w:t>
            </w:r>
          </w:p>
        </w:tc>
      </w:tr>
      <w:tr>
        <w:trPr>
          <w:cantSplit/>
        </w:trPr>
        <w:tc>
          <w:tcPr>
            <w:tcW w:type="dxa" w:w="28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TINY_GNN + PINN (λ=10)</w:t>
            </w:r>
          </w:p>
        </w:tc>
        <w:tc>
          <w:tcPr>
            <w:tcW w:type="dxa" w:w="158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3.19e-05</w:t>
            </w:r>
          </w:p>
        </w:tc>
        <w:tc>
          <w:tcPr>
            <w:tcW w:type="dxa" w:w="141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97</w:t>
            </w:r>
          </w:p>
        </w:tc>
        <w:tc>
          <w:tcPr>
            <w:tcW w:type="dxa" w:w="153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1.254 ms</w:t>
            </w:r>
          </w:p>
        </w:tc>
        <w:tc>
          <w:tcPr>
            <w:tcW w:type="dxa" w:w="153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86.4 s</w:t>
            </w:r>
          </w:p>
        </w:tc>
      </w:tr>
    </w:tbl>
    <w:p>
      <w:pPr>
        <w:spacing w:after="20"/>
      </w:pPr>
    </w:p>
    <w:p>
      <w:pPr>
        <w:spacing w:before="80" w:after="40"/>
        <w:jc w:val="center"/>
      </w:pPr>
      <w:r>
        <w:drawing>
          <wp:inline xmlns:a="http://schemas.openxmlformats.org/drawingml/2006/main" xmlns:pic="http://schemas.openxmlformats.org/drawingml/2006/picture">
            <wp:extent cx="5989320" cy="3517843"/>
            <wp:docPr id="4" name="Picture 4"/>
            <wp:cNvGraphicFramePr>
              <a:graphicFrameLocks noChangeAspect="1"/>
            </wp:cNvGraphicFramePr>
            <a:graphic>
              <a:graphicData uri="http://schemas.openxmlformats.org/drawingml/2006/picture">
                <pic:pic>
                  <pic:nvPicPr>
                    <pic:cNvPr id="0" name="fig07_efficiency_h32.png"/>
                    <pic:cNvPicPr/>
                  </pic:nvPicPr>
                  <pic:blipFill>
                    <a:blip r:embed="rId14"/>
                    <a:stretch>
                      <a:fillRect/>
                    </a:stretch>
                  </pic:blipFill>
                  <pic:spPr>
                    <a:xfrm>
                      <a:off x="0" y="0"/>
                      <a:ext cx="5989320" cy="3517843"/>
                    </a:xfrm>
                    <a:prstGeom prst="rect"/>
                  </pic:spPr>
                </pic:pic>
              </a:graphicData>
            </a:graphic>
          </wp:inline>
        </w:drawing>
      </w:r>
    </w:p>
    <w:p>
      <w:pPr>
        <w:keepNext w:val="0"/>
        <w:spacing w:after="160"/>
        <w:jc w:val="center"/>
      </w:pPr>
      <w:r>
        <w:rPr>
          <w:rFonts w:ascii="Calibri" w:hAnsi="Calibri"/>
          <w:b/>
          <w:color w:val="1F2937"/>
          <w:sz w:val="18"/>
        </w:rPr>
        <w:t xml:space="preserve">Figura 4. </w:t>
      </w:r>
      <w:r>
        <w:rPr>
          <w:rFonts w:ascii="Calibri" w:hAnsi="Calibri"/>
          <w:color w:val="4B5563"/>
          <w:sz w:val="18"/>
        </w:rPr>
        <w:t>Trade-off precisión–tamaño para hidden=32. TINY_GNN se sitúa en una zona eficiente: muy pocos parámetros con error cercano a FULL_GNN.</w:t>
      </w:r>
    </w:p>
    <w:tbl>
      <w:tblPr>
        <w:tblW w:type="auto" w:w="0"/>
        <w:jc w:val="center"/>
        <w:tblLayout w:type="fixed"/>
        <w:tblLook w:firstColumn="1" w:firstRow="1" w:lastColumn="0" w:lastRow="0" w:noHBand="0" w:noVBand="1" w:val="04A0"/>
      </w:tblPr>
      <w:tblGrid>
        <w:gridCol w:w="102"/>
        <w:gridCol w:w="8957"/>
      </w:tblGrid>
      <w:tr>
        <w:tc>
          <w:tcPr>
            <w:tcW w:type="dxa" w:w="102"/>
            <w:shd w:fill="D97706"/>
          </w:tcPr>
          <w:p/>
        </w:tc>
        <w:tc>
          <w:tcPr>
            <w:tcW w:type="dxa" w:w="8957"/>
            <w:shd w:fill="FFF3E6"/>
            <w:vAlign w:val="center"/>
          </w:tcPr>
          <w:p>
            <w:pPr>
              <w:spacing w:before="120" w:after="120"/>
            </w:pPr>
            <w:r>
              <w:rPr>
                <w:rFonts w:ascii="Calibri" w:hAnsi="Calibri"/>
                <w:b/>
                <w:color w:val="D97706"/>
                <w:sz w:val="22"/>
              </w:rPr>
              <w:t>Resultado destacado de TINY_GNN</w:t>
              <w:br/>
            </w:r>
            <w:r>
              <w:rPr>
                <w:rFonts w:ascii="Calibri" w:hAnsi="Calibri"/>
                <w:color w:val="1F2937"/>
                <w:sz w:val="20"/>
              </w:rPr>
              <w:t>Con hidden=32, TINY_GNN tiene 97 parámetros frente a 1153 de FULL_GNN (91.6% menos). Su MSE es 31.1% superior, pero reduce un 35.5% la inferencia y un 35.7% el tiempo de entrenamiento.</w:t>
            </w:r>
          </w:p>
        </w:tc>
      </w:tr>
    </w:tbl>
    <w:p>
      <w:pPr>
        <w:spacing w:after="20"/>
      </w:pPr>
    </w:p>
    <w:p>
      <w:pPr>
        <w:pStyle w:val="Heading1"/>
      </w:pPr>
      <w:r>
        <w:t>5. Eficiencia de datos</w:t>
      </w:r>
    </w:p>
    <w:p>
      <w:r>
        <w:rPr>
          <w:b/>
        </w:rPr>
        <w:t xml:space="preserve">La fracción de datos tiene un efecto sorprendentemente pequeño. </w:t>
      </w:r>
      <w:r>
        <w:t>Con hidden=16 y datos limpios, utilizar el 1% o el 100% del conjunto produce errores medios muy similares. No existe una tendencia monotónica clara al aumentar los pares de entrenamiento.</w:t>
      </w:r>
    </w:p>
    <w:p>
      <w:pPr>
        <w:spacing w:before="80" w:after="40"/>
        <w:jc w:val="center"/>
      </w:pPr>
      <w:r>
        <w:drawing>
          <wp:inline xmlns:a="http://schemas.openxmlformats.org/drawingml/2006/main" xmlns:pic="http://schemas.openxmlformats.org/drawingml/2006/picture">
            <wp:extent cx="5989320" cy="3384014"/>
            <wp:docPr id="5" name="Picture 5"/>
            <wp:cNvGraphicFramePr>
              <a:graphicFrameLocks noChangeAspect="1"/>
            </wp:cNvGraphicFramePr>
            <a:graphic>
              <a:graphicData uri="http://schemas.openxmlformats.org/drawingml/2006/picture">
                <pic:pic>
                  <pic:nvPicPr>
                    <pic:cNvPr id="0" name="fig04_data_fraction.png"/>
                    <pic:cNvPicPr/>
                  </pic:nvPicPr>
                  <pic:blipFill>
                    <a:blip r:embed="rId15"/>
                    <a:stretch>
                      <a:fillRect/>
                    </a:stretch>
                  </pic:blipFill>
                  <pic:spPr>
                    <a:xfrm>
                      <a:off x="0" y="0"/>
                      <a:ext cx="5989320" cy="3384014"/>
                    </a:xfrm>
                    <a:prstGeom prst="rect"/>
                  </pic:spPr>
                </pic:pic>
              </a:graphicData>
            </a:graphic>
          </wp:inline>
        </w:drawing>
      </w:r>
    </w:p>
    <w:p>
      <w:pPr>
        <w:keepNext w:val="0"/>
        <w:spacing w:after="160"/>
        <w:jc w:val="center"/>
      </w:pPr>
      <w:r>
        <w:rPr>
          <w:rFonts w:ascii="Calibri" w:hAnsi="Calibri"/>
          <w:b/>
          <w:color w:val="1F2937"/>
          <w:sz w:val="18"/>
        </w:rPr>
        <w:t xml:space="preserve">Figura 5. </w:t>
      </w:r>
      <w:r>
        <w:rPr>
          <w:rFonts w:ascii="Calibri" w:hAnsi="Calibri"/>
          <w:color w:val="4B5563"/>
          <w:sz w:val="18"/>
        </w:rPr>
        <w:t>MSE medio según la fracción de datos. Las curvas son casi planas, señal de elevada redundancia en el conjunto actual.</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191"/>
            <w:shd w:fill="17365D"/>
            <w:vAlign w:val="center"/>
          </w:tcPr>
          <w:p>
            <w:pPr>
              <w:spacing w:before="60" w:after="60"/>
              <w:jc w:val="center"/>
            </w:pPr>
            <w:r>
              <w:rPr>
                <w:rFonts w:ascii="Calibri" w:hAnsi="Calibri"/>
                <w:b/>
                <w:color w:val="FFFFFF"/>
                <w:sz w:val="17"/>
              </w:rPr>
              <w:t>Datos</w:t>
            </w:r>
          </w:p>
        </w:tc>
        <w:tc>
          <w:tcPr>
            <w:tcW w:type="dxa" w:w="1814"/>
            <w:shd w:fill="17365D"/>
            <w:vAlign w:val="center"/>
          </w:tcPr>
          <w:p>
            <w:pPr>
              <w:spacing w:before="60" w:after="60"/>
              <w:jc w:val="center"/>
            </w:pPr>
            <w:r>
              <w:rPr>
                <w:rFonts w:ascii="Calibri" w:hAnsi="Calibri"/>
                <w:b/>
                <w:color w:val="FFFFFF"/>
                <w:sz w:val="17"/>
              </w:rPr>
              <w:t>MLP</w:t>
            </w:r>
          </w:p>
        </w:tc>
        <w:tc>
          <w:tcPr>
            <w:tcW w:type="dxa" w:w="1814"/>
            <w:shd w:fill="17365D"/>
            <w:vAlign w:val="center"/>
          </w:tcPr>
          <w:p>
            <w:pPr>
              <w:spacing w:before="60" w:after="60"/>
              <w:jc w:val="center"/>
            </w:pPr>
            <w:r>
              <w:rPr>
                <w:rFonts w:ascii="Calibri" w:hAnsi="Calibri"/>
                <w:b/>
                <w:color w:val="FFFFFF"/>
                <w:sz w:val="17"/>
              </w:rPr>
              <w:t>FULL_GNN</w:t>
            </w:r>
          </w:p>
        </w:tc>
        <w:tc>
          <w:tcPr>
            <w:tcW w:type="dxa" w:w="1814"/>
            <w:shd w:fill="17365D"/>
            <w:vAlign w:val="center"/>
          </w:tcPr>
          <w:p>
            <w:pPr>
              <w:spacing w:before="60" w:after="60"/>
              <w:jc w:val="center"/>
            </w:pPr>
            <w:r>
              <w:rPr>
                <w:rFonts w:ascii="Calibri" w:hAnsi="Calibri"/>
                <w:b/>
                <w:color w:val="FFFFFF"/>
                <w:sz w:val="17"/>
              </w:rPr>
              <w:t>TINY_GNN</w:t>
            </w:r>
          </w:p>
        </w:tc>
        <w:tc>
          <w:tcPr>
            <w:tcW w:type="dxa" w:w="2041"/>
            <w:shd w:fill="17365D"/>
            <w:vAlign w:val="center"/>
          </w:tcPr>
          <w:p>
            <w:pPr>
              <w:spacing w:before="60" w:after="60"/>
              <w:jc w:val="center"/>
            </w:pPr>
            <w:r>
              <w:rPr>
                <w:rFonts w:ascii="Calibri" w:hAnsi="Calibri"/>
                <w:b/>
                <w:color w:val="FFFFFF"/>
                <w:sz w:val="17"/>
              </w:rPr>
              <w:t>TINY + PINN λ=10</w:t>
            </w:r>
          </w:p>
        </w:tc>
      </w:tr>
      <w:tr>
        <w:trPr>
          <w:cantSplit/>
        </w:trPr>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1%</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1.66e-04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2.33e-04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9.11e-04</w:t>
            </w:r>
          </w:p>
        </w:tc>
        <w:tc>
          <w:tcPr>
            <w:tcW w:type="dxa" w:w="204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9.11e-04</w:t>
            </w:r>
          </w:p>
        </w:tc>
      </w:tr>
      <w:tr>
        <w:trPr>
          <w:cantSplit/>
        </w:trPr>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5%</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1.43e-04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2.39e-04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8.57e-04</w:t>
            </w:r>
          </w:p>
        </w:tc>
        <w:tc>
          <w:tcPr>
            <w:tcW w:type="dxa" w:w="204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8.57e-04</w:t>
            </w:r>
          </w:p>
        </w:tc>
      </w:tr>
      <w:tr>
        <w:trPr>
          <w:cantSplit/>
        </w:trPr>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10%</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1.42e-04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2.54e-04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8.51e-04</w:t>
            </w:r>
          </w:p>
        </w:tc>
        <w:tc>
          <w:tcPr>
            <w:tcW w:type="dxa" w:w="204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8.51e-04</w:t>
            </w:r>
          </w:p>
        </w:tc>
      </w:tr>
      <w:tr>
        <w:trPr>
          <w:cantSplit/>
        </w:trPr>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20%</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1.45e-04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2.45e-04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8.52e-04</w:t>
            </w:r>
          </w:p>
        </w:tc>
        <w:tc>
          <w:tcPr>
            <w:tcW w:type="dxa" w:w="204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8.52e-04</w:t>
            </w:r>
          </w:p>
        </w:tc>
      </w:tr>
      <w:tr>
        <w:trPr>
          <w:cantSplit/>
        </w:trPr>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50%</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1.48e-04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2.43e-04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8.53e-04</w:t>
            </w:r>
          </w:p>
        </w:tc>
        <w:tc>
          <w:tcPr>
            <w:tcW w:type="dxa" w:w="204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8.53e-04</w:t>
            </w:r>
          </w:p>
        </w:tc>
      </w:tr>
      <w:tr>
        <w:trPr>
          <w:cantSplit/>
        </w:trPr>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100%</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1.48e-04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2.48e-04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8.52e-04</w:t>
            </w:r>
          </w:p>
        </w:tc>
        <w:tc>
          <w:tcPr>
            <w:tcW w:type="dxa" w:w="204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8.52e-04</w:t>
            </w:r>
          </w:p>
        </w:tc>
      </w:tr>
    </w:tbl>
    <w:p>
      <w:pPr>
        <w:spacing w:after="20"/>
      </w:pPr>
    </w:p>
    <w:p>
      <w:r>
        <w:rPr>
          <w:b/>
        </w:rPr>
        <w:t xml:space="preserve">Interpretación probable. </w:t>
      </w:r>
      <w:r>
        <w:t>La dinámica es determinista y cada muestra contiene información de toda la cuadrícula. Además, los pares parecen proceder de una misma trayectoria temporal, por lo que las muestras pueden ser muy redundantes. El resultado demuestra que el problema actual es data-efficient, pero no prueba todavía generalización a condiciones iniciales, parámetros físicos o geometrías no observadas.</w:t>
      </w:r>
    </w:p>
    <w:p>
      <w:pPr>
        <w:pStyle w:val="Heading1"/>
      </w:pPr>
      <w:r>
        <w:t>6. Robustez frente al ruido</w:t>
      </w:r>
    </w:p>
    <w:p>
      <w:r>
        <w:rPr>
          <w:b/>
        </w:rPr>
        <w:t xml:space="preserve">El ruido cambia de manera clara la clasificación. </w:t>
      </w:r>
      <w:r>
        <w:t>MLP es excelente con datos limpios, pero su error se degrada rápidamente. FULL_GNN conserva el mejor promedio bajo ruido moderado y alto. TINY_GNN es menos preciso, aunque su degradación relativa es menor que la del MLP.</w:t>
      </w:r>
    </w:p>
    <w:p>
      <w:pPr>
        <w:spacing w:before="80" w:after="40"/>
        <w:jc w:val="center"/>
      </w:pPr>
      <w:r>
        <w:drawing>
          <wp:inline xmlns:a="http://schemas.openxmlformats.org/drawingml/2006/main" xmlns:pic="http://schemas.openxmlformats.org/drawingml/2006/picture">
            <wp:extent cx="5989320" cy="3384014"/>
            <wp:docPr id="6" name="Picture 6"/>
            <wp:cNvGraphicFramePr>
              <a:graphicFrameLocks noChangeAspect="1"/>
            </wp:cNvGraphicFramePr>
            <a:graphic>
              <a:graphicData uri="http://schemas.openxmlformats.org/drawingml/2006/picture">
                <pic:pic>
                  <pic:nvPicPr>
                    <pic:cNvPr id="0" name="fig05_noise_robustness.png"/>
                    <pic:cNvPicPr/>
                  </pic:nvPicPr>
                  <pic:blipFill>
                    <a:blip r:embed="rId16"/>
                    <a:stretch>
                      <a:fillRect/>
                    </a:stretch>
                  </pic:blipFill>
                  <pic:spPr>
                    <a:xfrm>
                      <a:off x="0" y="0"/>
                      <a:ext cx="5989320" cy="3384014"/>
                    </a:xfrm>
                    <a:prstGeom prst="rect"/>
                  </pic:spPr>
                </pic:pic>
              </a:graphicData>
            </a:graphic>
          </wp:inline>
        </w:drawing>
      </w:r>
    </w:p>
    <w:p>
      <w:pPr>
        <w:keepNext w:val="0"/>
        <w:spacing w:after="160"/>
        <w:jc w:val="center"/>
      </w:pPr>
      <w:r>
        <w:rPr>
          <w:rFonts w:ascii="Calibri" w:hAnsi="Calibri"/>
          <w:b/>
          <w:color w:val="1F2937"/>
          <w:sz w:val="18"/>
        </w:rPr>
        <w:t xml:space="preserve">Figura 6. </w:t>
      </w:r>
      <w:r>
        <w:rPr>
          <w:rFonts w:ascii="Calibri" w:hAnsi="Calibri"/>
          <w:color w:val="4B5563"/>
          <w:sz w:val="18"/>
        </w:rPr>
        <w:t>MSE medio frente al nivel de ruido. FULL_GNN presenta la trayectoria más robusta; el MLP se deteriora con rapidez.</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191"/>
            <w:shd w:fill="17365D"/>
            <w:vAlign w:val="center"/>
          </w:tcPr>
          <w:p>
            <w:pPr>
              <w:spacing w:before="60" w:after="60"/>
              <w:jc w:val="center"/>
            </w:pPr>
            <w:r>
              <w:rPr>
                <w:rFonts w:ascii="Calibri" w:hAnsi="Calibri"/>
                <w:b/>
                <w:color w:val="FFFFFF"/>
                <w:sz w:val="17"/>
              </w:rPr>
              <w:t>Ruido</w:t>
            </w:r>
          </w:p>
        </w:tc>
        <w:tc>
          <w:tcPr>
            <w:tcW w:type="dxa" w:w="1814"/>
            <w:shd w:fill="17365D"/>
            <w:vAlign w:val="center"/>
          </w:tcPr>
          <w:p>
            <w:pPr>
              <w:spacing w:before="60" w:after="60"/>
              <w:jc w:val="center"/>
            </w:pPr>
            <w:r>
              <w:rPr>
                <w:rFonts w:ascii="Calibri" w:hAnsi="Calibri"/>
                <w:b/>
                <w:color w:val="FFFFFF"/>
                <w:sz w:val="17"/>
              </w:rPr>
              <w:t>MLP</w:t>
            </w:r>
          </w:p>
        </w:tc>
        <w:tc>
          <w:tcPr>
            <w:tcW w:type="dxa" w:w="1814"/>
            <w:shd w:fill="17365D"/>
            <w:vAlign w:val="center"/>
          </w:tcPr>
          <w:p>
            <w:pPr>
              <w:spacing w:before="60" w:after="60"/>
              <w:jc w:val="center"/>
            </w:pPr>
            <w:r>
              <w:rPr>
                <w:rFonts w:ascii="Calibri" w:hAnsi="Calibri"/>
                <w:b/>
                <w:color w:val="FFFFFF"/>
                <w:sz w:val="17"/>
              </w:rPr>
              <w:t>FULL_GNN</w:t>
            </w:r>
          </w:p>
        </w:tc>
        <w:tc>
          <w:tcPr>
            <w:tcW w:type="dxa" w:w="1814"/>
            <w:shd w:fill="17365D"/>
            <w:vAlign w:val="center"/>
          </w:tcPr>
          <w:p>
            <w:pPr>
              <w:spacing w:before="60" w:after="60"/>
              <w:jc w:val="center"/>
            </w:pPr>
            <w:r>
              <w:rPr>
                <w:rFonts w:ascii="Calibri" w:hAnsi="Calibri"/>
                <w:b/>
                <w:color w:val="FFFFFF"/>
                <w:sz w:val="17"/>
              </w:rPr>
              <w:t>TINY_GNN</w:t>
            </w:r>
          </w:p>
        </w:tc>
        <w:tc>
          <w:tcPr>
            <w:tcW w:type="dxa" w:w="2041"/>
            <w:shd w:fill="17365D"/>
            <w:vAlign w:val="center"/>
          </w:tcPr>
          <w:p>
            <w:pPr>
              <w:spacing w:before="60" w:after="60"/>
              <w:jc w:val="center"/>
            </w:pPr>
            <w:r>
              <w:rPr>
                <w:rFonts w:ascii="Calibri" w:hAnsi="Calibri"/>
                <w:b/>
                <w:color w:val="FFFFFF"/>
                <w:sz w:val="17"/>
              </w:rPr>
              <w:t>TINY + PINN λ=10</w:t>
            </w:r>
          </w:p>
        </w:tc>
      </w:tr>
      <w:tr>
        <w:trPr>
          <w:cantSplit/>
        </w:trPr>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0.00</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1.48e-04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2.48e-04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8.52e-04</w:t>
            </w:r>
          </w:p>
        </w:tc>
        <w:tc>
          <w:tcPr>
            <w:tcW w:type="dxa" w:w="204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8.52e-04</w:t>
            </w:r>
          </w:p>
        </w:tc>
      </w:tr>
      <w:tr>
        <w:trPr>
          <w:cantSplit/>
        </w:trPr>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0.01</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1.56e-04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2.50e-04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8.63e-04</w:t>
            </w:r>
          </w:p>
        </w:tc>
        <w:tc>
          <w:tcPr>
            <w:tcW w:type="dxa" w:w="204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8.49e-04</w:t>
            </w:r>
          </w:p>
        </w:tc>
      </w:tr>
      <w:tr>
        <w:trPr>
          <w:cantSplit/>
        </w:trPr>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0.05</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3.88e-04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3.39e-04</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9.50e-04</w:t>
            </w:r>
          </w:p>
        </w:tc>
        <w:tc>
          <w:tcPr>
            <w:tcW w:type="dxa" w:w="204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8.65e-04</w:t>
            </w:r>
          </w:p>
        </w:tc>
      </w:tr>
      <w:tr>
        <w:trPr>
          <w:cantSplit/>
        </w:trPr>
        <w:tc>
          <w:tcPr>
            <w:tcW w:type="dxa" w:w="119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0.10</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1.46e-03</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4.40e-04</w:t>
            </w:r>
          </w:p>
        </w:tc>
        <w:tc>
          <w:tcPr>
            <w:tcW w:type="dxa" w:w="181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1.17e-03</w:t>
            </w:r>
          </w:p>
        </w:tc>
        <w:tc>
          <w:tcPr>
            <w:tcW w:type="dxa" w:w="204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9.48e-04</w:t>
            </w:r>
          </w:p>
        </w:tc>
      </w:tr>
      <w:tr>
        <w:trPr>
          <w:cantSplit/>
        </w:trPr>
        <w:tc>
          <w:tcPr>
            <w:tcW w:type="dxa" w:w="1191"/>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7"/>
              </w:rPr>
              <w:t>0.20</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6.81e-03</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1.06e-03</w:t>
            </w:r>
          </w:p>
        </w:tc>
        <w:tc>
          <w:tcPr>
            <w:tcW w:type="dxa" w:w="181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2.09e-03</w:t>
            </w:r>
          </w:p>
        </w:tc>
        <w:tc>
          <w:tcPr>
            <w:tcW w:type="dxa" w:w="204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7"/>
              </w:rPr>
              <w:t>1.28e-03</w:t>
            </w:r>
          </w:p>
        </w:tc>
      </w:tr>
    </w:tbl>
    <w:p>
      <w:pPr>
        <w:spacing w:after="20"/>
      </w:pPr>
    </w:p>
    <w:p>
      <w:r>
        <w:rPr>
          <w:b/>
        </w:rPr>
        <w:t xml:space="preserve">Ejemplo extremo. </w:t>
      </w:r>
      <w:r>
        <w:t>Entre ruido=0 y ruido=0.20, el MSE medio del MLP pasa de 1.48e-04 a 6.81e-03, aproximadamente 46 veces más. FULL_GNN aumenta unas 4.3 veces.</w:t>
      </w:r>
    </w:p>
    <w:p>
      <w:pPr>
        <w:pStyle w:val="Heading1"/>
      </w:pPr>
      <w:r>
        <w:t>7. Contribución de la regularización física (PINN)</w:t>
      </w:r>
    </w:p>
    <w:p>
      <w:r>
        <w:rPr>
          <w:b/>
        </w:rPr>
        <w:t xml:space="preserve">La utilidad de PINN depende del nivel de ruido. </w:t>
      </w:r>
      <w:r>
        <w:t>Con datos limpios, las curvas de TINY_GNN y TINY_GNN + PINN son prácticamente indistinguibles. A medida que aumenta el ruido, la pérdida física restringe soluciones inconsistentes y reduce el error de test.</w:t>
      </w:r>
    </w:p>
    <w:p>
      <w:pPr>
        <w:spacing w:before="80" w:after="40"/>
        <w:jc w:val="center"/>
      </w:pPr>
      <w:r>
        <w:drawing>
          <wp:inline xmlns:a="http://schemas.openxmlformats.org/drawingml/2006/main" xmlns:pic="http://schemas.openxmlformats.org/drawingml/2006/picture">
            <wp:extent cx="5989320" cy="3238076"/>
            <wp:docPr id="7" name="Picture 7"/>
            <wp:cNvGraphicFramePr>
              <a:graphicFrameLocks noChangeAspect="1"/>
            </wp:cNvGraphicFramePr>
            <a:graphic>
              <a:graphicData uri="http://schemas.openxmlformats.org/drawingml/2006/picture">
                <pic:pic>
                  <pic:nvPicPr>
                    <pic:cNvPr id="0" name="fig06_pinn_improvement.png"/>
                    <pic:cNvPicPr/>
                  </pic:nvPicPr>
                  <pic:blipFill>
                    <a:blip r:embed="rId17"/>
                    <a:stretch>
                      <a:fillRect/>
                    </a:stretch>
                  </pic:blipFill>
                  <pic:spPr>
                    <a:xfrm>
                      <a:off x="0" y="0"/>
                      <a:ext cx="5989320" cy="3238076"/>
                    </a:xfrm>
                    <a:prstGeom prst="rect"/>
                  </pic:spPr>
                </pic:pic>
              </a:graphicData>
            </a:graphic>
          </wp:inline>
        </w:drawing>
      </w:r>
    </w:p>
    <w:p>
      <w:pPr>
        <w:keepNext w:val="0"/>
        <w:spacing w:after="160"/>
        <w:jc w:val="center"/>
      </w:pPr>
      <w:r>
        <w:rPr>
          <w:rFonts w:ascii="Calibri" w:hAnsi="Calibri"/>
          <w:b/>
          <w:color w:val="1F2937"/>
          <w:sz w:val="18"/>
        </w:rPr>
        <w:t xml:space="preserve">Figura 7. </w:t>
      </w:r>
      <w:r>
        <w:rPr>
          <w:rFonts w:ascii="Calibri" w:hAnsi="Calibri"/>
          <w:color w:val="4B5563"/>
          <w:sz w:val="18"/>
        </w:rPr>
        <w:t>Reducción del MSE de TINY_GNN + PINN (λ=10) respecto a TINY_GNN. La mejora alcanza el 38,6% con ruido=0.20.</w:t>
      </w:r>
    </w:p>
    <w:p>
      <w:pPr>
        <w:spacing w:before="80" w:after="40"/>
        <w:jc w:val="center"/>
      </w:pPr>
      <w:r>
        <w:drawing>
          <wp:inline xmlns:a="http://schemas.openxmlformats.org/drawingml/2006/main" xmlns:pic="http://schemas.openxmlformats.org/drawingml/2006/picture">
            <wp:extent cx="5989320" cy="3510747"/>
            <wp:docPr id="8" name="Picture 8"/>
            <wp:cNvGraphicFramePr>
              <a:graphicFrameLocks noChangeAspect="1"/>
            </wp:cNvGraphicFramePr>
            <a:graphic>
              <a:graphicData uri="http://schemas.openxmlformats.org/drawingml/2006/picture">
                <pic:pic>
                  <pic:nvPicPr>
                    <pic:cNvPr id="0" name="fig08_lambda_heatmap.png"/>
                    <pic:cNvPicPr/>
                  </pic:nvPicPr>
                  <pic:blipFill>
                    <a:blip r:embed="rId18"/>
                    <a:stretch>
                      <a:fillRect/>
                    </a:stretch>
                  </pic:blipFill>
                  <pic:spPr>
                    <a:xfrm>
                      <a:off x="0" y="0"/>
                      <a:ext cx="5989320" cy="3510747"/>
                    </a:xfrm>
                    <a:prstGeom prst="rect"/>
                  </pic:spPr>
                </pic:pic>
              </a:graphicData>
            </a:graphic>
          </wp:inline>
        </w:drawing>
      </w:r>
    </w:p>
    <w:p>
      <w:pPr>
        <w:keepNext w:val="0"/>
        <w:spacing w:after="160"/>
        <w:jc w:val="center"/>
      </w:pPr>
      <w:r>
        <w:rPr>
          <w:rFonts w:ascii="Calibri" w:hAnsi="Calibri"/>
          <w:b/>
          <w:color w:val="1F2937"/>
          <w:sz w:val="18"/>
        </w:rPr>
        <w:t xml:space="preserve">Figura 8. </w:t>
      </w:r>
      <w:r>
        <w:rPr>
          <w:rFonts w:ascii="Calibri" w:hAnsi="Calibri"/>
          <w:color w:val="4B5563"/>
          <w:sz w:val="18"/>
        </w:rPr>
        <w:t>Mejora de PINN para diferentes valores de λ. Los valores altos son más útiles cuando el ruido es elevado; en datos limpios la diferencia es despreciable.</w:t>
      </w:r>
    </w:p>
    <w:p>
      <w:r>
        <w:rPr>
          <w:b/>
        </w:rPr>
        <w:t xml:space="preserve">Selección de λ. </w:t>
      </w:r>
      <w:r>
        <w:t>Dentro del rango probado, λ=10 es el valor más favorable en los escenarios ruidosos. Sin embargo, λ no debería elegirse utilizando test MSE. El procedimiento correcto es seleccionar λ con validation y evaluar una sola vez en test. Para un siguiente barrido resulta razonable concentrarse en valores alrededor de 10 —por ejemplo, 3, 10, 30 y 100— y únicamente en escenarios con ruido.</w:t>
      </w:r>
    </w:p>
    <w:p>
      <w:pPr>
        <w:pStyle w:val="Heading1"/>
      </w:pPr>
      <w:r>
        <w:t>8. Interpretación del baseline MLP</w:t>
      </w:r>
    </w:p>
    <w:p>
      <w:r>
        <w:rPr>
          <w:b/>
        </w:rPr>
        <w:t xml:space="preserve">El MLP es un baseline mucho más fuerte de lo esperado. </w:t>
      </w:r>
      <w:r>
        <w:t>En el escenario limpio con hidden=32 obtiene un MSE medio de 6.29e-06, un 74.1% menor que FULL_GNN. Además, su inferencia es 15.7 veces más rápida y su entrenamiento requiere un 79.8% menos de tiempo.</w:t>
      </w:r>
    </w:p>
    <w:tbl>
      <w:tblPr>
        <w:tblW w:type="auto" w:w="0"/>
        <w:jc w:val="center"/>
        <w:tblLayout w:type="fixed"/>
        <w:tblLook w:firstColumn="1" w:firstRow="1" w:lastColumn="0" w:lastRow="0" w:noHBand="0" w:noVBand="1" w:val="04A0"/>
      </w:tblPr>
      <w:tblGrid>
        <w:gridCol w:w="102"/>
        <w:gridCol w:w="8957"/>
      </w:tblGrid>
      <w:tr>
        <w:tc>
          <w:tcPr>
            <w:tcW w:type="dxa" w:w="102"/>
            <w:shd w:fill="17365D"/>
          </w:tcPr>
          <w:p/>
        </w:tc>
        <w:tc>
          <w:tcPr>
            <w:tcW w:type="dxa" w:w="8957"/>
            <w:shd w:fill="EAF2F8"/>
            <w:vAlign w:val="center"/>
          </w:tcPr>
          <w:p>
            <w:pPr>
              <w:spacing w:before="120" w:after="120"/>
            </w:pPr>
            <w:r>
              <w:rPr>
                <w:rFonts w:ascii="Calibri" w:hAnsi="Calibri"/>
                <w:b/>
                <w:color w:val="17365D"/>
                <w:sz w:val="22"/>
              </w:rPr>
              <w:t>Qué significa para el TFG</w:t>
              <w:br/>
            </w:r>
            <w:r>
              <w:rPr>
                <w:rFonts w:ascii="Calibri" w:hAnsi="Calibri"/>
                <w:color w:val="1F2937"/>
                <w:sz w:val="20"/>
              </w:rPr>
              <w:t>En una cuadrícula fija y con una dinámica sencilla, la estructura de grafo no parece imprescindible para interpolar la transformación observada. Esto no invalida las GNN: indica que el experimento actual no exige todavía su ventaja inductiva. La comparación más informativa será la generalización a nuevos tamaños de grid, topologías, condiciones iniciales y parámetros físicos.</w:t>
            </w:r>
          </w:p>
        </w:tc>
      </w:tr>
    </w:tbl>
    <w:p>
      <w:pPr>
        <w:spacing w:after="20"/>
      </w:pPr>
    </w:p>
    <w:p>
      <w:pPr>
        <w:pStyle w:val="ListBullet"/>
        <w:spacing w:after="60"/>
      </w:pPr>
      <w:r>
        <w:rPr>
          <w:rFonts w:ascii="Calibri" w:hAnsi="Calibri"/>
          <w:color w:val="1F2937"/>
          <w:sz w:val="21"/>
        </w:rPr>
        <w:t>Evaluar en grids de tamaño no visto durante el entrenamiento.</w:t>
      </w:r>
    </w:p>
    <w:p>
      <w:pPr>
        <w:pStyle w:val="ListBullet"/>
        <w:spacing w:after="60"/>
      </w:pPr>
      <w:r>
        <w:rPr>
          <w:rFonts w:ascii="Calibri" w:hAnsi="Calibri"/>
          <w:color w:val="1F2937"/>
          <w:sz w:val="21"/>
        </w:rPr>
        <w:t>Cambiar la conectividad o introducir geometrías irregulares.</w:t>
      </w:r>
    </w:p>
    <w:p>
      <w:pPr>
        <w:pStyle w:val="ListBullet"/>
        <w:spacing w:after="60"/>
      </w:pPr>
      <w:r>
        <w:rPr>
          <w:rFonts w:ascii="Calibri" w:hAnsi="Calibri"/>
          <w:color w:val="1F2937"/>
          <w:sz w:val="21"/>
        </w:rPr>
        <w:t>Entrenar con unas condiciones iniciales y probar con otras.</w:t>
      </w:r>
    </w:p>
    <w:p>
      <w:pPr>
        <w:pStyle w:val="ListBullet"/>
        <w:spacing w:after="60"/>
      </w:pPr>
      <w:r>
        <w:rPr>
          <w:rFonts w:ascii="Calibri" w:hAnsi="Calibri"/>
          <w:color w:val="1F2937"/>
          <w:sz w:val="21"/>
        </w:rPr>
        <w:t>Variar α, dt y dx, manteniendo separadas las combinaciones de train y test.</w:t>
      </w:r>
    </w:p>
    <w:p>
      <w:pPr>
        <w:pStyle w:val="ListBullet"/>
        <w:spacing w:after="60"/>
      </w:pPr>
      <w:r>
        <w:rPr>
          <w:rFonts w:ascii="Calibri" w:hAnsi="Calibri"/>
          <w:color w:val="1F2937"/>
          <w:sz w:val="21"/>
        </w:rPr>
        <w:t>Medir rollouts de varios pasos, no solo predicción de un paso.</w:t>
      </w:r>
    </w:p>
    <w:p>
      <w:pPr>
        <w:pStyle w:val="Heading1"/>
      </w:pPr>
      <w:r>
        <w:t>9. Limitaciones y comprobaciones metodológicas</w:t>
      </w:r>
    </w:p>
    <w:p>
      <w:pPr>
        <w:pStyle w:val="Heading2"/>
      </w:pPr>
      <w:r>
        <w:t>9.1. MSE y physics violation no son evidencias independientes</w:t>
      </w:r>
    </w:p>
    <w:p>
      <w:r>
        <w:rPr>
          <w:b/>
        </w:rPr>
        <w:t xml:space="preserve">Las dos métricas coinciden casi exactamente. </w:t>
      </w:r>
      <w:r>
        <w:t>La correlación calculada sobre los 5,720 registros es 1.000000000000000 y la diferencia relativa máxima es 1.80e-07. Esto probablemente ocurre porque el ground truth fue generado con la misma ecuación usada para medir el residual físico.</w:t>
      </w:r>
    </w:p>
    <w:p>
      <w:pPr>
        <w:spacing w:before="80" w:after="40"/>
        <w:jc w:val="center"/>
      </w:pPr>
      <w:r>
        <w:drawing>
          <wp:inline xmlns:a="http://schemas.openxmlformats.org/drawingml/2006/main" xmlns:pic="http://schemas.openxmlformats.org/drawingml/2006/picture">
            <wp:extent cx="5989320" cy="4407806"/>
            <wp:docPr id="9" name="Picture 9"/>
            <wp:cNvGraphicFramePr>
              <a:graphicFrameLocks noChangeAspect="1"/>
            </wp:cNvGraphicFramePr>
            <a:graphic>
              <a:graphicData uri="http://schemas.openxmlformats.org/drawingml/2006/picture">
                <pic:pic>
                  <pic:nvPicPr>
                    <pic:cNvPr id="0" name="fig09_physics_equivalence.png"/>
                    <pic:cNvPicPr/>
                  </pic:nvPicPr>
                  <pic:blipFill>
                    <a:blip r:embed="rId19"/>
                    <a:stretch>
                      <a:fillRect/>
                    </a:stretch>
                  </pic:blipFill>
                  <pic:spPr>
                    <a:xfrm>
                      <a:off x="0" y="0"/>
                      <a:ext cx="5989320" cy="4407806"/>
                    </a:xfrm>
                    <a:prstGeom prst="rect"/>
                  </pic:spPr>
                </pic:pic>
              </a:graphicData>
            </a:graphic>
          </wp:inline>
        </w:drawing>
      </w:r>
    </w:p>
    <w:p>
      <w:pPr>
        <w:keepNext w:val="0"/>
        <w:spacing w:after="160"/>
        <w:jc w:val="center"/>
      </w:pPr>
      <w:r>
        <w:rPr>
          <w:rFonts w:ascii="Calibri" w:hAnsi="Calibri"/>
          <w:b/>
          <w:color w:val="1F2937"/>
          <w:sz w:val="18"/>
        </w:rPr>
        <w:t xml:space="preserve">Figura 9. </w:t>
      </w:r>
      <w:r>
        <w:rPr>
          <w:rFonts w:ascii="Calibri" w:hAnsi="Calibri"/>
          <w:color w:val="4B5563"/>
          <w:sz w:val="18"/>
        </w:rPr>
        <w:t>Relación entre test MSE y physics violation. Los puntos se superponen con la recta y=x.</w:t>
      </w:r>
    </w:p>
    <w:p>
      <w:r>
        <w:rPr>
          <w:b/>
        </w:rPr>
        <w:t xml:space="preserve">Consecuencia. </w:t>
      </w:r>
      <w:r>
        <w:t>No debe presentarse una reducción simultánea de ambas métricas como dos pruebas independientes. Para medir consistencia física de forma separada conviene añadir conservación de energía, estabilidad de rollout, cumplimiento de condiciones de contorno o evaluación bajo parámetros físicos no vistos.</w:t>
      </w:r>
    </w:p>
    <w:p>
      <w:pPr>
        <w:pStyle w:val="Heading2"/>
      </w:pPr>
      <w:r>
        <w:t>9.2. El conjunto de test parece sistemáticamente más sencillo</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35"/>
            <w:shd w:fill="17365D"/>
            <w:vAlign w:val="center"/>
          </w:tcPr>
          <w:p>
            <w:pPr>
              <w:spacing w:before="60" w:after="60"/>
              <w:jc w:val="center"/>
            </w:pPr>
            <w:r>
              <w:rPr>
                <w:rFonts w:ascii="Calibri" w:hAnsi="Calibri"/>
                <w:b/>
                <w:color w:val="FFFFFF"/>
                <w:sz w:val="18"/>
              </w:rPr>
              <w:t>Modelo</w:t>
            </w:r>
          </w:p>
        </w:tc>
        <w:tc>
          <w:tcPr>
            <w:tcW w:type="dxa" w:w="4252"/>
            <w:shd w:fill="17365D"/>
            <w:vAlign w:val="center"/>
          </w:tcPr>
          <w:p>
            <w:pPr>
              <w:spacing w:before="60" w:after="60"/>
              <w:jc w:val="center"/>
            </w:pPr>
            <w:r>
              <w:rPr>
                <w:rFonts w:ascii="Calibri" w:hAnsi="Calibri"/>
                <w:b/>
                <w:color w:val="FFFFFF"/>
                <w:sz w:val="18"/>
              </w:rPr>
              <w:t>Ejecuciones con test MSE &lt; validation MSE</w:t>
            </w:r>
          </w:p>
        </w:tc>
      </w:tr>
      <w:tr>
        <w:trPr>
          <w:cantSplit/>
        </w:trPr>
        <w:tc>
          <w:tcPr>
            <w:tcW w:type="dxa" w:w="4535"/>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MLP</w:t>
            </w:r>
          </w:p>
        </w:tc>
        <w:tc>
          <w:tcPr>
            <w:tcW w:type="dxa" w:w="4252"/>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89.9%</w:t>
            </w:r>
          </w:p>
        </w:tc>
      </w:tr>
      <w:tr>
        <w:trPr>
          <w:cantSplit/>
        </w:trPr>
        <w:tc>
          <w:tcPr>
            <w:tcW w:type="dxa" w:w="4535"/>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FULL_GNN</w:t>
            </w:r>
          </w:p>
        </w:tc>
        <w:tc>
          <w:tcPr>
            <w:tcW w:type="dxa" w:w="4252"/>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87.1%</w:t>
            </w:r>
          </w:p>
        </w:tc>
      </w:tr>
      <w:tr>
        <w:trPr>
          <w:cantSplit/>
        </w:trPr>
        <w:tc>
          <w:tcPr>
            <w:tcW w:type="dxa" w:w="4535"/>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TINY_GNN</w:t>
            </w:r>
          </w:p>
        </w:tc>
        <w:tc>
          <w:tcPr>
            <w:tcW w:type="dxa" w:w="4252"/>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98.3%</w:t>
            </w:r>
          </w:p>
        </w:tc>
      </w:tr>
      <w:tr>
        <w:trPr>
          <w:cantSplit/>
        </w:trPr>
        <w:tc>
          <w:tcPr>
            <w:tcW w:type="dxa" w:w="4535"/>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8"/>
              </w:rPr>
              <w:t>TINY_GNN + PINN (λ=10)</w:t>
            </w:r>
          </w:p>
        </w:tc>
        <w:tc>
          <w:tcPr>
            <w:tcW w:type="dxa" w:w="4252"/>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8"/>
              </w:rPr>
              <w:t>96.8%</w:t>
            </w:r>
          </w:p>
        </w:tc>
      </w:tr>
    </w:tbl>
    <w:p>
      <w:pPr>
        <w:spacing w:after="20"/>
      </w:pPr>
    </w:p>
    <w:p>
      <w:r>
        <w:rPr>
          <w:b/>
        </w:rPr>
        <w:t xml:space="preserve">Este patrón no implica necesariamente leakage, pero sí requiere revisión. </w:t>
      </w:r>
      <w:r>
        <w:t>Puede deberse a que el tramo temporal de test sea más suave o menos complejo. Se recomienda realizar particiones por condiciones iniciales o por simulaciones completas, no únicamente por tramos consecutivos de una misma trayectoria.</w:t>
      </w:r>
    </w:p>
    <w:p>
      <w:pPr>
        <w:pStyle w:val="Heading2"/>
      </w:pPr>
      <w:r>
        <w:t>9.3. Cuidado con el “mejor resultado” del dashboard</w:t>
      </w:r>
    </w:p>
    <w:p>
      <w:r>
        <w:rPr>
          <w:b/>
        </w:rPr>
        <w:t xml:space="preserve">El mejor resultado individual es MLP con seed=42, hidden=16, data_fraction=0.01 y MSE=3.23e-08. </w:t>
      </w:r>
      <w:r>
        <w:t>Es un caso extremo y no representa el comportamiento típico. Para conclusiones generales deben priorizarse la media, mediana, percentiles y comparaciones emparejadas.</w:t>
      </w:r>
    </w:p>
    <w:p>
      <w:r>
        <w:rPr>
          <w:b/>
        </w:rPr>
        <w:t xml:space="preserve">También debe evitarse comparar directamente medias de hidden dimension, fracción de datos o ruido si las demás variables no están fijadas. </w:t>
      </w:r>
      <w:r>
        <w:t>En este informe cada análisis parcial mantiene constantes las variables restantes.</w:t>
      </w:r>
    </w:p>
    <w:p>
      <w:pPr>
        <w:pStyle w:val="Heading1"/>
      </w:pPr>
      <w:r>
        <w:t>10. Conclusiones y recomendaciones</w:t>
      </w:r>
    </w:p>
    <w:p>
      <w:pPr>
        <w:pStyle w:val="ListNumber"/>
        <w:spacing w:after="60"/>
      </w:pPr>
      <w:r>
        <w:rPr>
          <w:rFonts w:ascii="Calibri" w:hAnsi="Calibri"/>
          <w:color w:val="1F2937"/>
          <w:sz w:val="21"/>
        </w:rPr>
        <w:t>FULL_GNN es el modelo más robusto y preciso en promedio: test MSE medio 9.26e-04 a 300 epochs.</w:t>
      </w:r>
    </w:p>
    <w:p>
      <w:pPr>
        <w:pStyle w:val="ListNumber"/>
        <w:spacing w:after="60"/>
      </w:pPr>
      <w:r>
        <w:rPr>
          <w:rFonts w:ascii="Calibri" w:hAnsi="Calibri"/>
          <w:color w:val="1F2937"/>
          <w:sz w:val="21"/>
        </w:rPr>
        <w:t>MLP gana 64 de 143 comparaciones finales y domina en datos limpios, pero es mucho más sensible al ruido y a la seed.</w:t>
      </w:r>
    </w:p>
    <w:p>
      <w:pPr>
        <w:pStyle w:val="ListNumber"/>
        <w:spacing w:after="60"/>
      </w:pPr>
      <w:r>
        <w:rPr>
          <w:rFonts w:ascii="Calibri" w:hAnsi="Calibri"/>
          <w:color w:val="1F2937"/>
          <w:sz w:val="21"/>
        </w:rPr>
        <w:t>TINY_GNN con hidden=32 ofrece el mejor compromiso de despliegue: 91.6% menos parámetros que FULL_GNN y solo 31.1% más error en el escenario limpio.</w:t>
      </w:r>
    </w:p>
    <w:p>
      <w:pPr>
        <w:pStyle w:val="ListNumber"/>
        <w:spacing w:after="60"/>
      </w:pPr>
      <w:r>
        <w:rPr>
          <w:rFonts w:ascii="Calibri" w:hAnsi="Calibri"/>
          <w:color w:val="1F2937"/>
          <w:sz w:val="21"/>
        </w:rPr>
        <w:t>PINN no aporta una mejora material sin ruido; con ruido=0.20 y λ=10 reduce el error de TINY_GNN un 38.6%.</w:t>
      </w:r>
    </w:p>
    <w:p>
      <w:pPr>
        <w:pStyle w:val="ListNumber"/>
        <w:spacing w:after="60"/>
      </w:pPr>
      <w:r>
        <w:rPr>
          <w:rFonts w:ascii="Calibri" w:hAnsi="Calibri"/>
          <w:color w:val="1F2937"/>
          <w:sz w:val="21"/>
        </w:rPr>
        <w:t>La fracción de datos apenas afecta al resultado, lo que sugiere una tarea muy redundante y fácil de identificar con pocas muestras.</w:t>
      </w:r>
    </w:p>
    <w:p>
      <w:pPr>
        <w:pStyle w:val="ListNumber"/>
        <w:spacing w:after="60"/>
      </w:pPr>
      <w:r>
        <w:rPr>
          <w:rFonts w:ascii="Calibri" w:hAnsi="Calibri"/>
          <w:color w:val="1F2937"/>
          <w:sz w:val="21"/>
        </w:rPr>
        <w:t>El experimento actual favorece la interpolación en una cuadrícula fija. Para demostrar la ventaja estructural de las GNN debe evaluarse generalización fuera de distribución.</w:t>
      </w:r>
    </w:p>
    <w:p>
      <w:pPr>
        <w:pStyle w:val="ListNumber"/>
        <w:spacing w:after="60"/>
      </w:pPr>
      <w:r>
        <w:rPr>
          <w:rFonts w:ascii="Calibri" w:hAnsi="Calibri"/>
          <w:color w:val="1F2937"/>
          <w:sz w:val="21"/>
        </w:rPr>
        <w:t>Physics violation debe sustituirse o complementarse con una métrica física independiente, ya que actualmente es equivalente al MSE.</w:t>
      </w:r>
    </w:p>
    <w:tbl>
      <w:tblPr>
        <w:tblW w:type="auto" w:w="0"/>
        <w:jc w:val="center"/>
        <w:tblLayout w:type="fixed"/>
        <w:tblLook w:firstColumn="1" w:firstRow="1" w:lastColumn="0" w:lastRow="0" w:noHBand="0" w:noVBand="1" w:val="04A0"/>
      </w:tblPr>
      <w:tblGrid>
        <w:gridCol w:w="102"/>
        <w:gridCol w:w="8957"/>
      </w:tblGrid>
      <w:tr>
        <w:tc>
          <w:tcPr>
            <w:tcW w:type="dxa" w:w="102"/>
            <w:shd w:fill="0F8B8D"/>
          </w:tcPr>
          <w:p/>
        </w:tc>
        <w:tc>
          <w:tcPr>
            <w:tcW w:type="dxa" w:w="8957"/>
            <w:shd w:fill="E8F6F3"/>
            <w:vAlign w:val="center"/>
          </w:tcPr>
          <w:p>
            <w:pPr>
              <w:spacing w:before="120" w:after="120"/>
            </w:pPr>
            <w:r>
              <w:rPr>
                <w:rFonts w:ascii="Calibri" w:hAnsi="Calibri"/>
                <w:b/>
                <w:color w:val="0F8B8D"/>
                <w:sz w:val="22"/>
              </w:rPr>
              <w:t>Selección recomendada según el objetivo</w:t>
              <w:br/>
            </w:r>
            <w:r>
              <w:rPr>
                <w:rFonts w:ascii="Calibri" w:hAnsi="Calibri"/>
                <w:color w:val="1F2937"/>
                <w:sz w:val="20"/>
              </w:rPr>
              <w:t>Máxima precisión y robustez: FULL_GNN.  ·  Máxima velocidad con datos limpios: MLP hidden=32.  ·  Mejor equilibrio tamaño–precisión: TINY_GNN hidden=32.  ·  Tiny robusta ante ruido: TINY_GNN + PINN con λ cercano a 10.</w:t>
            </w:r>
          </w:p>
        </w:tc>
      </w:tr>
    </w:tbl>
    <w:p>
      <w:pPr>
        <w:spacing w:after="20"/>
      </w:pPr>
    </w:p>
    <w:p>
      <w:r>
        <w:rPr>
          <w:b/>
        </w:rPr>
        <w:t xml:space="preserve">Siguiente experimento prioritario. </w:t>
      </w:r>
      <w:r>
        <w:t>Crear varias simulaciones independientes con diferentes condiciones iniciales y parámetros físicos; entrenar con un subconjunto de simulaciones y evaluar en simulaciones completamente no vistas. Esta modificación permitirá saber si la GNN generaliza por su estructura o si los resultados actuales se deben principalmente a la redundancia temporal.</w:t>
      </w:r>
    </w:p>
    <w:p>
      <w:r>
        <w:br w:type="page"/>
      </w:r>
    </w:p>
    <w:p>
      <w:pPr>
        <w:pStyle w:val="Heading1"/>
      </w:pPr>
      <w:r>
        <w:t>Anexo. Resultados numéricos seleccionados</w:t>
      </w:r>
    </w:p>
    <w:p>
      <w:pPr>
        <w:pStyle w:val="Heading2"/>
      </w:pPr>
      <w:r>
        <w:t>A.1. Resultados por hidden dimension</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850"/>
            <w:shd w:fill="17365D"/>
            <w:vAlign w:val="center"/>
          </w:tcPr>
          <w:p>
            <w:pPr>
              <w:spacing w:before="60" w:after="60"/>
              <w:jc w:val="center"/>
            </w:pPr>
            <w:r>
              <w:rPr>
                <w:rFonts w:ascii="Calibri" w:hAnsi="Calibri"/>
                <w:b/>
                <w:color w:val="FFFFFF"/>
                <w:sz w:val="15"/>
              </w:rPr>
              <w:t>Hidden</w:t>
            </w:r>
          </w:p>
        </w:tc>
        <w:tc>
          <w:tcPr>
            <w:tcW w:type="dxa" w:w="2381"/>
            <w:shd w:fill="17365D"/>
            <w:vAlign w:val="center"/>
          </w:tcPr>
          <w:p>
            <w:pPr>
              <w:spacing w:before="60" w:after="60"/>
              <w:jc w:val="center"/>
            </w:pPr>
            <w:r>
              <w:rPr>
                <w:rFonts w:ascii="Calibri" w:hAnsi="Calibri"/>
                <w:b/>
                <w:color w:val="FFFFFF"/>
                <w:sz w:val="15"/>
              </w:rPr>
              <w:t>Modelo</w:t>
            </w:r>
          </w:p>
        </w:tc>
        <w:tc>
          <w:tcPr>
            <w:tcW w:type="dxa" w:w="1247"/>
            <w:shd w:fill="17365D"/>
            <w:vAlign w:val="center"/>
          </w:tcPr>
          <w:p>
            <w:pPr>
              <w:spacing w:before="60" w:after="60"/>
              <w:jc w:val="center"/>
            </w:pPr>
            <w:r>
              <w:rPr>
                <w:rFonts w:ascii="Calibri" w:hAnsi="Calibri"/>
                <w:b/>
                <w:color w:val="FFFFFF"/>
                <w:sz w:val="15"/>
              </w:rPr>
              <w:t>MSE medio</w:t>
            </w:r>
          </w:p>
        </w:tc>
        <w:tc>
          <w:tcPr>
            <w:tcW w:type="dxa" w:w="1247"/>
            <w:shd w:fill="17365D"/>
            <w:vAlign w:val="center"/>
          </w:tcPr>
          <w:p>
            <w:pPr>
              <w:spacing w:before="60" w:after="60"/>
              <w:jc w:val="center"/>
            </w:pPr>
            <w:r>
              <w:rPr>
                <w:rFonts w:ascii="Calibri" w:hAnsi="Calibri"/>
                <w:b/>
                <w:color w:val="FFFFFF"/>
                <w:sz w:val="15"/>
              </w:rPr>
              <w:t>Mediana</w:t>
            </w:r>
          </w:p>
        </w:tc>
        <w:tc>
          <w:tcPr>
            <w:tcW w:type="dxa" w:w="1134"/>
            <w:shd w:fill="17365D"/>
            <w:vAlign w:val="center"/>
          </w:tcPr>
          <w:p>
            <w:pPr>
              <w:spacing w:before="60" w:after="60"/>
              <w:jc w:val="center"/>
            </w:pPr>
            <w:r>
              <w:rPr>
                <w:rFonts w:ascii="Calibri" w:hAnsi="Calibri"/>
                <w:b/>
                <w:color w:val="FFFFFF"/>
                <w:sz w:val="15"/>
              </w:rPr>
              <w:t>Parámetros</w:t>
            </w:r>
          </w:p>
        </w:tc>
        <w:tc>
          <w:tcPr>
            <w:tcW w:type="dxa" w:w="1304"/>
            <w:shd w:fill="17365D"/>
            <w:vAlign w:val="center"/>
          </w:tcPr>
          <w:p>
            <w:pPr>
              <w:spacing w:before="60" w:after="60"/>
              <w:jc w:val="center"/>
            </w:pPr>
            <w:r>
              <w:rPr>
                <w:rFonts w:ascii="Calibri" w:hAnsi="Calibri"/>
                <w:b/>
                <w:color w:val="FFFFFF"/>
                <w:sz w:val="15"/>
              </w:rPr>
              <w:t>Inferencia</w:t>
            </w:r>
          </w:p>
        </w:tc>
        <w:tc>
          <w:tcPr>
            <w:tcW w:type="dxa" w:w="1361"/>
            <w:shd w:fill="17365D"/>
            <w:vAlign w:val="center"/>
          </w:tcPr>
          <w:p>
            <w:pPr>
              <w:spacing w:before="60" w:after="60"/>
              <w:jc w:val="center"/>
            </w:pPr>
            <w:r>
              <w:rPr>
                <w:rFonts w:ascii="Calibri" w:hAnsi="Calibri"/>
                <w:b/>
                <w:color w:val="FFFFFF"/>
                <w:sz w:val="15"/>
              </w:rPr>
              <w:t>Entrenamiento</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4</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MLP</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8.99e-03</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4.30e-03</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33</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0.145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22.8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4</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FULL_GNN</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6.94e-03</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1.71e-03</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33</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1.931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107.0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4</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8.56e-03</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7.23e-03</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13</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1.339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67.3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4</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 + PINN (λ=10)</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8.56e-03</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7.23e-03</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13</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1.301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84.0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8</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MLP</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4.20e-03</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1.37e-03</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97</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0.137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20.6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8</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FULL_GNN</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1.51e-03</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1.71e-04</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97</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1.978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106.5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8</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5.55e-03</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2.16e-04</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25</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1.431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69.7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8</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 + PINN (λ=10)</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5.55e-03</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2.16e-04</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25</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1.419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85.6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16</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MLP</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1.48e-04</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1.88e-05</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321</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0.131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21.6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16</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FULL_GNN</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2.48e-04</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6.56e-05</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321</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1.987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108.1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16</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8.52e-04</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2.47e-04</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49</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1.260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70.3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16</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 + PINN (λ=10)</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8.52e-04</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2.47e-04</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49</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1.387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85.3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32</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MLP</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6.29e-06</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5.31e-06</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1153</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0.127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21.1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32</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FULL_GNN</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2.43e-05</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2.21e-05</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1153</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1.990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104.5 s</w:t>
            </w:r>
          </w:p>
        </w:tc>
      </w:tr>
      <w:tr>
        <w:trPr>
          <w:cantSplit/>
        </w:trPr>
        <w:tc>
          <w:tcPr>
            <w:tcW w:type="dxa" w:w="850"/>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32</w:t>
            </w:r>
          </w:p>
        </w:tc>
        <w:tc>
          <w:tcPr>
            <w:tcW w:type="dxa" w:w="238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3.19e-05</w:t>
            </w:r>
          </w:p>
        </w:tc>
        <w:tc>
          <w:tcPr>
            <w:tcW w:type="dxa" w:w="1247"/>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2.36e-05</w:t>
            </w:r>
          </w:p>
        </w:tc>
        <w:tc>
          <w:tcPr>
            <w:tcW w:type="dxa" w:w="113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97</w:t>
            </w:r>
          </w:p>
        </w:tc>
        <w:tc>
          <w:tcPr>
            <w:tcW w:type="dxa" w:w="1304"/>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1.284 ms</w:t>
            </w:r>
          </w:p>
        </w:tc>
        <w:tc>
          <w:tcPr>
            <w:tcW w:type="dxa" w:w="1361"/>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67.2 s</w:t>
            </w:r>
          </w:p>
        </w:tc>
      </w:tr>
      <w:tr>
        <w:trPr>
          <w:cantSplit/>
        </w:trPr>
        <w:tc>
          <w:tcPr>
            <w:tcW w:type="dxa" w:w="850"/>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val="0"/>
                <w:color w:val="1F2937"/>
                <w:sz w:val="15"/>
              </w:rPr>
              <w:t>32</w:t>
            </w:r>
          </w:p>
        </w:tc>
        <w:tc>
          <w:tcPr>
            <w:tcW w:type="dxa" w:w="238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TINY_GNN + PINN (λ=10)</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3.19e-05</w:t>
            </w:r>
          </w:p>
        </w:tc>
        <w:tc>
          <w:tcPr>
            <w:tcW w:type="dxa" w:w="1247"/>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2.36e-05</w:t>
            </w:r>
          </w:p>
        </w:tc>
        <w:tc>
          <w:tcPr>
            <w:tcW w:type="dxa" w:w="113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97</w:t>
            </w:r>
          </w:p>
        </w:tc>
        <w:tc>
          <w:tcPr>
            <w:tcW w:type="dxa" w:w="1304"/>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1.254 ms</w:t>
            </w:r>
          </w:p>
        </w:tc>
        <w:tc>
          <w:tcPr>
            <w:tcW w:type="dxa" w:w="1361"/>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5"/>
              </w:rPr>
              <w:t>86.4 s</w:t>
            </w:r>
          </w:p>
        </w:tc>
      </w:tr>
    </w:tbl>
    <w:p>
      <w:pPr>
        <w:spacing w:after="20"/>
      </w:pPr>
    </w:p>
    <w:p>
      <w:pPr>
        <w:pStyle w:val="Heading2"/>
      </w:pPr>
      <w:r>
        <w:t>A.2. Mejora de PINN respecto a TINY_GNN</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309"/>
            <w:shd w:fill="17365D"/>
            <w:vAlign w:val="center"/>
          </w:tcPr>
          <w:p>
            <w:pPr>
              <w:spacing w:before="60" w:after="60"/>
              <w:jc w:val="center"/>
            </w:pPr>
            <w:r>
              <w:rPr>
                <w:rFonts w:ascii="Calibri" w:hAnsi="Calibri"/>
                <w:b/>
                <w:color w:val="FFFFFF"/>
                <w:sz w:val="19"/>
              </w:rPr>
              <w:t>Ruido</w:t>
            </w:r>
          </w:p>
        </w:tc>
        <w:tc>
          <w:tcPr>
            <w:tcW w:type="dxa" w:w="4309"/>
            <w:shd w:fill="17365D"/>
            <w:vAlign w:val="center"/>
          </w:tcPr>
          <w:p>
            <w:pPr>
              <w:spacing w:before="60" w:after="60"/>
              <w:jc w:val="center"/>
            </w:pPr>
            <w:r>
              <w:rPr>
                <w:rFonts w:ascii="Calibri" w:hAnsi="Calibri"/>
                <w:b/>
                <w:color w:val="FFFFFF"/>
                <w:sz w:val="19"/>
              </w:rPr>
              <w:t>Mejora con λ=10</w:t>
            </w:r>
          </w:p>
        </w:tc>
      </w:tr>
      <w:tr>
        <w:trPr>
          <w:cantSplit/>
        </w:trPr>
        <w:tc>
          <w:tcPr>
            <w:tcW w:type="dxa" w:w="4309"/>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0.00</w:t>
            </w:r>
          </w:p>
        </w:tc>
        <w:tc>
          <w:tcPr>
            <w:tcW w:type="dxa" w:w="4309"/>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0.00%</w:t>
            </w:r>
          </w:p>
        </w:tc>
      </w:tr>
      <w:tr>
        <w:trPr>
          <w:cantSplit/>
        </w:trPr>
        <w:tc>
          <w:tcPr>
            <w:tcW w:type="dxa" w:w="4309"/>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0.01</w:t>
            </w:r>
          </w:p>
        </w:tc>
        <w:tc>
          <w:tcPr>
            <w:tcW w:type="dxa" w:w="4309"/>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1.55%</w:t>
            </w:r>
          </w:p>
        </w:tc>
      </w:tr>
      <w:tr>
        <w:trPr>
          <w:cantSplit/>
        </w:trPr>
        <w:tc>
          <w:tcPr>
            <w:tcW w:type="dxa" w:w="4309"/>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0.05</w:t>
            </w:r>
          </w:p>
        </w:tc>
        <w:tc>
          <w:tcPr>
            <w:tcW w:type="dxa" w:w="4309"/>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8.95%</w:t>
            </w:r>
          </w:p>
        </w:tc>
      </w:tr>
      <w:tr>
        <w:trPr>
          <w:cantSplit/>
        </w:trPr>
        <w:tc>
          <w:tcPr>
            <w:tcW w:type="dxa" w:w="4309"/>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0.10</w:t>
            </w:r>
          </w:p>
        </w:tc>
        <w:tc>
          <w:tcPr>
            <w:tcW w:type="dxa" w:w="4309"/>
            <w:vAlign w:val="center"/>
            <w:shd w:fill="F8FAFC"/>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19.33%</w:t>
            </w:r>
          </w:p>
        </w:tc>
      </w:tr>
      <w:tr>
        <w:trPr>
          <w:cantSplit/>
        </w:trPr>
        <w:tc>
          <w:tcPr>
            <w:tcW w:type="dxa" w:w="4309"/>
            <w:vAlign w:val="center"/>
            <w:tcBorders>
              <w:top w:val="single" w:sz="4" w:space="0" w:color="D1D5DB"/>
              <w:left w:val="single" w:sz="4" w:space="0" w:color="D1D5DB"/>
              <w:bottom w:val="single" w:sz="4" w:space="0" w:color="D1D5DB"/>
              <w:right w:val="single" w:sz="4" w:space="0" w:color="D1D5DB"/>
            </w:tcBorders>
          </w:tcPr>
          <w:p>
            <w:pPr>
              <w:spacing w:before="50" w:after="50"/>
              <w:jc w:val="left"/>
            </w:pPr>
            <w:r>
              <w:rPr>
                <w:rFonts w:ascii="Calibri" w:hAnsi="Calibri"/>
                <w:b/>
                <w:color w:val="1F2937"/>
                <w:sz w:val="19"/>
              </w:rPr>
              <w:t>0.20</w:t>
            </w:r>
          </w:p>
        </w:tc>
        <w:tc>
          <w:tcPr>
            <w:tcW w:type="dxa" w:w="4309"/>
            <w:vAlign w:val="center"/>
            <w:tcBorders>
              <w:top w:val="single" w:sz="4" w:space="0" w:color="D1D5DB"/>
              <w:left w:val="single" w:sz="4" w:space="0" w:color="D1D5DB"/>
              <w:bottom w:val="single" w:sz="4" w:space="0" w:color="D1D5DB"/>
              <w:right w:val="single" w:sz="4" w:space="0" w:color="D1D5DB"/>
            </w:tcBorders>
          </w:tcPr>
          <w:p>
            <w:pPr>
              <w:spacing w:before="50" w:after="50"/>
              <w:jc w:val="center"/>
            </w:pPr>
            <w:r>
              <w:rPr>
                <w:rFonts w:ascii="Calibri" w:hAnsi="Calibri"/>
                <w:b w:val="0"/>
                <w:color w:val="1F2937"/>
                <w:sz w:val="19"/>
              </w:rPr>
              <w:t>38.59%</w:t>
            </w:r>
          </w:p>
        </w:tc>
      </w:tr>
    </w:tbl>
    <w:p>
      <w:pPr>
        <w:spacing w:after="20"/>
      </w:pPr>
    </w:p>
    <w:p>
      <w:pPr>
        <w:spacing w:before="240"/>
      </w:pPr>
      <w:r>
        <w:rPr>
          <w:rFonts w:ascii="Calibri" w:hAnsi="Calibri"/>
          <w:b/>
          <w:color w:val="4B5563"/>
          <w:sz w:val="17"/>
        </w:rPr>
        <w:t xml:space="preserve">Nota de reproducibilidad: </w:t>
      </w:r>
      <w:r>
        <w:rPr>
          <w:rFonts w:ascii="Calibri" w:hAnsi="Calibri"/>
          <w:color w:val="4B5563"/>
          <w:sz w:val="17"/>
        </w:rPr>
        <w:t>todos los valores y figuras se han calculado directamente a partir de all_results.csv. El archivo sweep_report.xlsx se utilizó como referencia de estructura y dashboard.</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7"/>
      </w:rPr>
      <w:t>Análisis experimental · TFG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F8B8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Calibri" w:hAnsi="Calibr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resultados: MLP, FULL_GNN, TINY_GNN y PINN</dc:title>
  <dc:subject>Informe experimental para TFG</dc:subject>
  <dc:creator>Axel Berral</dc:creator>
  <cp:keywords>TFG, GNN, TinyGNN, PINN, MLP, análisis experimental</cp:keywords>
  <dc:description>generated by python-docx</dc:description>
  <cp:lastModifiedBy/>
  <cp:revision>1</cp:revision>
  <dcterms:created xsi:type="dcterms:W3CDTF">2013-12-23T23:15:00Z</dcterms:created>
  <dcterms:modified xsi:type="dcterms:W3CDTF">2013-12-23T23:15:00Z</dcterms:modified>
  <cp:category/>
</cp:coreProperties>
</file>