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90" w:lineRule="auto"/>
        <w:jc w:val="both"/>
        <w:rPr/>
      </w:pPr>
      <w:r w:rsidDel="00000000" w:rsidR="00000000" w:rsidRPr="00000000">
        <w:rPr>
          <w:rFonts w:ascii="Arial" w:cs="Arial" w:eastAsia="Arial" w:hAnsi="Arial"/>
          <w:b w:val="1"/>
          <w:bCs w:val="1"/>
          <w:sz w:val="24"/>
          <w:szCs w:val="24"/>
          <w:rtl w:val="0"/>
        </w:rPr>
        <w:t xml:space="preserve">Intern Name:</w:t>
      </w:r>
      <w:r w:rsidDel="00000000" w:rsidR="00000000" w:rsidRPr="00000000">
        <w:rPr>
          <w:rFonts w:ascii="Arial" w:cs="Arial" w:eastAsia="Arial" w:hAnsi="Arial"/>
          <w:sz w:val="24"/>
          <w:szCs w:val="24"/>
          <w:rtl w:val="0"/>
        </w:rPr>
        <w:t xml:space="preserve"> Alex Dils</w:t>
      </w:r>
      <w:r w:rsidDel="00000000" w:rsidR="00000000" w:rsidRPr="00000000">
        <w:rPr>
          <w:rtl w:val="0"/>
        </w:rPr>
      </w:r>
    </w:p>
    <w:p w:rsidR="00000000" w:rsidDel="00000000" w:rsidP="00000000" w:rsidRDefault="00000000" w:rsidRPr="00000000" w14:paraId="00000002">
      <w:pPr>
        <w:spacing w:after="0" w:before="0" w:line="290" w:lineRule="auto"/>
        <w:jc w:val="both"/>
        <w:rPr/>
      </w:pPr>
      <w:r w:rsidDel="00000000" w:rsidR="00000000" w:rsidRPr="00000000">
        <w:rPr>
          <w:rFonts w:ascii="Arial" w:cs="Arial" w:eastAsia="Arial" w:hAnsi="Arial"/>
          <w:b w:val="1"/>
          <w:bCs w:val="1"/>
          <w:sz w:val="24"/>
          <w:szCs w:val="24"/>
          <w:rtl w:val="0"/>
        </w:rPr>
        <w:t xml:space="preserve">PI / Mentor Name:</w:t>
      </w:r>
      <w:r w:rsidDel="00000000" w:rsidR="00000000" w:rsidRPr="00000000">
        <w:rPr>
          <w:rFonts w:ascii="Arial" w:cs="Arial" w:eastAsia="Arial" w:hAnsi="Arial"/>
          <w:sz w:val="24"/>
          <w:szCs w:val="24"/>
          <w:rtl w:val="0"/>
        </w:rPr>
        <w:t xml:space="preserve"> Olivier Gevaert</w:t>
      </w:r>
      <w:r w:rsidDel="00000000" w:rsidR="00000000" w:rsidRPr="00000000">
        <w:rPr>
          <w:rtl w:val="0"/>
        </w:rPr>
      </w:r>
    </w:p>
    <w:p w:rsidR="00000000" w:rsidDel="00000000" w:rsidP="00000000" w:rsidRDefault="00000000" w:rsidRPr="00000000" w14:paraId="00000003">
      <w:pPr>
        <w:spacing w:after="0" w:before="0" w:line="290" w:lineRule="auto"/>
        <w:jc w:val="both"/>
        <w:rPr/>
      </w:pPr>
      <w:r w:rsidDel="00000000" w:rsidR="00000000" w:rsidRPr="00000000">
        <w:rPr>
          <w:rFonts w:ascii="Arial" w:cs="Arial" w:eastAsia="Arial" w:hAnsi="Arial"/>
          <w:b w:val="1"/>
          <w:bCs w:val="1"/>
          <w:sz w:val="24"/>
          <w:szCs w:val="24"/>
          <w:rtl w:val="0"/>
        </w:rPr>
        <w:t xml:space="preserve">Project Title:</w:t>
      </w:r>
      <w:r w:rsidDel="00000000" w:rsidR="00000000" w:rsidRPr="00000000">
        <w:rPr>
          <w:rFonts w:ascii="Arial" w:cs="Arial" w:eastAsia="Arial" w:hAnsi="Arial"/>
          <w:sz w:val="24"/>
          <w:szCs w:val="24"/>
          <w:rtl w:val="0"/>
        </w:rPr>
        <w:t xml:space="preserve"> Cancer-Risk Surveillance in NF1: Synthetic and Depth-Based Estimation of Cutaneous Neurofibroma Volume</w:t>
      </w:r>
      <w:r w:rsidDel="00000000" w:rsidR="00000000" w:rsidRPr="00000000">
        <w:rPr>
          <w:rtl w:val="0"/>
        </w:rPr>
      </w:r>
    </w:p>
    <w:p w:rsidR="00000000" w:rsidDel="00000000" w:rsidP="00000000" w:rsidRDefault="00000000" w:rsidRPr="00000000" w14:paraId="00000004">
      <w:pPr>
        <w:spacing w:after="0" w:before="0" w:line="290" w:lineRule="auto"/>
        <w:jc w:val="both"/>
        <w:rPr/>
      </w:pPr>
      <w:r w:rsidDel="00000000" w:rsidR="00000000" w:rsidRPr="00000000">
        <w:rPr>
          <w:rFonts w:ascii="Arial" w:cs="Arial" w:eastAsia="Arial" w:hAnsi="Arial"/>
          <w:b w:val="1"/>
          <w:bCs w:val="1"/>
          <w:sz w:val="24"/>
          <w:szCs w:val="24"/>
          <w:rtl w:val="0"/>
        </w:rPr>
        <w:t xml:space="preserve">Background:</w:t>
      </w:r>
      <w:r w:rsidDel="00000000" w:rsidR="00000000" w:rsidRPr="00000000">
        <w:rPr>
          <w:rtl w:val="0"/>
        </w:rPr>
      </w:r>
    </w:p>
    <w:p w:rsidR="00000000" w:rsidDel="00000000" w:rsidP="00000000" w:rsidRDefault="00000000" w:rsidRPr="00000000" w14:paraId="00000005">
      <w:pPr>
        <w:spacing w:after="0" w:before="0" w:line="290" w:lineRule="auto"/>
        <w:jc w:val="both"/>
        <w:rPr/>
      </w:pPr>
      <w:r w:rsidDel="00000000" w:rsidR="00000000" w:rsidRPr="00000000">
        <w:rPr>
          <w:rFonts w:ascii="Arial" w:cs="Arial" w:eastAsia="Arial" w:hAnsi="Arial"/>
          <w:sz w:val="24"/>
          <w:szCs w:val="24"/>
          <w:rtl w:val="0"/>
        </w:rPr>
        <w:t xml:space="preserve">Neurofibromatosis type 1 (NF1) is a tumor-predisposition syndrome caused by pathogenic NF1 variants. Patients can develop cutaneous neurofibromas (cNFs), plexiform neurofibromas, gliomas, malignant peripheral nerve sheath tumors (MPNSTs), pheochromocytoma, and early-onset breast cancer [1,2]. cNFs are usually benign, but NF1 care is cancer-related because plexiform and deep nodular neurofibromas can transform into MPNST; lifetime MPNST risk is estimated at 8–13% [1]. ERN GENTURIS guidelines recommend long-term tumor surveillance and whole-body MRI at transition to adulthood to assess internal tumor burden [2].</w:t>
      </w:r>
      <w:r w:rsidDel="00000000" w:rsidR="00000000" w:rsidRPr="00000000">
        <w:rPr>
          <w:rtl w:val="0"/>
        </w:rPr>
      </w:r>
    </w:p>
    <w:p w:rsidR="00000000" w:rsidDel="00000000" w:rsidP="00000000" w:rsidRDefault="00000000" w:rsidRPr="00000000" w14:paraId="00000006">
      <w:pPr>
        <w:spacing w:after="0" w:before="0" w:line="290" w:lineRule="auto"/>
        <w:jc w:val="both"/>
        <w:rPr/>
      </w:pPr>
      <w:r w:rsidDel="00000000" w:rsidR="00000000" w:rsidRPr="00000000">
        <w:rPr>
          <w:rFonts w:ascii="Arial" w:cs="Arial" w:eastAsia="Arial" w:hAnsi="Arial"/>
          <w:sz w:val="24"/>
          <w:szCs w:val="24"/>
          <w:rtl w:val="0"/>
        </w:rPr>
        <w:t xml:space="preserve">Current cNF measurement is not scalable. Patients may have hundreds or thousands of lesions, and visual examination, manual counting, calipers, and ordinary photographs do not provide reproducible lesion volume. This creates a surveillance gap: clinicians can see visible tumor burden changing but often cannot quantify which lesions are growing fastest or whether change exceeds measurement noise. Objective tumor-burden measurement could reduce cancer-related risk by flagging rapid focal growth or high-burden regions for earlier review.</w:t>
      </w:r>
      <w:r w:rsidDel="00000000" w:rsidR="00000000" w:rsidRPr="00000000">
        <w:rPr>
          <w:rtl w:val="0"/>
        </w:rPr>
      </w:r>
    </w:p>
    <w:p w:rsidR="00000000" w:rsidDel="00000000" w:rsidP="00000000" w:rsidRDefault="00000000" w:rsidRPr="00000000" w14:paraId="00000007">
      <w:pPr>
        <w:spacing w:after="0" w:before="0" w:line="290" w:lineRule="auto"/>
        <w:jc w:val="both"/>
        <w:rPr/>
      </w:pPr>
      <w:r w:rsidDel="00000000" w:rsidR="00000000" w:rsidRPr="00000000">
        <w:rPr>
          <w:rFonts w:ascii="Arial" w:cs="Arial" w:eastAsia="Arial" w:hAnsi="Arial"/>
          <w:sz w:val="24"/>
          <w:szCs w:val="24"/>
          <w:rtl w:val="0"/>
        </w:rPr>
        <w:t xml:space="preserve">Prior work shows that high-frequency ultrasound, 3D photography, and structured-light scanning can estimate cNF size, area, and volume [3–5]. However, these systems are specialized and not yet linked to lightweight AI detection, segmentation, and depth models. This project extends existing AI work on cNF localization from “where are the neurofibromas?” to “how large is each lesion in 3D?” The goal is a validated tumor-burden measurement layer for NF1 cancer-risk surveillance.</w:t>
      </w:r>
      <w:r w:rsidDel="00000000" w:rsidR="00000000" w:rsidRPr="00000000">
        <w:rPr>
          <w:rtl w:val="0"/>
        </w:rPr>
      </w:r>
    </w:p>
    <w:p w:rsidR="00000000" w:rsidDel="00000000" w:rsidP="00000000" w:rsidRDefault="00000000" w:rsidRPr="00000000" w14:paraId="00000008">
      <w:pPr>
        <w:spacing w:after="0" w:before="0" w:line="290" w:lineRule="auto"/>
        <w:jc w:val="both"/>
        <w:rPr/>
      </w:pPr>
      <w:r w:rsidDel="00000000" w:rsidR="00000000" w:rsidRPr="00000000">
        <w:rPr>
          <w:rFonts w:ascii="Arial" w:cs="Arial" w:eastAsia="Arial" w:hAnsi="Arial"/>
          <w:b w:val="1"/>
          <w:bCs w:val="1"/>
          <w:sz w:val="24"/>
          <w:szCs w:val="24"/>
          <w:rtl w:val="0"/>
        </w:rPr>
        <w:t xml:space="preserve">Research Question(s):</w:t>
      </w:r>
      <w:r w:rsidDel="00000000" w:rsidR="00000000" w:rsidRPr="00000000">
        <w:rPr>
          <w:rtl w:val="0"/>
        </w:rPr>
      </w:r>
    </w:p>
    <w:p w:rsidR="00000000" w:rsidDel="00000000" w:rsidP="00000000" w:rsidRDefault="00000000" w:rsidRPr="00000000" w14:paraId="00000009">
      <w:pPr>
        <w:spacing w:after="0" w:before="0" w:line="290" w:lineRule="auto"/>
        <w:jc w:val="both"/>
        <w:rPr/>
      </w:pPr>
      <w:r w:rsidDel="00000000" w:rsidR="00000000" w:rsidRPr="00000000">
        <w:rPr>
          <w:rFonts w:ascii="Arial" w:cs="Arial" w:eastAsia="Arial" w:hAnsi="Arial"/>
          <w:sz w:val="24"/>
          <w:szCs w:val="24"/>
          <w:rtl w:val="0"/>
        </w:rPr>
        <w:t xml:space="preserve">- Can 2D cNF segmentation masks be converted into accurate, repeatable estimates of lesion area, height, and volume using calibrated depth estimation or 2D-to-3D reconstruction?</w:t>
      </w:r>
      <w:r w:rsidDel="00000000" w:rsidR="00000000" w:rsidRPr="00000000">
        <w:rPr>
          <w:rtl w:val="0"/>
        </w:rPr>
      </w:r>
    </w:p>
    <w:p w:rsidR="00000000" w:rsidDel="00000000" w:rsidP="00000000" w:rsidRDefault="00000000" w:rsidRPr="00000000" w14:paraId="0000000A">
      <w:pPr>
        <w:spacing w:after="0" w:before="0" w:line="290" w:lineRule="auto"/>
        <w:jc w:val="both"/>
        <w:rPr/>
      </w:pPr>
      <w:r w:rsidDel="00000000" w:rsidR="00000000" w:rsidRPr="00000000">
        <w:rPr>
          <w:rFonts w:ascii="Arial" w:cs="Arial" w:eastAsia="Arial" w:hAnsi="Arial"/>
          <w:sz w:val="24"/>
          <w:szCs w:val="24"/>
          <w:rtl w:val="0"/>
        </w:rPr>
        <w:t xml:space="preserve">- Can known-geometry synthetic lesions on Human Skin Repository (HSR) skin surfaces improve calibration before patient validation?</w:t>
      </w:r>
      <w:r w:rsidDel="00000000" w:rsidR="00000000" w:rsidRPr="00000000">
        <w:rPr>
          <w:rtl w:val="0"/>
        </w:rPr>
      </w:r>
    </w:p>
    <w:p w:rsidR="00000000" w:rsidDel="00000000" w:rsidP="00000000" w:rsidRDefault="00000000" w:rsidRPr="00000000" w14:paraId="0000000B">
      <w:pPr>
        <w:spacing w:after="0" w:before="0" w:line="290" w:lineRule="auto"/>
        <w:jc w:val="both"/>
        <w:rPr/>
      </w:pPr>
      <w:r w:rsidDel="00000000" w:rsidR="00000000" w:rsidRPr="00000000">
        <w:rPr>
          <w:rFonts w:ascii="Arial" w:cs="Arial" w:eastAsia="Arial" w:hAnsi="Arial"/>
          <w:b w:val="1"/>
          <w:bCs w:val="1"/>
          <w:sz w:val="24"/>
          <w:szCs w:val="24"/>
          <w:rtl w:val="0"/>
        </w:rPr>
        <w:t xml:space="preserve">Approach:</w:t>
      </w:r>
      <w:r w:rsidDel="00000000" w:rsidR="00000000" w:rsidRPr="00000000">
        <w:rPr>
          <w:rtl w:val="0"/>
        </w:rPr>
      </w:r>
    </w:p>
    <w:p w:rsidR="00000000" w:rsidDel="00000000" w:rsidP="00000000" w:rsidRDefault="00000000" w:rsidRPr="00000000" w14:paraId="0000000C">
      <w:pPr>
        <w:spacing w:after="0" w:before="0" w:line="290" w:lineRule="auto"/>
        <w:jc w:val="both"/>
        <w:rPr/>
      </w:pPr>
      <w:r w:rsidDel="00000000" w:rsidR="00000000" w:rsidRPr="00000000">
        <w:rPr>
          <w:rFonts w:ascii="Arial" w:cs="Arial" w:eastAsia="Arial" w:hAnsi="Arial"/>
          <w:sz w:val="24"/>
          <w:szCs w:val="24"/>
          <w:rtl w:val="0"/>
        </w:rPr>
        <w:t xml:space="preserve">First, I will organize the available data and models. I will use a Stanford Medicine internal dataset to supply 2D cNF images. For each 2D cNF image, I will gather—from a prior work(1)—lesion center coordinates, segmentations, and morphology labels (flat, sessile, globular, or pedunculated). Then I will utilize a distance model from prior work that predicts pixels per centimeter to convert image pixels into centimeter units. I will fine-tune this distance model so that it predicts pixels per centimeter from an input image and coordinates.</w:t>
      </w:r>
      <w:r w:rsidDel="00000000" w:rsidR="00000000" w:rsidRPr="00000000">
        <w:rPr>
          <w:rtl w:val="0"/>
        </w:rPr>
      </w:r>
    </w:p>
    <w:p w:rsidR="00000000" w:rsidDel="00000000" w:rsidP="00000000" w:rsidRDefault="00000000" w:rsidRPr="00000000" w14:paraId="0000000D">
      <w:pPr>
        <w:spacing w:after="0" w:before="0" w:line="290" w:lineRule="auto"/>
        <w:jc w:val="both"/>
        <w:rPr/>
      </w:pPr>
      <w:r w:rsidDel="00000000" w:rsidR="00000000" w:rsidRPr="00000000">
        <w:rPr>
          <w:rFonts w:ascii="Arial" w:cs="Arial" w:eastAsia="Arial" w:hAnsi="Arial"/>
          <w:sz w:val="24"/>
          <w:szCs w:val="24"/>
          <w:rtl w:val="0"/>
        </w:rPr>
        <w:t xml:space="preserve">Second, I will implement the baseline volume-estimation pipeline. A skin photograph will be passed through Depth Pro (a SoTA depth model released by Apple) to estimate relative surface geometry, through lesion segmentation to identify each cNF boundary, and through the pixels-per-centimeter model to convert image units into physical units. For each lesion, the segmentation mask will define the integration region. Volume will then be computed by integrating the positive depth residuals above this baseline across the lesion area, yielding per-lesion and total external cNF volume estimates in cubic centimeters. I will compare this depth-based estimate with simpler morphology-specific heuristic formulas based on 2D area and lesion class.</w:t>
      </w:r>
      <w:r w:rsidDel="00000000" w:rsidR="00000000" w:rsidRPr="00000000">
        <w:rPr>
          <w:rtl w:val="0"/>
        </w:rPr>
      </w:r>
    </w:p>
    <w:p w:rsidR="00000000" w:rsidDel="00000000" w:rsidP="00000000" w:rsidRDefault="00000000" w:rsidRPr="00000000" w14:paraId="0000000E">
      <w:pPr>
        <w:spacing w:after="0" w:before="0" w:line="290" w:lineRule="auto"/>
        <w:jc w:val="both"/>
        <w:rPr/>
      </w:pPr>
      <w:r w:rsidDel="00000000" w:rsidR="00000000" w:rsidRPr="00000000">
        <w:rPr>
          <w:rFonts w:ascii="Arial" w:cs="Arial" w:eastAsia="Arial" w:hAnsi="Arial"/>
          <w:sz w:val="24"/>
          <w:szCs w:val="24"/>
          <w:rtl w:val="0"/>
        </w:rPr>
        <w:t xml:space="preserve">Third, I will fine-tune the Depth Pro model to detect depth more accurately in 2D cNF images. I will use the two publicly available full-body skin HSR scans and generate 2D images with varying camera settings. These 2D images will be paired with their ground-truth depth maps, which will be used to fine-tune the Depth Pro model. Furthermore, I will graft synthetic lesions by appending sphere- and Gaussian-shaped volumes. These volumes will then be colored by either interpolation or diffusion techniques. For the diffusion approach, a model can be fine-tuned based on cNF textures from (1) or an external dataset such as Fitzpatrick17k [7].</w:t>
      </w:r>
      <w:r w:rsidDel="00000000" w:rsidR="00000000" w:rsidRPr="00000000">
        <w:rPr>
          <w:rtl w:val="0"/>
        </w:rPr>
      </w:r>
    </w:p>
    <w:p w:rsidR="00000000" w:rsidDel="00000000" w:rsidP="00000000" w:rsidRDefault="00000000" w:rsidRPr="00000000" w14:paraId="0000000F">
      <w:pPr>
        <w:spacing w:after="0" w:before="0" w:line="290" w:lineRule="auto"/>
        <w:jc w:val="both"/>
        <w:rPr/>
      </w:pPr>
      <w:r w:rsidDel="00000000" w:rsidR="00000000" w:rsidRPr="00000000">
        <w:rPr>
          <w:rFonts w:ascii="Arial" w:cs="Arial" w:eastAsia="Arial" w:hAnsi="Arial"/>
          <w:sz w:val="24"/>
          <w:szCs w:val="24"/>
          <w:rtl w:val="0"/>
        </w:rPr>
        <w:t xml:space="preserve">Fourth, I will expand this synthetic dataset by generating statistics- and physics-informed synthetic lesions on HSR scans. Lesion locations will be sampled from prior analysis of (1), which reveals cNF density patterns across body regions, while lesion geometry will be determined by morphology class: flat lesions with minimal elevation, sessile lesions with broad-based protrusion, globular lesions with rounded elevation, and pedunculated lesions with stalk-like attachment. I will graft these lesions onto HSR body meshes, render multiple camera views, and output paired RGB images, lesion masks, depth maps, and exact volumes. Moreover, utilizing a physics-based mechanistic understanding of cNF lesion growth, I will also simulate longitudinal progression at baseline, 6 months, 12 months, and 24 months, producing matched image, mask, depth, and volume trajectories for each lesion.</w:t>
      </w:r>
      <w:r w:rsidDel="00000000" w:rsidR="00000000" w:rsidRPr="00000000">
        <w:rPr>
          <w:rtl w:val="0"/>
        </w:rPr>
      </w:r>
    </w:p>
    <w:p w:rsidR="00000000" w:rsidDel="00000000" w:rsidP="00000000" w:rsidRDefault="00000000" w:rsidRPr="00000000" w14:paraId="00000010">
      <w:pPr>
        <w:spacing w:after="0" w:before="0" w:line="290" w:lineRule="auto"/>
        <w:jc w:val="both"/>
        <w:rPr/>
      </w:pPr>
      <w:r w:rsidDel="00000000" w:rsidR="00000000" w:rsidRPr="00000000">
        <w:rPr>
          <w:rFonts w:ascii="Arial" w:cs="Arial" w:eastAsia="Arial" w:hAnsi="Arial"/>
          <w:sz w:val="24"/>
          <w:szCs w:val="24"/>
          <w:rtl w:val="0"/>
        </w:rPr>
        <w:t xml:space="preserve">Fifth, I will use the annotated and synthetic data to identify the best Depth Pro fine-tuning strategy for cNF protrusion and volume estimation. This will include comparing training targets, synthetic-to-real image realism, morphology-specific errors, and model selection criteria. The best fine-tuned Depth Pro model will then be evaluated again on VECTRA Canfield 3D scans, comparing predicted lesion volumes with scan-derived ground-truth volumes.</w:t>
      </w:r>
      <w:r w:rsidDel="00000000" w:rsidR="00000000" w:rsidRPr="00000000">
        <w:rPr>
          <w:rtl w:val="0"/>
        </w:rPr>
      </w:r>
    </w:p>
    <w:p w:rsidR="00000000" w:rsidDel="00000000" w:rsidP="00000000" w:rsidRDefault="00000000" w:rsidRPr="00000000" w14:paraId="00000011">
      <w:pPr>
        <w:spacing w:after="0" w:before="0" w:line="290" w:lineRule="auto"/>
        <w:jc w:val="both"/>
        <w:rPr/>
      </w:pPr>
      <w:r w:rsidDel="00000000" w:rsidR="00000000" w:rsidRPr="00000000">
        <w:rPr>
          <w:rFonts w:ascii="Arial" w:cs="Arial" w:eastAsia="Arial" w:hAnsi="Arial"/>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2">
      <w:pPr>
        <w:spacing w:after="0" w:before="0" w:line="290" w:lineRule="auto"/>
        <w:jc w:val="both"/>
        <w:rPr/>
      </w:pPr>
      <w:r w:rsidDel="00000000" w:rsidR="00000000" w:rsidRPr="00000000">
        <w:rPr>
          <w:rFonts w:ascii="Arial" w:cs="Arial" w:eastAsia="Arial" w:hAnsi="Arial"/>
          <w:sz w:val="24"/>
          <w:szCs w:val="24"/>
          <w:rtl w:val="0"/>
        </w:rPr>
        <w:t xml:space="preserve">1. Friedman JM. Neurofibromatosis 1. In: GeneReviews. University of Washington, Seattle; 1993–2026. Last revision April 3, 2025.</w:t>
      </w:r>
      <w:r w:rsidDel="00000000" w:rsidR="00000000" w:rsidRPr="00000000">
        <w:rPr>
          <w:rtl w:val="0"/>
        </w:rPr>
      </w:r>
    </w:p>
    <w:p w:rsidR="00000000" w:rsidDel="00000000" w:rsidP="00000000" w:rsidRDefault="00000000" w:rsidRPr="00000000" w14:paraId="00000013">
      <w:pPr>
        <w:spacing w:after="0" w:before="0" w:line="290" w:lineRule="auto"/>
        <w:jc w:val="both"/>
        <w:rPr/>
      </w:pPr>
      <w:r w:rsidDel="00000000" w:rsidR="00000000" w:rsidRPr="00000000">
        <w:rPr>
          <w:rFonts w:ascii="Arial" w:cs="Arial" w:eastAsia="Arial" w:hAnsi="Arial"/>
          <w:sz w:val="24"/>
          <w:szCs w:val="24"/>
          <w:rtl w:val="0"/>
        </w:rPr>
        <w:t xml:space="preserve">2. Carton C, Evans DG, Blanco I, et al. ERN GENTURIS tumour surveillance guidelines for individuals with NF1. EClinicalMedicine. 2023;56:101818.</w:t>
      </w:r>
      <w:r w:rsidDel="00000000" w:rsidR="00000000" w:rsidRPr="00000000">
        <w:rPr>
          <w:rtl w:val="0"/>
        </w:rPr>
      </w:r>
    </w:p>
    <w:p w:rsidR="00000000" w:rsidDel="00000000" w:rsidP="00000000" w:rsidRDefault="00000000" w:rsidRPr="00000000" w14:paraId="00000014">
      <w:pPr>
        <w:spacing w:after="0" w:before="0" w:line="290" w:lineRule="auto"/>
        <w:jc w:val="both"/>
        <w:rPr/>
      </w:pPr>
      <w:r w:rsidDel="00000000" w:rsidR="00000000" w:rsidRPr="00000000">
        <w:rPr>
          <w:rFonts w:ascii="Arial" w:cs="Arial" w:eastAsia="Arial" w:hAnsi="Arial"/>
          <w:sz w:val="24"/>
          <w:szCs w:val="24"/>
          <w:rtl w:val="0"/>
        </w:rPr>
        <w:t xml:space="preserve">3. Thalheimer RD, Merker VL, Ly KI, et al. Validating Techniques for Measurement of Cutaneous Neurofibromas. Neurology. 2021;97:S32–S41.</w:t>
      </w:r>
      <w:r w:rsidDel="00000000" w:rsidR="00000000" w:rsidRPr="00000000">
        <w:rPr>
          <w:rtl w:val="0"/>
        </w:rPr>
      </w:r>
    </w:p>
    <w:p w:rsidR="00000000" w:rsidDel="00000000" w:rsidP="00000000" w:rsidRDefault="00000000" w:rsidRPr="00000000" w14:paraId="00000015">
      <w:pPr>
        <w:spacing w:after="0" w:before="0" w:line="290" w:lineRule="auto"/>
        <w:jc w:val="both"/>
        <w:rPr/>
      </w:pPr>
      <w:r w:rsidDel="00000000" w:rsidR="00000000" w:rsidRPr="00000000">
        <w:rPr>
          <w:rFonts w:ascii="Arial" w:cs="Arial" w:eastAsia="Arial" w:hAnsi="Arial"/>
          <w:sz w:val="24"/>
          <w:szCs w:val="24"/>
          <w:rtl w:val="0"/>
        </w:rPr>
        <w:t xml:space="preserve">4. Li Y, Blakeley JO, Ly I, et al. Current and Emerging Imaging Techniques for NF1-Associated cNFs. J Invest Dermatol. 2023;143:1397–1405.</w:t>
      </w:r>
      <w:r w:rsidDel="00000000" w:rsidR="00000000" w:rsidRPr="00000000">
        <w:rPr>
          <w:rtl w:val="0"/>
        </w:rPr>
      </w:r>
    </w:p>
    <w:p w:rsidR="00000000" w:rsidDel="00000000" w:rsidP="00000000" w:rsidRDefault="00000000" w:rsidRPr="00000000" w14:paraId="00000016">
      <w:pPr>
        <w:spacing w:after="0" w:before="0" w:line="290" w:lineRule="auto"/>
        <w:jc w:val="both"/>
        <w:rPr/>
      </w:pPr>
      <w:r w:rsidDel="00000000" w:rsidR="00000000" w:rsidRPr="00000000">
        <w:rPr>
          <w:rFonts w:ascii="Arial" w:cs="Arial" w:eastAsia="Arial" w:hAnsi="Arial"/>
          <w:sz w:val="24"/>
          <w:szCs w:val="24"/>
          <w:rtl w:val="0"/>
        </w:rPr>
        <w:t xml:space="preserve">5. Hartung TI, Dinga GT, Butschan J, Kluwe L, Farschtschi SC. Quantitative measurement of cNFs in NF1 using a structured-light scanner. Quant Imaging Med Surg. 2026;16(6):478.</w:t>
      </w:r>
      <w:r w:rsidDel="00000000" w:rsidR="00000000" w:rsidRPr="00000000">
        <w:rPr>
          <w:rtl w:val="0"/>
        </w:rPr>
      </w:r>
    </w:p>
    <w:p w:rsidR="00000000" w:rsidDel="00000000" w:rsidP="00000000" w:rsidRDefault="00000000" w:rsidRPr="00000000" w14:paraId="00000017">
      <w:pPr>
        <w:spacing w:after="0" w:before="0" w:line="290" w:lineRule="auto"/>
        <w:jc w:val="both"/>
        <w:rPr/>
      </w:pPr>
      <w:r w:rsidDel="00000000" w:rsidR="00000000" w:rsidRPr="00000000">
        <w:rPr>
          <w:rFonts w:ascii="Arial" w:cs="Arial" w:eastAsia="Arial" w:hAnsi="Arial"/>
          <w:sz w:val="24"/>
          <w:szCs w:val="24"/>
          <w:rtl w:val="0"/>
        </w:rPr>
        <w:t xml:space="preserve">6. Chen S, Liu Y, Liu J, et al. WBMRI-NF 2023 Challenge dataset. Zenodo. 2023. doi:10.5281/zenodo.7989646.</w:t>
      </w:r>
      <w:r w:rsidDel="00000000" w:rsidR="00000000" w:rsidRPr="00000000">
        <w:rPr>
          <w:rtl w:val="0"/>
        </w:rPr>
      </w:r>
    </w:p>
    <w:p w:rsidR="00000000" w:rsidDel="00000000" w:rsidP="00000000" w:rsidRDefault="00000000" w:rsidRPr="00000000" w14:paraId="00000018">
      <w:pPr>
        <w:spacing w:after="0" w:before="0" w:line="290" w:lineRule="auto"/>
        <w:jc w:val="both"/>
        <w:rPr/>
      </w:pPr>
      <w:r w:rsidDel="00000000" w:rsidR="00000000" w:rsidRPr="00000000">
        <w:rPr>
          <w:rFonts w:ascii="Arial" w:cs="Arial" w:eastAsia="Arial" w:hAnsi="Arial"/>
          <w:sz w:val="24"/>
          <w:szCs w:val="24"/>
          <w:rtl w:val="0"/>
        </w:rPr>
        <w:t xml:space="preserve">7. Groh M, Harris C, Soenksen L, Lau F, Han R, Kim A, Koochek A, Badri O. Evaluating Deep Neural Networks Trained on Clinical Images in Dermatology with the Fitzpatrick17k Dataset. arXiv preprint arXiv:2104.09957. 2021.</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2DP4PZ5oxeOoew4jZjCB72GmRw==">CgMxLjA4AHIhMTllTnNKZmhJV0hVdGowbHlSdjdsYWc3Snp2VE5HOGJt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