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3D5" w:rsidRDefault="00CE6F60">
      <w:pPr>
        <w:pStyle w:val="Ttulo1"/>
        <w:spacing w:before="320" w:after="160"/>
      </w:pPr>
      <w:r>
        <w:t>Resultados: detección de carriles (Hough)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1a. Condición 'buena' — carril izquierdo (rojo) y derecho (verde) detectados sobre los segmentos crudos de Hough (amarillo) y el ROI (azul).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1b. Condición 'atardecer'.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1c. Condición 'noche' — menos segmentos crudos, pero el carril sigue detectado (ver §5).</w:t>
      </w:r>
    </w:p>
    <w:p w:rsidR="00AE33D5" w:rsidRDefault="00CE6F60">
      <w:pPr>
        <w:pStyle w:val="Ttulo2"/>
        <w:spacing w:before="320" w:after="160"/>
      </w:pPr>
      <w:r>
        <w:t>Mapas de bordes (Canny) por condición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2a. Bordes — buena.</w:t>
      </w:r>
    </w:p>
    <w:p w:rsidR="00AE33D5" w:rsidRDefault="00CE6F6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4953000" cy="1495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2b. Bordes — noche. El ruido de sensor genera bordes espurios fuera del ROI (por eso</w:t>
      </w:r>
      <w:r>
        <w:rPr>
          <w:i/>
          <w:iCs/>
          <w:color w:val="444444"/>
          <w:sz w:val="18"/>
          <w:szCs w:val="18"/>
        </w:rPr>
        <w:t xml:space="preserve"> la máscara de ROI es importante), y reduce la nitidez del borde real de la marca de carril.</w:t>
      </w:r>
    </w:p>
    <w:p w:rsidR="00AE33D5" w:rsidRDefault="00AE33D5">
      <w:pPr>
        <w:spacing w:after="200"/>
      </w:pPr>
    </w:p>
    <w:p w:rsidR="00AE33D5" w:rsidRDefault="00CE6F60">
      <w:pPr>
        <w:pStyle w:val="Ttulo1"/>
        <w:spacing w:before="320" w:after="160"/>
      </w:pPr>
      <w:r>
        <w:t>Resultados: keypoints de Harris y repetibilidad estéreo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3a. Keypoints Harris, vista izquierda, condición 'buena' — concentrados en postes, árboles, señales y bordes del vehículo (zonas con gradiente en dos direcciones).</w:t>
      </w:r>
    </w:p>
    <w:p w:rsidR="00AE33D5" w:rsidRDefault="00CE6F60">
      <w:pPr>
        <w:spacing w:after="80"/>
        <w:jc w:val="center"/>
      </w:pPr>
      <w:r>
        <w:rPr>
          <w:noProof/>
        </w:rPr>
        <w:drawing>
          <wp:inline distT="0" distB="0" distL="0" distR="0">
            <wp:extent cx="4953000" cy="14954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3D5" w:rsidRDefault="00CE6F60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3b. Keypoints Harris, vista izquierda, condición 'noche' — el conteo AUMENTA (ver tabla), pero muchos son espurios: se agrupan sobre el contorno ruidoso entre el suelo oscuro y el cielo, no sobre estructura real de la escena.</w:t>
      </w:r>
    </w:p>
    <w:p w:rsidR="00AE33D5" w:rsidRDefault="00AE33D5">
      <w:pPr>
        <w:spacing w:after="80"/>
        <w:jc w:val="center"/>
      </w:pPr>
      <w:bookmarkStart w:id="0" w:name="_GoBack"/>
      <w:bookmarkEnd w:id="0"/>
    </w:p>
    <w:p w:rsidR="00AE33D5" w:rsidRDefault="00CE6F60">
      <w:pPr>
        <w:pStyle w:val="Ttulo2"/>
        <w:spacing w:before="320" w:after="160"/>
      </w:pPr>
      <w:r>
        <w:t>Tasa de repetibilidad por condición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700"/>
        <w:gridCol w:w="1700"/>
        <w:gridCol w:w="1500"/>
        <w:gridCol w:w="1450"/>
      </w:tblGrid>
      <w:tr w:rsidR="00AE33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vAlign w:val="center"/>
          </w:tcPr>
          <w:p w:rsidR="00AE33D5" w:rsidRDefault="00CE6F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700" w:type="dxa"/>
            <w:shd w:val="clear" w:color="auto" w:fill="1F3864"/>
            <w:vAlign w:val="center"/>
          </w:tcPr>
          <w:p w:rsidR="00AE33D5" w:rsidRDefault="00CE6F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Keypoints izq.</w:t>
            </w:r>
          </w:p>
        </w:tc>
        <w:tc>
          <w:tcPr>
            <w:tcW w:w="1700" w:type="dxa"/>
            <w:shd w:val="clear" w:color="auto" w:fill="1F3864"/>
            <w:vAlign w:val="center"/>
          </w:tcPr>
          <w:p w:rsidR="00AE33D5" w:rsidRDefault="00CE6F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Keypoints der.</w:t>
            </w:r>
          </w:p>
        </w:tc>
        <w:tc>
          <w:tcPr>
            <w:tcW w:w="1500" w:type="dxa"/>
            <w:shd w:val="clear" w:color="auto" w:fill="1F3864"/>
            <w:vAlign w:val="center"/>
          </w:tcPr>
          <w:p w:rsidR="00AE33D5" w:rsidRDefault="00CE6F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Matches</w:t>
            </w:r>
          </w:p>
        </w:tc>
        <w:tc>
          <w:tcPr>
            <w:tcW w:w="1450" w:type="dxa"/>
            <w:shd w:val="clear" w:color="auto" w:fill="1F3864"/>
            <w:vAlign w:val="center"/>
          </w:tcPr>
          <w:p w:rsidR="00AE33D5" w:rsidRDefault="00CE6F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Repetibilidad</w:t>
            </w:r>
          </w:p>
        </w:tc>
      </w:tr>
      <w:tr w:rsidR="00AE33D5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Buena (referencia)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311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338</w:t>
            </w:r>
          </w:p>
        </w:tc>
        <w:tc>
          <w:tcPr>
            <w:tcW w:w="15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163</w:t>
            </w:r>
          </w:p>
        </w:tc>
        <w:tc>
          <w:tcPr>
            <w:tcW w:w="145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52.4 %</w:t>
            </w:r>
          </w:p>
        </w:tc>
      </w:tr>
      <w:tr w:rsidR="00AE33D5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Atardecer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315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351</w:t>
            </w:r>
          </w:p>
        </w:tc>
        <w:tc>
          <w:tcPr>
            <w:tcW w:w="15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169</w:t>
            </w:r>
          </w:p>
        </w:tc>
        <w:tc>
          <w:tcPr>
            <w:tcW w:w="145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53.7 %</w:t>
            </w:r>
          </w:p>
        </w:tc>
      </w:tr>
      <w:tr w:rsidR="00AE33D5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Noche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469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526</w:t>
            </w:r>
          </w:p>
        </w:tc>
        <w:tc>
          <w:tcPr>
            <w:tcW w:w="15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232</w:t>
            </w:r>
          </w:p>
        </w:tc>
        <w:tc>
          <w:tcPr>
            <w:tcW w:w="145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49.5 %</w:t>
            </w:r>
          </w:p>
        </w:tc>
      </w:tr>
      <w:tr w:rsidR="00AE33D5">
        <w:tblPrEx>
          <w:tblCellMar>
            <w:top w:w="0" w:type="dxa"/>
            <w:bottom w:w="0" w:type="dxa"/>
          </w:tblCellMar>
        </w:tblPrEx>
        <w:tc>
          <w:tcPr>
            <w:tcW w:w="34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Desbalance de ganancia entre cámaras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311</w:t>
            </w:r>
          </w:p>
        </w:tc>
        <w:tc>
          <w:tcPr>
            <w:tcW w:w="17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519</w:t>
            </w:r>
          </w:p>
        </w:tc>
        <w:tc>
          <w:tcPr>
            <w:tcW w:w="150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182</w:t>
            </w:r>
          </w:p>
        </w:tc>
        <w:tc>
          <w:tcPr>
            <w:tcW w:w="1450" w:type="dxa"/>
            <w:vAlign w:val="center"/>
          </w:tcPr>
          <w:p w:rsidR="00AE33D5" w:rsidRDefault="00CE6F60">
            <w:pPr>
              <w:jc w:val="center"/>
            </w:pPr>
            <w:r>
              <w:rPr>
                <w:color w:val="000000"/>
                <w:sz w:val="18"/>
                <w:szCs w:val="18"/>
              </w:rPr>
              <w:t>58.5 %</w:t>
            </w:r>
          </w:p>
        </w:tc>
      </w:tr>
    </w:tbl>
    <w:p w:rsidR="00AE33D5" w:rsidRDefault="00AE33D5">
      <w:pPr>
        <w:spacing w:after="200"/>
      </w:pPr>
    </w:p>
    <w:p w:rsidR="00AE33D5" w:rsidRDefault="00AE33D5" w:rsidP="0024572A">
      <w:pPr>
        <w:spacing w:after="80"/>
      </w:pPr>
    </w:p>
    <w:sectPr w:rsidR="00AE33D5">
      <w:headerReference w:type="default" r:id="rId14"/>
      <w:footerReference w:type="default" r:id="rId15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F60" w:rsidRDefault="00CE6F60">
      <w:r>
        <w:separator/>
      </w:r>
    </w:p>
  </w:endnote>
  <w:endnote w:type="continuationSeparator" w:id="0">
    <w:p w:rsidR="00CE6F60" w:rsidRDefault="00CE6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33D5" w:rsidRDefault="00CE6F6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4572A">
      <w:rPr>
        <w:color w:val="888888"/>
        <w:sz w:val="16"/>
        <w:szCs w:val="16"/>
      </w:rPr>
      <w:fldChar w:fldCharType="separate"/>
    </w:r>
    <w:r w:rsidR="0024572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24572A">
      <w:rPr>
        <w:color w:val="888888"/>
        <w:sz w:val="16"/>
        <w:szCs w:val="16"/>
      </w:rPr>
      <w:fldChar w:fldCharType="separate"/>
    </w:r>
    <w:r w:rsidR="0024572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F60" w:rsidRDefault="00CE6F60">
      <w:r>
        <w:separator/>
      </w:r>
    </w:p>
  </w:footnote>
  <w:footnote w:type="continuationSeparator" w:id="0">
    <w:p w:rsidR="00CE6F60" w:rsidRDefault="00CE6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33D5" w:rsidRDefault="00CE6F60">
    <w:pPr>
      <w:jc w:val="right"/>
    </w:pPr>
    <w:r>
      <w:rPr>
        <w:color w:val="888888"/>
        <w:sz w:val="16"/>
        <w:szCs w:val="16"/>
      </w:rPr>
      <w:t>Sistemas Visuales y Formación de Imágenes — Maestría en Ciencia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FD0799"/>
    <w:multiLevelType w:val="hybridMultilevel"/>
    <w:tmpl w:val="71C89CB0"/>
    <w:lvl w:ilvl="0" w:tplc="863C4414">
      <w:start w:val="1"/>
      <w:numFmt w:val="bullet"/>
      <w:lvlText w:val="●"/>
      <w:lvlJc w:val="left"/>
      <w:pPr>
        <w:ind w:left="720" w:hanging="360"/>
      </w:pPr>
    </w:lvl>
    <w:lvl w:ilvl="1" w:tplc="3190D34C">
      <w:start w:val="1"/>
      <w:numFmt w:val="bullet"/>
      <w:lvlText w:val="○"/>
      <w:lvlJc w:val="left"/>
      <w:pPr>
        <w:ind w:left="1440" w:hanging="360"/>
      </w:pPr>
    </w:lvl>
    <w:lvl w:ilvl="2" w:tplc="8162EB46">
      <w:start w:val="1"/>
      <w:numFmt w:val="bullet"/>
      <w:lvlText w:val="■"/>
      <w:lvlJc w:val="left"/>
      <w:pPr>
        <w:ind w:left="2160" w:hanging="360"/>
      </w:pPr>
    </w:lvl>
    <w:lvl w:ilvl="3" w:tplc="6B96FA48">
      <w:start w:val="1"/>
      <w:numFmt w:val="bullet"/>
      <w:lvlText w:val="●"/>
      <w:lvlJc w:val="left"/>
      <w:pPr>
        <w:ind w:left="2880" w:hanging="360"/>
      </w:pPr>
    </w:lvl>
    <w:lvl w:ilvl="4" w:tplc="4C6C5B4A">
      <w:start w:val="1"/>
      <w:numFmt w:val="bullet"/>
      <w:lvlText w:val="○"/>
      <w:lvlJc w:val="left"/>
      <w:pPr>
        <w:ind w:left="3600" w:hanging="360"/>
      </w:pPr>
    </w:lvl>
    <w:lvl w:ilvl="5" w:tplc="C1B6F65E">
      <w:start w:val="1"/>
      <w:numFmt w:val="bullet"/>
      <w:lvlText w:val="■"/>
      <w:lvlJc w:val="left"/>
      <w:pPr>
        <w:ind w:left="4320" w:hanging="360"/>
      </w:pPr>
    </w:lvl>
    <w:lvl w:ilvl="6" w:tplc="40685436">
      <w:start w:val="1"/>
      <w:numFmt w:val="bullet"/>
      <w:lvlText w:val="●"/>
      <w:lvlJc w:val="left"/>
      <w:pPr>
        <w:ind w:left="5040" w:hanging="360"/>
      </w:pPr>
    </w:lvl>
    <w:lvl w:ilvl="7" w:tplc="09C8A0CA">
      <w:start w:val="1"/>
      <w:numFmt w:val="bullet"/>
      <w:lvlText w:val="●"/>
      <w:lvlJc w:val="left"/>
      <w:pPr>
        <w:ind w:left="5760" w:hanging="360"/>
      </w:pPr>
    </w:lvl>
    <w:lvl w:ilvl="8" w:tplc="E6D897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3D5"/>
    <w:rsid w:val="0024572A"/>
    <w:rsid w:val="00AE33D5"/>
    <w:rsid w:val="00C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DAEE"/>
  <w15:docId w15:val="{F40DBCEB-D54E-4602-B140-882B807C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Sánchez Maldonado</cp:lastModifiedBy>
  <cp:revision>2</cp:revision>
  <dcterms:created xsi:type="dcterms:W3CDTF">2026-09-21T15:58:00Z</dcterms:created>
  <dcterms:modified xsi:type="dcterms:W3CDTF">2026-09-22T00:15:00Z</dcterms:modified>
</cp:coreProperties>
</file>