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 ns1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ns2:inline distB="0" distT="0" distL="0" distR="0">
            <ns2:extent cx="6038850" cy="5824008"/>
            <ns2:effectExtent b="0" l="0" r="0" t="0"/>
            <ns2:docPr descr="OpenAI_Photography_2026_04" id="1" name="image1.png"/>
            <ns3:graphic>
              <ns3:graphicData uri="http://schemas.openxmlformats.org/drawingml/2006/picture">
                <ns4:pic>
                  <ns4:nvPicPr>
                    <ns4:cNvPr descr="OpenAI_Photography_2026_04" id="0" name="image1.png"/>
                    <ns4:cNvPicPr preferRelativeResize="0"/>
                  </ns4:nvPicPr>
                  <ns4:blipFill>
                    <ns3:blip ns5:embed="rId7"/>
                    <ns3:srcRect b="1779" l="0" r="0" t="177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038850" cy="5824008"/>
                    </ns3:xfrm>
                    <ns3:prstGeom prst="rect"/>
                    <ns3:ln/>
                  </ns4:spPr>
                </ns4:pic>
              </ns3:graphicData>
            </ns3:graphic>
          </ns2:inline>
        </w:drawing>
      </w:r>
      <w:r>
        <w:rPr>
          <w:rtl w:val="0"/>
        </w:rPr>
      </w:r>
    </w:p>
    <w:p ns1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ns1:paraId="00000003">
      <w:pPr>
        <w:pStyle w:val="Title"/>
        <w:keepNext w:val="1"/>
        <w:spacing w:after="100" w:line="278.00000000000006" w:lineRule="auto"/>
        <w:rPr/>
      </w:pPr>
      <w:bookmarkStart w:colFirst="0" w:colLast="0" w:name="_heading=h.t76axsj6ui55" w:id="0"/>
      <w:bookmarkEnd w:id="0"/>
      <w:r>
        <w:rPr>
          <w:vertAlign w:val="baseline"/>
          <w:rtl w:val="0"/>
        </w:rPr>
        <w:t xml:space="preserve">Plan de Sprints — SIGMA OCRI</w:t>
      </w:r>
      <w:r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ns1:paraId="00000004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Plan de implementación, seguimiento y entrega de producto para prácticas OCRI UNSAAC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ns1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ns1:paraId="00000006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Preparado por Axel</w:t>
            </w:r>
          </w:p>
          <w:p ns1:paraId="00000007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Agosto 2026</w:t>
            </w:r>
          </w:p>
        </w:tc>
      </w:tr>
    </w:tbl>
    <w:p ns1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p>
          <w:r>
            <w:br w:type="page"/>
          </w:r>
        </w:p>
        <w:p>
          <w:pPr>
            <w:pStyle w:val="Heading1"/>
          </w:pPr>
          <w:r>
            <w:t>Avance ejecutado — Sprint 1</w:t>
          </w:r>
        </w:p>
        <w:p>
          <w:r>
            <w:t>Durante los dos primeros días se adelantó la base de acceso seguro en Supabase local. El trabajo cubre US-01 y US-02 en desarrollo; la publicación en Supabase Cloud y la aceptación de OCRI siguen pendientes.</w:t>
          </w:r>
        </w:p>
        <w:p>
          <w:pPr>
            <w:pStyle w:val="Heading1"/>
          </w:pPr>
          <w:r>
            <w:t>Trabajo realizado</w:t>
          </w:r>
        </w:p>
        <w:p>
          <w:r>
            <w:t>• Supabase local con PostgreSQL, Auth, Studio y Mailpit mediante Docker.</w:t>
          </w:r>
        </w:p>
        <w:p>
          <w:r>
            <w:t>• Perfiles, roles, universidades, dominios, RLS y funciones administrativas seguras.</w:t>
          </w:r>
        </w:p>
        <w:p>
          <w:r>
            <w:t>• Roles finales: ADMIN_OCRI, ESTUDIANTE_UNSAAC, ESTUDIANTE_EXTERNO y GESTOR_EXTERNO.</w:t>
          </w:r>
        </w:p>
        <w:p>
          <w:r>
            <w:t>• Bootstrap único de ocri@unsaac.edu.pe como administrador funcional.</w:t>
          </w:r>
        </w:p>
        <w:p>
          <w:r>
            <w:t>• Registro con dominio aprobado, verificación por enlace y contraseña personal para ingresos posteriores.</w:t>
          </w:r>
        </w:p>
        <w:p>
          <w:r>
            <w:t>• Registro bloqueado para Gmail y dominios sin convenio o asociación aprobada.</w:t>
          </w:r>
        </w:p>
        <w:p>
          <w:r>
            <w:t>• Rol base automático para estudiantes; OCRI designa gestores externos directamente.</w:t>
          </w:r>
        </w:p>
        <w:p>
          <w:r>
            <w:t>• Panel OCRI para universidades, dominios y designación de gestores; navegación separada entre SGMS, SGME y Administración.</w:t>
          </w:r>
        </w:p>
        <w:p>
          <w:pPr>
            <w:pStyle w:val="Heading1"/>
          </w:pPr>
          <w:r>
            <w:t>Evidencias y siguiente paso</w:t>
          </w:r>
        </w:p>
        <w:p>
          <w:r>
            <w:t>La compilación npm run build y el lint de base supabase db lint --local finalizaron sin errores. El siguiente incremento es Sprint 2: US-04, US-05 y US-06, para migrar convocatorias y requisitos a PostgreSQL y permitir su consulta controlada.</w:t>
          </w:r>
        </w:p>
        <w:sectPr>
          <w:footerReference ns5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ns1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Contenido</w:t>
      </w:r>
    </w:p>
    <w:p ns1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tl w:val="0"/>
        </w:rPr>
      </w:r>
      <w:r>
        <w:t>Resumen ejecutivo · Plan del Sprint 1 · Sprints posteriores · Apéndice</w:t>
      </w:r>
    </w:p>
    <w:bookmarkStart w:colFirst="0" w:colLast="0" w:name="bookmark=id.i23wo83gyh7m" w:id="1"/>
    <w:bookmarkEnd w:id="1"/>
    <w:p ns1:paraId="00000017">
      <w:pPr>
        <w:pStyle w:val="Heading1"/>
        <w:pageBreakBefore w:val="1"/>
        <w:rPr/>
      </w:pPr>
      <w:r>
        <w:rPr>
          <w:rtl w:val="0"/>
        </w:rPr>
        <w:t xml:space="preserve">Resumen ejecutivo</w:t>
      </w:r>
    </w:p>
    <w:p ns1:paraId="00000018">
      <w:pPr>
        <w:rPr/>
      </w:pPr>
      <w:r>
        <w:rPr>
          <w:rtl w:val="0"/>
        </w:rPr>
        <w:t xml:space="preserve">SIGMA OCRI se desarrollará mediante Scrum adaptado a prácticas preprofesionales: sprints de dos semanas y una demostración semanal a OCRI. El objetivo es entregar software usable desde las primeras semanas y refinarlo con la retroalimentación institucional.</w:t>
      </w:r>
    </w:p>
    <w:p ns1:paraId="00000019">
      <w:pPr>
        <w:rPr/>
      </w:pPr>
      <w:r>
        <w:rPr>
          <w:rtl w:val="0"/>
        </w:rPr>
        <w:t xml:space="preserve">El Product Backlog contiene 24 historias priorizadas. El primer sprint se limita deliberadamente a la base productiva y al control de acceso; SGMS y SGME se construyen después sobre esa base.</w:t>
      </w:r>
    </w:p>
    <w:bookmarkStart w:colFirst="0" w:colLast="0" w:name="bookmark=id.1sqjewf8afxt" w:id="2"/>
    <w:bookmarkEnd w:id="2"/>
    <w:p ns1:paraId="0000001A">
      <w:pPr>
        <w:pStyle w:val="Heading2"/>
        <w:rPr/>
      </w:pPr>
      <w:r>
        <w:rPr>
          <w:rtl w:val="0"/>
        </w:rPr>
        <w:t xml:space="preserve">A primera vista</w:t>
      </w:r>
    </w:p>
    <w:p ns1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1 (10–23 de agosto): acceso autenticado y autorización por roles.</w:t>
      </w:r>
    </w:p>
    <w:p ns1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semana: demostración, evidencias, observaciones de OCRI y replanificación.</w:t>
      </w:r>
    </w:p>
    <w:p ns1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Hitos: SGMS demostrable en S3; SGMS completo en S5; SGME en S7; piloto en S9.</w:t>
      </w:r>
    </w:p>
    <w:bookmarkStart w:colFirst="0" w:colLast="0" w:name="bookmark=id.4t4jj91ycfx" w:id="3"/>
    <w:bookmarkEnd w:id="3"/>
    <w:p ns1:paraId="0000001E">
      <w:pPr>
        <w:pStyle w:val="Heading2"/>
        <w:rPr/>
      </w:pPr>
      <w:r>
        <w:rPr>
          <w:rtl w:val="0"/>
        </w:rPr>
        <w:t xml:space="preserve">Objetivo y alcance</w:t>
      </w:r>
    </w:p>
    <w:p ns1:paraId="0000001F">
      <w:pPr>
        <w:rPr/>
      </w:pPr>
      <w:r>
        <w:rPr>
          <w:rtl w:val="0"/>
        </w:rPr>
        <w:t xml:space="preserve">El producto integra movilidad saliente (SGMS), movilidad entrante (SGME) y gestión OCRI. Se trabajará como un monolito modular con Next.js, TypeScript, PostgreSQL, Prisma y autenticación institucional o Supabase Auth, sujetos a validación técnica.</w:t>
      </w:r>
    </w:p>
    <w:p ns1:paraId="00000020">
      <w:pPr>
        <w:rPr/>
      </w:pPr>
      <w:r>
        <w:rPr>
          <w:rtl w:val="0"/>
        </w:rPr>
        <w:t xml:space="preserve">La prioridad de cada sprint se revisa con OCRI. Una historia solo se considera terminada cuando cumple sus criterios de aceptación, fue probada y puede mostrarse en una demostración funcional.</w:t>
      </w:r>
    </w:p>
    <w:bookmarkStart w:colFirst="0" w:colLast="0" w:name="bookmark=id.xx7bxdemqiq" w:id="4"/>
    <w:bookmarkEnd w:id="4"/>
    <w:p ns1:paraId="00000021">
      <w:pPr>
        <w:pStyle w:val="Heading1"/>
        <w:pageBreakBefore w:val="1"/>
        <w:rPr/>
      </w:pPr>
      <w:r>
        <w:rPr>
          <w:rtl w:val="0"/>
        </w:rPr>
        <w:t xml:space="preserve">Plan detallado — Sprint 1</w:t>
      </w:r>
    </w:p>
    <w:p ns1:paraId="00000022">
      <w:pPr>
        <w:rPr/>
      </w:pPr>
      <w:r>
        <w:rPr>
          <w:rtl w:val="0"/>
        </w:rPr>
        <w:t xml:space="preserve">Meta: dejar una aplicación productiva mínima con sesión real y roles protegidos. No se inicia aún la carga de datos personales ni la gestión documental.</w:t>
      </w:r>
    </w:p>
    <w:p ns1:paraId="00000023">
      <w:pPr>
        <w:pStyle w:val="Heading2"/>
        <w:rPr/>
      </w:pPr>
      <w:r>
        <w:rPr>
          <w:rtl w:val="0"/>
        </w:rPr>
        <w:t xml:space="preserve">Historias comprometidas</w:t>
      </w:r>
    </w:p>
    <w:p ns1:paraId="00000024">
      <w:pPr>
        <w:rPr/>
      </w:pPr>
      <w:r>
        <w:rPr>
          <w:rtl w:val="0"/>
        </w:rPr>
        <w:t xml:space="preserve">US-01: inicio de sesión. US-02: roles y autorización. Preparación técnica: estructura Next.js/TypeScript, configuración de base de datos, migraciones iniciales y datos semilla no sensibles.</w:t>
      </w:r>
    </w:p>
    <w:p ns1:paraId="00000025">
      <w:pPr>
        <w:pStyle w:val="Heading2"/>
        <w:rPr/>
      </w:pPr>
      <w:r>
        <w:rPr>
          <w:rtl w:val="0"/>
        </w:rPr>
        <w:t xml:space="preserve">Secuencia de trabajo</w:t>
      </w:r>
    </w:p>
    <w:p ns1:paraId="00000026">
      <w:pPr>
        <w:rPr/>
      </w:pPr>
      <w:r>
        <w:rPr>
          <w:rtl w:val="0"/>
        </w:rPr>
        <w:t xml:space="preserve">Días 1–2: confirmar proveedor de identidad, crear estructura y esquema de usuarios/roles. Días 3–4: implementar sesión, rutas protegidas y panel por rol. Días 5–7: pruebas de autorización y correcciones. Días 8–9: preparación de demostración y evidencias. Día 10: revisión con OCRI y retrospectiva.</w:t>
      </w:r>
    </w:p>
    <w:p ns1:paraId="00000027">
      <w:pPr>
        <w:rPr/>
      </w:pPr>
      <w:r>
        <w:rPr>
          <w:rtl w:val="0"/>
        </w:rPr>
      </w:r>
    </w:p>
    <w:p ns1:paraId="00000028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Resultado verificable. Un administrador, un evaluador, un estudiante UNSAAC y un estudiante externo ingresan con perfiles de prueba y ven solo las acciones permitidas por su rol.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ns1:paraId="00000029">
      <w:pPr>
        <w:pStyle w:val="Heading2"/>
        <w:rPr/>
      </w:pPr>
      <w:r>
        <w:rPr>
          <w:rtl w:val="0"/>
        </w:rPr>
      </w:r>
    </w:p>
    <w:bookmarkStart w:colFirst="0" w:colLast="0" w:name="bookmark=id.suv0vlq0gz4r" w:id="5"/>
    <w:bookmarkEnd w:id="5"/>
    <w:p ns1:paraId="0000002A">
      <w:pPr>
        <w:pStyle w:val="Heading2"/>
        <w:rPr/>
      </w:pPr>
      <w:r>
        <w:rPr>
          <w:rtl w:val="0"/>
        </w:rPr>
        <w:t xml:space="preserve">Implicancias para el desarrollo</w:t>
      </w:r>
    </w:p>
    <w:p ns1:paraId="0000002B">
      <w:pPr>
        <w:rPr/>
      </w:pPr>
      <w:r>
        <w:rPr>
          <w:rtl w:val="0"/>
        </w:rPr>
        <w:t xml:space="preserve">La seguridad y los permisos deben resolverse antes de implementar postulaciones y documentos. Esto reduce retrabajo y evita que un prototipo con datos personales se convierta en un riesgo operativo.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3300"/>
        <w:gridCol w:w="4020"/>
        <w:tblGridChange w:id="0">
          <w:tblGrid>
            <w:gridCol w:w="1800"/>
            <w:gridCol w:w="3300"/>
            <w:gridCol w:w="4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ns1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Tema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ns1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Decisión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ns1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Evidencia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ns1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Cadencia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ns1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Sprint de 2 semanas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ns1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 semanal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ns1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ns1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Backlog priorizado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ns1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ns1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ns1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Pruebas por rol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ns1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Revisión OCRI</w:t>
            </w:r>
          </w:p>
        </w:tc>
      </w:tr>
    </w:tbl>
    <w:bookmarkStart w:colFirst="0" w:colLast="0" w:name="bookmark=id.vvr4bduzzdc0" w:id="6"/>
    <w:bookmarkEnd w:id="6"/>
    <w:p ns1:paraId="00000038">
      <w:pPr>
        <w:pStyle w:val="Heading1"/>
        <w:pageBreakBefore w:val="1"/>
        <w:rPr/>
      </w:pPr>
      <w:r>
        <w:rPr>
          <w:rtl w:val="0"/>
        </w:rPr>
        <w:t xml:space="preserve">Recomendaciones inmediatas</w:t>
      </w:r>
    </w:p>
    <w:p ns1:paraId="00000039">
      <w:pPr>
        <w:rPr/>
      </w:pPr>
      <w:r>
        <w:rPr>
          <w:rtl w:val="0"/>
        </w:rPr>
        <w:t xml:space="preserve">La prioridad inmediata es cerrar el Sprint 1 con una base verificable y documentada; el backlog se ajustará únicamente con observaciones aprobadas por OCRI.</w:t>
      </w:r>
    </w:p>
    <w:p ns1:paraId="0000003A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Confirmar con OCRI la fuente de identidad y los cinco roles principales.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ns1:paraId="0000003B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Definir el esquema inicial de usuarios, roles y permisos en PostgreSQL/Prisma.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ns1:paraId="0000003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Demostrar el acceso por rol y registrar las observaciones para el Sprint 2.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bookmarkStart w:colFirst="0" w:colLast="0" w:name="bookmark=id.rl3o3rp5qmnq" w:id="7"/>
    <w:bookmarkEnd w:id="7"/>
    <w:p ns1:paraId="0000003D">
      <w:pPr>
        <w:pStyle w:val="Heading2"/>
        <w:rPr/>
      </w:pPr>
      <w:r>
        <w:rPr>
          <w:rtl w:val="0"/>
        </w:rPr>
        <w:t xml:space="preserve">Conclusión</w:t>
      </w:r>
    </w:p>
    <w:p ns1:paraId="0000003E">
      <w:pPr>
        <w:rPr/>
      </w:pPr>
      <w:r>
        <w:rPr>
          <w:rtl w:val="0"/>
        </w:rPr>
        <w:t xml:space="preserve">El plan prioriza valor visible, pero conserva una secuencia técnica responsable: acceso y permisos, convocatorias, SGMS, documentos, SGME, administración y piloto.</w:t>
      </w:r>
    </w:p>
    <w:p ns1:paraId="0000003F">
      <w:pPr>
        <w:rPr/>
      </w:pPr>
      <w:r>
        <w:rPr>
          <w:rtl w:val="0"/>
        </w:rPr>
        <w:t xml:space="preserve">Al final de cada sprint se aceptan historias terminadas, se reordena el backlog y se publica la evidencia correspondiente en el repositorio y GitHub Projects.</w:t>
      </w:r>
    </w:p>
    <w:bookmarkStart w:colFirst="0" w:colLast="0" w:name="bookmark=id.cf45595vup8a" w:id="8"/>
    <w:bookmarkEnd w:id="8"/>
    <w:p ns1:paraId="00000040">
      <w:pPr>
        <w:pStyle w:val="Heading1"/>
        <w:pageBreakBefore w:val="1"/>
        <w:rPr/>
      </w:pPr>
      <w:r>
        <w:rPr>
          <w:rtl w:val="0"/>
        </w:rPr>
        <w:t xml:space="preserve">Apéndice — Sprints posteriores</w:t>
      </w:r>
    </w:p>
    <w:bookmarkStart w:colFirst="0" w:colLast="0" w:name="bookmark=id.ptrg31dozyqs" w:id="9"/>
    <w:bookmarkEnd w:id="9"/>
    <w:p ns1:paraId="00000041">
      <w:pPr>
        <w:pStyle w:val="Heading2"/>
        <w:rPr/>
      </w:pPr>
      <w:r>
        <w:rPr>
          <w:rtl w:val="0"/>
        </w:rPr>
        <w:t xml:space="preserve">Hoja de ruta resumida</w:t>
      </w:r>
    </w:p>
    <w:p ns1:paraId="00000042">
      <w:pPr>
        <w:rPr/>
      </w:pPr>
      <w:r>
        <w:rPr>
          <w:rtl w:val="0"/>
        </w:rPr>
        <w:t xml:space="preserve">Sprint 2 (24 ago–6 sep): convocatorias, requisitos y consulta de convocatorias activas (US-04 a US-06).</w:t>
      </w:r>
    </w:p>
    <w:p ns1:paraId="00000043">
      <w:pPr>
        <w:rPr/>
      </w:pPr>
      <w:r>
        <w:rPr>
          <w:rtl w:val="0"/>
        </w:rPr>
        <w:t xml:space="preserve">Sprint 3 (7–20 sep): perfil UNSAAC, borrador y envío de postulación SGMS (US-07 a US-09).</w:t>
      </w:r>
    </w:p>
    <w:bookmarkStart w:colFirst="0" w:colLast="0" w:name="bookmark=id.nnk1eebni0ji" w:id="10"/>
    <w:bookmarkEnd w:id="10"/>
    <w:p ns1:paraId="00000044">
      <w:pPr>
        <w:pStyle w:val="Heading2"/>
        <w:rPr/>
      </w:pPr>
      <w:r>
        <w:rPr>
          <w:rtl w:val="0"/>
        </w:rPr>
        <w:t xml:space="preserve">Sprint 4 (21 sep–4 oct): carga privada, revisión y subsanación de documentos (US-10 a US-12).</w:t>
      </w:r>
    </w:p>
    <w:p ns1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5 (5–18 oct): evaluación, seguimiento y notificaciones SGMS (US-13 a US-15).</w:t>
      </w:r>
    </w:p>
    <w:p ns1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6 (19 oct–1 nov): nominaciones y postulación de movilidad entrante (US-16 y US-17).</w:t>
      </w:r>
    </w:p>
    <w:p ns1:paraId="0000004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7 (2–15 nov): validación académica y cartas de aceptación (US-18 y US-19).</w:t>
      </w:r>
    </w:p>
    <w:p ns1:paraId="0000004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8 (16–29 nov): auditoría, catálogos y reportes institucionales (US-03, US-20 y US-21).</w:t>
      </w:r>
    </w:p>
    <w:p ns1:paraId="0000004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/>
      </w:pPr>
      <w:r>
        <w:rPr>
          <w:rtl w:val="0"/>
        </w:rPr>
      </w:r>
      <w:r>
        <w:t>Sprint 9 (30 nov–13 dic): seguridad, accesibilidad, piloto y documentación operativa (US-22 a US-24).</w:t>
      </w:r>
    </w:p>
    <w:p ns1:paraId="0000004A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Cierre (semana 21): demostración final, transferencia, informe de prácticas y backlog de continuidad.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/>
      </w:r>
    </w:p>
    <w:sectPr>
      <w:headerReference ns5:id="rId9" w:type="default"/>
      <w:footerReference ns5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SIGMA OCRI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Agosto 2026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