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10"/>
        <w:jc w:val="center"/>
      </w:pPr>
      <w:r>
        <w:rPr>
          <w:rFonts w:ascii="Arial" w:hAnsi="Arial"/>
          <w:b/>
          <w:color w:val="232323"/>
          <w:sz w:val="40"/>
        </w:rPr>
        <w:t>AXEL CRUZ MACHADO</w:t>
      </w:r>
    </w:p>
    <w:p>
      <w:pPr>
        <w:keepLines/>
        <w:spacing w:after="10"/>
        <w:jc w:val="center"/>
      </w:pPr>
      <w:r>
        <w:rPr>
          <w:rFonts w:ascii="Arial" w:hAnsi="Arial"/>
          <w:b/>
          <w:color w:val="232323"/>
          <w:sz w:val="18"/>
        </w:rPr>
        <w:t>SENIOR PROJECT &amp; PROGRAM MANAGER | CREATIVE OPERATIONS, AI-ENABLED CONTENT &amp; DIGITAL PLATFORMS</w:t>
      </w:r>
    </w:p>
    <w:p>
      <w:pPr>
        <w:keepLines/>
        <w:spacing w:after="44"/>
        <w:jc w:val="center"/>
      </w:pPr>
      <w:r>
        <w:rPr>
          <w:color w:val="5C5C5C"/>
          <w:sz w:val="16"/>
        </w:rPr>
        <w:t xml:space="preserve">Mexico City Metropolitan Area | +52 55 3039 2163 | </w:t>
      </w:r>
      <w:hyperlink r:id="rId9">
        <w:r>
          <w:rPr>
            <w:color w:val="4A4A4A"/>
            <w:u w:val="single"/>
            <w:rFonts w:ascii="Arial" w:hAnsi="Arial"/>
            <w:sz w:val="17"/>
          </w:rPr>
          <w:t>axelcruzmachado@gmail.com</w:t>
        </w:r>
      </w:hyperlink>
      <w:r>
        <w:rPr>
          <w:color w:val="5C5C5C"/>
          <w:sz w:val="16"/>
        </w:rPr>
        <w:t xml:space="preserve"> | </w:t>
      </w:r>
      <w:hyperlink r:id="rId10">
        <w:r>
          <w:rPr>
            <w:color w:val="4A4A4A"/>
            <w:u w:val="single"/>
            <w:rFonts w:ascii="Arial" w:hAnsi="Arial"/>
            <w:sz w:val="17"/>
          </w:rPr>
          <w:t>linkedin.com/in/axeldanielcruzmachado</w:t>
        </w:r>
      </w:hyperlink>
    </w:p>
    <w:p>
      <w:pPr>
        <w:spacing w:before="64" w:after="40"/>
        <w:keepLines/>
        <w:pBdr>
          <w:bottom w:val="single" w:sz="8" w:space="2" w:color="666666"/>
        </w:pBdr>
      </w:pPr>
      <w:r>
        <w:rPr>
          <w:rFonts w:ascii="Arial" w:hAnsi="Arial"/>
          <w:b/>
          <w:color w:val="232323"/>
          <w:sz w:val="17"/>
        </w:rPr>
        <w:t>EXECUTIVE PROFILE</w:t>
      </w:r>
    </w:p>
    <w:p>
      <w:pPr>
        <w:keepLines/>
        <w:spacing w:after="30" w:line="247" w:lineRule="auto"/>
      </w:pPr>
      <w:r>
        <w:rPr>
          <w:sz w:val="16"/>
        </w:rPr>
        <w:t>Senior project and program manager and Interactive Technologies Engineer with 10+ years of experience leading digital platforms, creative/content operations, learning systems, and cross-functional delivery. Translates business needs into scope, plans, resources, workflows, production, QA, launch, reporting, and continuous improvement. Leads multidisciplinary teams, vendors, and stakeholders across content, technology, operations, and AI-assisted workflows, with accountable ownership of timelines, risks, quality, and outcomes.</w:t>
      </w:r>
    </w:p>
    <w:p>
      <w:pPr>
        <w:spacing w:before="64" w:after="40"/>
        <w:keepLines/>
        <w:pBdr>
          <w:bottom w:val="single" w:sz="8" w:space="2" w:color="666666"/>
        </w:pBdr>
      </w:pPr>
      <w:r>
        <w:rPr>
          <w:rFonts w:ascii="Arial" w:hAnsi="Arial"/>
          <w:b/>
          <w:color w:val="232323"/>
          <w:sz w:val="17"/>
        </w:rPr>
        <w:t>SELECTED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5270"/>
        <w:gridCol w:w="5270"/>
      </w:tblGrid>
      <w:tr>
        <w:tc>
          <w:tcPr>
            <w:tcW w:type="dxa" w:w="5429"/>
            <w:shd w:fill="F1F1F1"/>
            <w:tcMar>
              <w:top w:w="5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15+ PROGRAMS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32323"/>
                <w:sz w:val="15"/>
              </w:rPr>
              <w:t>Concurrent client programs across creative, platform, learning, and digital delivery.</w:t>
            </w:r>
          </w:p>
        </w:tc>
        <w:tc>
          <w:tcPr>
            <w:tcW w:type="dxa" w:w="5429"/>
            <w:shd w:fill="F1F1F1"/>
            <w:tcMar>
              <w:top w:w="5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25 SPECIALISTS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32323"/>
                <w:sz w:val="15"/>
              </w:rPr>
              <w:t>Cross-functional specialists led across creative, technical, instructional, software, and QA.</w:t>
            </w:r>
          </w:p>
        </w:tc>
      </w:tr>
      <w:tr>
        <w:tc>
          <w:tcPr>
            <w:tcW w:type="dxa" w:w="5429"/>
            <w:shd w:fill="F1F1F1"/>
            <w:tcMar>
              <w:top w:w="5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7,000+ USERS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32323"/>
                <w:sz w:val="15"/>
              </w:rPr>
              <w:t>Enterprise LMS ecosystems operated across Hino and Edenred.</w:t>
            </w:r>
          </w:p>
        </w:tc>
        <w:tc>
          <w:tcPr>
            <w:tcW w:type="dxa" w:w="5429"/>
            <w:shd w:fill="F1F1F1"/>
            <w:tcMar>
              <w:top w:w="5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180 ASSETS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32323"/>
                <w:sz w:val="15"/>
              </w:rPr>
              <w:t>Kia content and enablement assets coordinated across static, animation, video, and product formats.</w:t>
            </w:r>
          </w:p>
        </w:tc>
      </w:tr>
      <w:tr>
        <w:tc>
          <w:tcPr>
            <w:tcW w:type="dxa" w:w="5429"/>
            <w:shd w:fill="F1F1F1"/>
            <w:tcMar>
              <w:top w:w="5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14 DAYS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32323"/>
                <w:sz w:val="15"/>
              </w:rPr>
              <w:t>Two business-critical LMS environments restored under severe operational pressure.</w:t>
            </w:r>
          </w:p>
        </w:tc>
        <w:tc>
          <w:tcPr>
            <w:tcW w:type="dxa" w:w="5429"/>
            <w:shd w:fill="F1F1F1"/>
            <w:tcMar>
              <w:top w:w="5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10"/>
            </w:pPr>
            <w:r/>
            <w:r>
              <w:rPr>
                <w:rFonts w:ascii="Arial" w:hAnsi="Arial"/>
                <w:b/>
                <w:color w:val="232323"/>
                <w:sz w:val="21"/>
              </w:rPr>
              <w:t>3 → 50+ AGENTS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color w:val="232323"/>
                <w:sz w:val="15"/>
              </w:rPr>
              <w:t>HSBC sales operation scaled through onboarding, training, coaching, and performance routines.</w:t>
            </w:r>
          </w:p>
        </w:tc>
      </w:tr>
    </w:tbl>
    <w:p>
      <w:pPr>
        <w:spacing w:before="64" w:after="40"/>
        <w:keepLines/>
        <w:pBdr>
          <w:bottom w:val="single" w:sz="8" w:space="2" w:color="666666"/>
        </w:pBdr>
      </w:pPr>
      <w:r>
        <w:rPr>
          <w:rFonts w:ascii="Arial" w:hAnsi="Arial"/>
          <w:b/>
          <w:color w:val="232323"/>
          <w:sz w:val="17"/>
        </w:rPr>
        <w:t>CAPABILITIES</w:t>
      </w:r>
    </w:p>
    <w:p>
      <w:pPr>
        <w:keepLines/>
        <w:spacing w:after="6" w:line="240" w:lineRule="auto"/>
      </w:pPr>
      <w:r>
        <w:rPr>
          <w:b/>
          <w:color w:val="232323"/>
          <w:sz w:val="15"/>
        </w:rPr>
        <w:t xml:space="preserve">PROJECT &amp; PROGRAM DELIVERY: </w:t>
      </w:r>
      <w:r>
        <w:rPr>
          <w:color w:val="232323"/>
          <w:sz w:val="15"/>
        </w:rPr>
        <w:t>Requirements, scope, schedules, resources, budgets, vendors, dependencies, risks, UAT, QA, stakeholder reporting</w:t>
      </w:r>
    </w:p>
    <w:p>
      <w:pPr>
        <w:keepLines/>
        <w:spacing w:after="6" w:line="240" w:lineRule="auto"/>
      </w:pPr>
      <w:r>
        <w:rPr>
          <w:b/>
          <w:color w:val="232323"/>
          <w:sz w:val="15"/>
        </w:rPr>
        <w:t xml:space="preserve">CREATIVE &amp; CONTENT OPERATIONS: </w:t>
      </w:r>
      <w:r>
        <w:rPr>
          <w:color w:val="232323"/>
          <w:sz w:val="15"/>
        </w:rPr>
        <w:t>Multimedia production, content workflows, review/approval cycles, versioning, high-volume delivery, Adobe Creative Cloud</w:t>
      </w:r>
    </w:p>
    <w:p>
      <w:pPr>
        <w:keepLines/>
        <w:spacing w:after="6" w:line="240" w:lineRule="auto"/>
      </w:pPr>
      <w:r>
        <w:rPr>
          <w:b/>
          <w:color w:val="232323"/>
          <w:sz w:val="15"/>
        </w:rPr>
        <w:t xml:space="preserve">DIGITAL PLATFORMS &amp; AI: </w:t>
      </w:r>
      <w:r>
        <w:rPr>
          <w:color w:val="232323"/>
          <w:sz w:val="15"/>
        </w:rPr>
        <w:t>LMS operations, implementations, AWS, REST APIs, SCORM/xAPI, reporting, AI-assisted research, documentation, and workflow acceleration</w:t>
      </w:r>
    </w:p>
    <w:p>
      <w:pPr>
        <w:spacing w:before="64" w:after="40"/>
        <w:keepLines/>
        <w:pBdr>
          <w:bottom w:val="single" w:sz="8" w:space="2" w:color="666666"/>
        </w:pBdr>
      </w:pPr>
      <w:r>
        <w:rPr>
          <w:rFonts w:ascii="Arial" w:hAnsi="Arial"/>
          <w:b/>
          <w:color w:val="232323"/>
          <w:sz w:val="17"/>
        </w:rPr>
        <w:t>PROFESSIONAL EXPERIENCE</w:t>
      </w:r>
    </w:p>
    <w:p>
      <w:pPr>
        <w:keepLines/>
        <w:spacing w:before="40" w:after="10"/>
      </w:pPr>
      <w:r>
        <w:rPr>
          <w:b/>
          <w:color w:val="232323"/>
          <w:sz w:val="17"/>
        </w:rPr>
        <w:t>Head of Coordination &amp; Quality</w:t>
      </w:r>
      <w:r>
        <w:rPr>
          <w:color w:val="5C5C5C"/>
        </w:rPr>
        <w:t xml:space="preserve"> | </w:t>
      </w:r>
      <w:r>
        <w:rPr>
          <w:b/>
          <w:color w:val="5C5C5C"/>
          <w:sz w:val="17"/>
        </w:rPr>
        <w:t>Top of Mind Communication</w:t>
      </w:r>
      <w:r>
        <w:rPr>
          <w:color w:val="5C5C5C"/>
        </w:rPr>
        <w:t xml:space="preserve"> | </w:t>
      </w:r>
      <w:r>
        <w:rPr>
          <w:b/>
          <w:color w:val="5C5C5C"/>
          <w:sz w:val="16"/>
        </w:rPr>
        <w:t>Feb 2025 - Present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Lead up to 25 specialists while coordinating 15+ concurrent client programs across creative production, digital platforms, learning technology, software, and QA.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Own end-to-end delivery from requirements, scope, planning, resources, schedules, budgets, vendors, risks, review, UAT/QA, stakeholder approval, launch, and improvement.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Coordinate multimedia and digital delivery across video, animation, audio, podcasts, interactive content, enterprise communications, and learning experiences for clients including Kia, KPMG, Mazda, Costco, Hino, Edenred, and Teojama.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Apply AI-assisted workflows to research, ideation, content development, documentation, and process acceleration while maintaining human review and quality control.</w:t>
      </w:r>
    </w:p>
    <w:p>
      <w:pPr>
        <w:keepLines/>
        <w:spacing w:before="40" w:after="10"/>
      </w:pPr>
      <w:r>
        <w:rPr>
          <w:b/>
          <w:color w:val="232323"/>
          <w:sz w:val="17"/>
        </w:rPr>
        <w:t>Digital Project Coordinator - Enterprise Platforms &amp; Content</w:t>
      </w:r>
      <w:r>
        <w:rPr>
          <w:color w:val="5C5C5C"/>
        </w:rPr>
        <w:t xml:space="preserve"> | </w:t>
      </w:r>
      <w:r>
        <w:rPr>
          <w:b/>
          <w:color w:val="5C5C5C"/>
          <w:sz w:val="17"/>
        </w:rPr>
        <w:t>Top of Mind Communication</w:t>
      </w:r>
      <w:r>
        <w:rPr>
          <w:color w:val="5C5C5C"/>
        </w:rPr>
        <w:t xml:space="preserve"> | </w:t>
      </w:r>
      <w:r>
        <w:rPr>
          <w:b/>
          <w:color w:val="5C5C5C"/>
          <w:sz w:val="16"/>
        </w:rPr>
        <w:t>Feb 2024 - Jan 2025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Operated LMS ecosystems serving 7,000+ users across Hino and Edenred, including access, permissions, courses, scores, completion, reporting, support, and platform operations.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Coordinated 60+ WBT productions and 180 Kia content/enablement assets, connecting client stakeholders, instructional teams, creative specialists, and developers through review, QA, revisions, and delivery.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Helped restore two business-critical LMS environments within 14 days by prioritizing issues, coordinating technical/content teams, testing fixes, and managing stakeholder expectations.</w:t>
      </w:r>
    </w:p>
    <w:p>
      <w:pPr>
        <w:keepLines/>
        <w:spacing w:before="40" w:after="10"/>
      </w:pPr>
      <w:r>
        <w:rPr>
          <w:b/>
          <w:color w:val="232323"/>
          <w:sz w:val="17"/>
        </w:rPr>
        <w:t>HR Manager - Training, Operations &amp; Performance</w:t>
      </w:r>
      <w:r>
        <w:rPr>
          <w:color w:val="5C5C5C"/>
        </w:rPr>
        <w:t xml:space="preserve"> | </w:t>
      </w:r>
      <w:r>
        <w:rPr>
          <w:b/>
          <w:color w:val="5C5C5C"/>
          <w:sz w:val="17"/>
        </w:rPr>
        <w:t>TOCA Contact Center</w:t>
      </w:r>
      <w:r>
        <w:rPr>
          <w:color w:val="5C5C5C"/>
        </w:rPr>
        <w:t xml:space="preserve"> | </w:t>
      </w:r>
      <w:r>
        <w:rPr>
          <w:b/>
          <w:color w:val="5C5C5C"/>
          <w:sz w:val="16"/>
        </w:rPr>
        <w:t>Jan 2023 - Feb 2024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Helped scale an HSBC credit-card sales operation from 3 to 50+ agents in under six months through recruiting, onboarding, training, coaching, quality routines, and performance management.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Used daily, weekly, and monthly sales-floor data to target interventions and helped the operation reach the #1 national sales-performance position while improving staff retention.</w:t>
      </w:r>
    </w:p>
    <w:p>
      <w:pPr>
        <w:keepLines/>
        <w:spacing w:before="40" w:after="10"/>
      </w:pPr>
      <w:r>
        <w:rPr>
          <w:b/>
          <w:color w:val="232323"/>
          <w:sz w:val="17"/>
        </w:rPr>
        <w:t>Founder &amp; Digital Solutions Lead</w:t>
      </w:r>
      <w:r>
        <w:rPr>
          <w:color w:val="5C5C5C"/>
        </w:rPr>
        <w:t xml:space="preserve"> | </w:t>
      </w:r>
      <w:r>
        <w:rPr>
          <w:b/>
          <w:color w:val="5C5C5C"/>
          <w:sz w:val="17"/>
        </w:rPr>
        <w:t>Fentec Apps &amp; Web</w:t>
      </w:r>
      <w:r>
        <w:rPr>
          <w:color w:val="5C5C5C"/>
        </w:rPr>
        <w:t xml:space="preserve"> | </w:t>
      </w:r>
      <w:r>
        <w:rPr>
          <w:b/>
          <w:color w:val="5C5C5C"/>
          <w:sz w:val="16"/>
        </w:rPr>
        <w:t>Mar 2015 - Feb 2024 | Part-time 2023 - 2024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Led digital projects from discovery and requirements through planning, platform development, content coordination, testing, deployment, support, and long-term evolution.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Delivered and operated Hino (2,000+ users) and Edenred (5,000+ users) LMS environments; coordinated technical, creative, instructional, and client stakeholders across web platforms, APIs, databases, AWS, and digital content.</w:t>
      </w:r>
    </w:p>
    <w:p>
      <w:pPr>
        <w:keepLines/>
        <w:spacing w:after="10" w:line="240" w:lineRule="auto"/>
        <w:ind w:left="173" w:hanging="130"/>
      </w:pPr>
      <w:r>
        <w:rPr>
          <w:sz w:val="16"/>
        </w:rPr>
        <w:t xml:space="preserve">• </w:t>
      </w:r>
      <w:r>
        <w:rPr>
          <w:sz w:val="16"/>
        </w:rPr>
        <w:t>Managed vendors, project budgets, platform requirements, UAT, operational issues, and stakeholder expectations while developing practical fluency across REST APIs, SCORM/xAPI, databases, GitHub, and software-development workflows.</w:t>
      </w:r>
    </w:p>
    <w:p>
      <w:pPr>
        <w:spacing w:before="64" w:after="40"/>
        <w:keepLines/>
        <w:pBdr>
          <w:bottom w:val="single" w:sz="8" w:space="2" w:color="666666"/>
        </w:pBdr>
      </w:pPr>
      <w:r>
        <w:rPr>
          <w:rFonts w:ascii="Arial" w:hAnsi="Arial"/>
          <w:b/>
          <w:color w:val="232323"/>
          <w:sz w:val="17"/>
        </w:rPr>
        <w:t>CORE EXPERTISE &amp; TOOLS</w:t>
      </w:r>
    </w:p>
    <w:p>
      <w:pPr>
        <w:keepLines/>
        <w:spacing w:after="6"/>
      </w:pPr>
      <w:r>
        <w:rPr>
          <w:b/>
          <w:sz w:val="15"/>
        </w:rPr>
        <w:t xml:space="preserve">EXPERTISE: </w:t>
      </w:r>
      <w:r>
        <w:rPr>
          <w:sz w:val="15"/>
        </w:rPr>
        <w:t>Program Management | Project Management | Creative Operations | Content Operations | Digital Platforms | Stakeholder Management | Cross-Functional Leadership | Vendor &amp; Budget Management | Risk &amp; Change Management | UAT &amp; QA | KPI Reporting | Process Improvement</w:t>
      </w:r>
    </w:p>
    <w:p>
      <w:pPr>
        <w:keepLines/>
        <w:spacing w:after="6"/>
      </w:pPr>
      <w:r>
        <w:rPr>
          <w:b/>
          <w:sz w:val="15"/>
        </w:rPr>
        <w:t xml:space="preserve">TOOLS &amp; STANDARDS: </w:t>
      </w:r>
      <w:r>
        <w:rPr>
          <w:sz w:val="15"/>
        </w:rPr>
        <w:t>Asana | Monday.com | Notion | Microsoft 365 | Google Workspace | Adobe Creative Cloud | AWS | GitHub | REST APIs | SCORM | xAPI | LMS Platforms | Generative AI</w:t>
      </w:r>
    </w:p>
    <w:p>
      <w:pPr>
        <w:keepLines/>
        <w:spacing w:after="6"/>
      </w:pPr>
      <w:r>
        <w:rPr>
          <w:b/>
          <w:sz w:val="15"/>
        </w:rPr>
        <w:t xml:space="preserve">EDUCATION: </w:t>
      </w:r>
      <w:r>
        <w:rPr>
          <w:sz w:val="15"/>
        </w:rPr>
        <w:t>Bachelor of Engineering in Interactive Technologies and Digital Animation | Universidad del Valle de Mexico | 2011 - 2016</w:t>
      </w:r>
    </w:p>
    <w:p>
      <w:pPr>
        <w:keepLines/>
        <w:spacing w:after="0"/>
      </w:pPr>
      <w:r>
        <w:rPr>
          <w:b/>
          <w:sz w:val="15"/>
        </w:rPr>
        <w:t xml:space="preserve">LANGUAGES: </w:t>
      </w:r>
      <w:r>
        <w:rPr>
          <w:sz w:val="15"/>
        </w:rPr>
        <w:t>Spanish (Native) | English C1 / Full Professional Proficiency</w:t>
      </w:r>
    </w:p>
    <w:sectPr w:rsidR="00FC693F" w:rsidRPr="0006063C" w:rsidSect="00034616">
      <w:pgSz w:w="12240" w:h="15840"/>
      <w:pgMar w:top="605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xelcruzmachado@gmail.com" TargetMode="External"/><Relationship Id="rId10" Type="http://schemas.openxmlformats.org/officeDocument/2006/relationships/hyperlink" Target="https://www.linkedin.com/in/axeldanielcruzmacha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