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IH Design Platform</w:t>
      </w:r>
    </w:p>
    <w:p>
      <w:pPr>
        <w:spacing w:after="40"/>
      </w:pPr>
      <w:r>
        <w:rPr>
          <w:b/>
          <w:bCs/>
          <w:sz w:val="30"/>
          <w:szCs w:val="30"/>
        </w:rPr>
        <w:t xml:space="preserve">Documento de Scoping, Arquitectura Técnica y Plan de Desarrollo (v1)</w:t>
      </w:r>
    </w:p>
    <w:p>
      <w:pPr>
        <w:spacing w:after="160"/>
      </w:pPr>
      <w:r>
        <w:rPr>
          <w:b w:val="false"/>
          <w:bCs w:val="false"/>
          <w:i/>
          <w:iCs/>
        </w:rPr>
        <w:t xml:space="preserve">Adaptado de la estructura y el nivel de rigor de “IH Connect — Combined Project Scoping Document v2” (IHWO), a solicitud de Axel Estrada.</w:t>
      </w:r>
    </w:p>
    <w:p>
      <w:pPr>
        <w:spacing w:after="160"/>
      </w:pPr>
      <w:r>
        <w:rPr>
          <w:b w:val="false"/>
          <w:bCs w:val="false"/>
          <w:i w:val="false"/>
          <w:iCs w:val="false"/>
        </w:rPr>
        <w:t xml:space="preserve">Preparado para: equipo de marketing/diseño de IH México y colaboración con Codex.</w:t>
      </w:r>
    </w:p>
    <w:p>
      <w:pPr>
        <w:spacing w:after="160"/>
      </w:pPr>
      <w:r>
        <w:rPr>
          <w:b w:val="false"/>
          <w:bCs w:val="false"/>
          <w:i w:val="false"/>
          <w:iCs w:val="false"/>
        </w:rPr>
        <w:t xml:space="preserve">Estado: primer borrador, basado en el estado real verificado del repositorio ih-design-platform el 2026-08-07 — no inventa decisiones no tomadas; toda brecha se documenta como pregunta abierta (Sección 35).</w:t>
      </w:r>
    </w:p>
    <w:p>
      <w:pPr>
        <w:spacing w:after="200"/>
      </w:pPr>
    </w:p>
    <w:p>
      <w:pPr>
        <w:pStyle w:val="Heading1"/>
        <w:spacing w:after="160" w:before="360"/>
      </w:pPr>
      <w:r>
        <w:t xml:space="preserve">1. Resumen</w:t>
      </w:r>
    </w:p>
    <w:p>
      <w:pPr>
        <w:spacing w:after="160"/>
      </w:pPr>
      <w:r>
        <w:rPr>
          <w:b w:val="false"/>
          <w:bCs w:val="false"/>
          <w:i w:val="false"/>
          <w:iCs w:val="false"/>
        </w:rPr>
        <w:t xml:space="preserve">IH Design Platform debe construirse como una plataforma modular Django/DRF, con un sistema de marca basado en archivos (brand/) como fuente única de verdad, que convierte un brief comercial en una pieza controlada para redes sociales o WhatsApp.</w:t>
      </w:r>
    </w:p>
    <w:p>
      <w:pPr>
        <w:spacing w:after="160"/>
      </w:pPr>
      <w:r>
        <w:rPr>
          <w:b w:val="false"/>
          <w:bCs w:val="false"/>
          <w:i w:val="false"/>
          <w:iCs w:val="false"/>
        </w:rPr>
        <w:t xml:space="preserve">No debe intentar ser, desde el día uno, un editor visual completo ni una IA que decide contenido comercial. La información crítica (precios, fechas, sedes, CTA) siempre proviene del catálogo y de campañas autorizadas; la IA solo propone copy, conceptos y direcciones visuales dentro de plantillas controladas.</w:t>
      </w:r>
    </w:p>
    <w:p>
      <w:pPr>
        <w:spacing w:after="160"/>
      </w:pPr>
      <w:r>
        <w:rPr>
          <w:b/>
          <w:bCs/>
          <w:i w:val="false"/>
          <w:iCs w:val="false"/>
        </w:rPr>
        <w:t xml:space="preserve">Pregunta núcleo del MVP:</w:t>
      </w:r>
    </w:p>
    <w:p>
      <w:pPr>
        <w:spacing w:after="160"/>
      </w:pPr>
      <w:r>
        <w:rPr>
          <w:b w:val="false"/>
          <w:bCs w:val="false"/>
          <w:i/>
          <w:iCs/>
        </w:rPr>
        <w:t xml:space="preserve">¿Puede el sistema convertir un brief comercial válido en una pieza (post cuadrado, historia o post vertical) que respete el 100% de las reglas de marca, de forma reproducible, antes de depender de un flujo de aprobación humana pieza por pieza?</w:t>
      </w:r>
    </w:p>
    <w:p>
      <w:pPr>
        <w:spacing w:after="200"/>
      </w:pPr>
      <w:r>
        <w:rPr>
          <w:i/>
          <w:iCs/>
          <w:color w:val="6B7280"/>
        </w:rPr>
        <w:t xml:space="preserve">A diferencia de IH Connect (un producto nuevo para escuelas externas), IH Design Platform ya tiene código, pruebas y un sistema de marca parcialmente construido — este documento parte de ese estado real, no de cero.</w:t>
      </w:r>
    </w:p>
    <w:p>
      <w:pPr>
        <w:pStyle w:val="Heading1"/>
        <w:spacing w:after="160" w:before="360"/>
      </w:pPr>
      <w:r>
        <w:t xml:space="preserve">2. Propósito</w:t>
      </w:r>
    </w:p>
    <w:p>
      <w:pPr>
        <w:spacing w:after="160"/>
      </w:pPr>
      <w:r>
        <w:rPr>
          <w:b w:val="false"/>
          <w:bCs w:val="false"/>
          <w:i w:val="false"/>
          <w:iCs w:val="false"/>
        </w:rPr>
        <w:t xml:space="preserve">IH Design Platform es una herramienta interna, no comercial, para el equipo de marketing/diseño de IH México (y potencialmente de la red LATAM: Chile, Colombia, Perú).</w:t>
      </w:r>
    </w:p>
    <w:p>
      <w:pPr>
        <w:spacing w:after="160"/>
      </w:pPr>
      <w:r>
        <w:rPr>
          <w:b w:val="false"/>
          <w:bCs w:val="false"/>
          <w:i w:val="false"/>
          <w:iCs w:val="false"/>
        </w:rPr>
        <w:t xml:space="preserve">Su propósito es ayudar al equipo a:</w:t>
      </w:r>
    </w:p>
    <w:p>
      <w:pPr>
        <w:pStyle w:val="ListParagraph"/>
        <w:numPr>
          <w:ilvl w:val="0"/>
          <w:numId w:val="2"/>
        </w:numPr>
        <w:spacing w:after="60"/>
      </w:pPr>
      <w:r>
        <w:t xml:space="preserve">producir piezas de redes sociales/WhatsApp más rápido, sin perder control de marca;</w:t>
      </w:r>
    </w:p>
    <w:p>
      <w:pPr>
        <w:pStyle w:val="ListParagraph"/>
        <w:numPr>
          <w:ilvl w:val="0"/>
          <w:numId w:val="2"/>
        </w:numPr>
        <w:spacing w:after="60"/>
      </w:pPr>
      <w:r>
        <w:t xml:space="preserve">mantener una única fuente de verdad de marca (colores, tipografía, logos, catálogo de productos) reutilizable por cualquier proyecto futuro, no solo este backend;</w:t>
      </w:r>
    </w:p>
    <w:p>
      <w:pPr>
        <w:pStyle w:val="ListParagraph"/>
        <w:numPr>
          <w:ilvl w:val="0"/>
          <w:numId w:val="2"/>
        </w:numPr>
        <w:spacing w:after="60"/>
      </w:pPr>
      <w:r>
        <w:t xml:space="preserve">dejar trazabilidad de cada decisión de diseño y de marca (DECISIONS.md, annotation_source, provenance);</w:t>
      </w:r>
    </w:p>
    <w:p>
      <w:pPr>
        <w:pStyle w:val="ListParagraph"/>
        <w:numPr>
          <w:ilvl w:val="0"/>
          <w:numId w:val="2"/>
        </w:numPr>
        <w:spacing w:after="60"/>
      </w:pPr>
      <w:r>
        <w:t xml:space="preserve">preparar el terreno para que herramientas de IA (Codex, Claude, el proveedor OpenAI interno) trabajen sobre datos estructurados en vez de texto libre.</w:t>
      </w:r>
    </w:p>
    <w:p>
      <w:pPr>
        <w:spacing w:after="160"/>
      </w:pPr>
      <w:r>
        <w:rPr>
          <w:b/>
          <w:bCs/>
          <w:i w:val="false"/>
          <w:iCs w:val="false"/>
        </w:rPr>
        <w:t xml:space="preserve">La plataforma no debe posicionarse como:</w:t>
      </w:r>
    </w:p>
    <w:p>
      <w:pPr>
        <w:pStyle w:val="ListParagraph"/>
        <w:numPr>
          <w:ilvl w:val="0"/>
          <w:numId w:val="2"/>
        </w:numPr>
        <w:spacing w:after="60"/>
      </w:pPr>
      <w:r>
        <w:t xml:space="preserve">un reemplazo del diseñador humano;</w:t>
      </w:r>
    </w:p>
    <w:p>
      <w:pPr>
        <w:pStyle w:val="ListParagraph"/>
        <w:numPr>
          <w:ilvl w:val="0"/>
          <w:numId w:val="2"/>
        </w:numPr>
        <w:spacing w:after="60"/>
      </w:pPr>
      <w:r>
        <w:t xml:space="preserve">un generador de contenido comercial sin supervisión (precios, fechas, promociones nunca se inventan);</w:t>
      </w:r>
    </w:p>
    <w:p>
      <w:pPr>
        <w:pStyle w:val="ListParagraph"/>
        <w:numPr>
          <w:ilvl w:val="0"/>
          <w:numId w:val="2"/>
        </w:numPr>
        <w:spacing w:after="60"/>
      </w:pPr>
      <w:r>
        <w:t xml:space="preserve">un producto para terceros o clientes externos a IH;</w:t>
      </w:r>
    </w:p>
    <w:p>
      <w:pPr>
        <w:pStyle w:val="ListParagraph"/>
        <w:numPr>
          <w:ilvl w:val="0"/>
          <w:numId w:val="2"/>
        </w:numPr>
        <w:spacing w:after="60"/>
      </w:pPr>
      <w:r>
        <w:t xml:space="preserve">una fuente de verdad comercial — esa sigue siendo Marketing/el catálogo autorizado.</w:t>
      </w:r>
    </w:p>
    <w:p>
      <w:pPr>
        <w:pStyle w:val="Heading1"/>
        <w:spacing w:after="160" w:before="360"/>
      </w:pPr>
      <w:r>
        <w:t xml:space="preserve">3. Posicionamiento del producto</w:t>
      </w:r>
    </w:p>
    <w:p>
      <w:pPr>
        <w:spacing w:after="160"/>
      </w:pPr>
      <w:r>
        <w:rPr>
          <w:b w:val="false"/>
          <w:bCs w:val="false"/>
          <w:i w:val="false"/>
          <w:iCs w:val="false"/>
        </w:rPr>
        <w:t xml:space="preserve">IH Design Platform debe sentirse como:</w:t>
      </w:r>
    </w:p>
    <w:p>
      <w:pPr>
        <w:pStyle w:val="ListParagraph"/>
        <w:numPr>
          <w:ilvl w:val="0"/>
          <w:numId w:val="2"/>
        </w:numPr>
        <w:spacing w:after="60"/>
      </w:pPr>
      <w:r>
        <w:t xml:space="preserve">una herramienta operativa interna, no un producto de cara al público;</w:t>
      </w:r>
    </w:p>
    <w:p>
      <w:pPr>
        <w:pStyle w:val="ListParagraph"/>
        <w:numPr>
          <w:ilvl w:val="0"/>
          <w:numId w:val="2"/>
        </w:numPr>
        <w:spacing w:after="60"/>
      </w:pPr>
      <w:r>
        <w:t xml:space="preserve">una extensión natural del sistema de marca ya documentado en brand/;</w:t>
      </w:r>
    </w:p>
    <w:p>
      <w:pPr>
        <w:pStyle w:val="ListParagraph"/>
        <w:numPr>
          <w:ilvl w:val="0"/>
          <w:numId w:val="2"/>
        </w:numPr>
        <w:spacing w:after="60"/>
      </w:pPr>
      <w:r>
        <w:t xml:space="preserve">una base técnica sólida sobre la que Codex y Claude puedan trabajar en paralelo sin pisarse;</w:t>
      </w:r>
    </w:p>
    <w:p>
      <w:pPr>
        <w:pStyle w:val="ListParagraph"/>
        <w:numPr>
          <w:ilvl w:val="0"/>
          <w:numId w:val="2"/>
        </w:numPr>
        <w:spacing w:after="60"/>
      </w:pPr>
      <w:r>
        <w:t xml:space="preserve">un sistema donde ninguna regla de marca se inventa — se cita su fuente o se marca como pendiente.</w:t>
      </w:r>
    </w:p>
    <w:p>
      <w:pPr>
        <w:spacing w:after="160"/>
      </w:pPr>
      <w:r>
        <w:rPr>
          <w:b w:val="false"/>
          <w:bCs w:val="false"/>
          <w:i w:val="false"/>
          <w:iCs w:val="false"/>
        </w:rPr>
        <w:t xml:space="preserve">La primera versión debe priorizar corrección y trazabilidad sobre sofisticación visual del editor. Un sistema angosto, confiable y auditable es mejor que uno amplio con reglas de marca poco claras.</w:t>
      </w:r>
    </w:p>
    <w:p>
      <w:pPr>
        <w:pStyle w:val="Heading1"/>
        <w:spacing w:after="160" w:before="360"/>
      </w:pPr>
      <w:r>
        <w:t xml:space="preserve">4. Estado actual y enfoque de “prueba interna”</w:t>
      </w:r>
    </w:p>
    <w:p>
      <w:pPr>
        <w:spacing w:after="160"/>
      </w:pPr>
      <w:r>
        <w:rPr>
          <w:b w:val="false"/>
          <w:bCs w:val="false"/>
          <w:i w:val="false"/>
          <w:iCs w:val="false"/>
        </w:rPr>
        <w:t xml:space="preserve">IH Connect define un piloto formal (5-6 escuelas, fechas de calendario). IH Design Platform no tiene hoy un piloto formalmente definido — pero sí tiene, ya construido en código, un mecanismo equivalente:</w:t>
      </w:r>
    </w:p>
    <w:p>
      <w:pPr>
        <w:pStyle w:val="ListParagraph"/>
        <w:numPr>
          <w:ilvl w:val="0"/>
          <w:numId w:val="2"/>
        </w:numPr>
        <w:spacing w:after="60"/>
      </w:pPr>
      <w:r>
        <w:t xml:space="preserve">DESIGN_TEST_MODE=1 y DESIGN_TEST_LIMIT=50 en .env.example: las primeras 50 piezas de producto pasan a estado self_review (revisión de Claude) en vez de al flujo formal de aprobación humana;</w:t>
      </w:r>
    </w:p>
    <w:p>
      <w:pPr>
        <w:pStyle w:val="ListParagraph"/>
        <w:numPr>
          <w:ilvl w:val="0"/>
          <w:numId w:val="2"/>
        </w:numPr>
        <w:spacing w:after="60"/>
      </w:pPr>
      <w:r>
        <w:t xml:space="preserve">el endpoint POST /api/v1/designs/{id}/claude-review/ ya existe y guarda un resultado pass|needs_changes, sin aprobar humanamente la pieza;</w:t>
      </w:r>
    </w:p>
    <w:p>
      <w:pPr>
        <w:pStyle w:val="ListParagraph"/>
        <w:numPr>
          <w:ilvl w:val="0"/>
          <w:numId w:val="2"/>
        </w:numPr>
        <w:spacing w:after="60"/>
      </w:pPr>
      <w:r>
        <w:t xml:space="preserve">la aprobación formal humana queda explícitamente pendiente “para después de las 50 pruebas” (frontend/README.md).</w:t>
      </w:r>
    </w:p>
    <w:p>
      <w:pPr>
        <w:spacing w:after="160"/>
      </w:pPr>
      <w:r>
        <w:rPr>
          <w:b w:val="false"/>
          <w:bCs w:val="false"/>
          <w:i w:val="false"/>
          <w:iCs w:val="false"/>
        </w:rPr>
        <w:t xml:space="preserve">Recomendación: tratar este lote de 50 piezas como el piloto real del MVP, y darle fechas y criterios de éxito explícitos (Sección 5) en vez de dejarlo como un parámetro técnico sin dueño ni fecha.</w:t>
      </w:r>
    </w:p>
    <w:p>
      <w:pPr>
        <w:pStyle w:val="Heading1"/>
        <w:spacing w:after="160" w:before="360"/>
      </w:pPr>
      <w:r>
        <w:t xml:space="preserve">5. Criterios de éxito propuestos (con plan de medición)</w:t>
      </w:r>
    </w:p>
    <w:p>
      <w:pPr>
        <w:spacing w:after="200"/>
      </w:pPr>
      <w:r>
        <w:rPr>
          <w:i/>
          <w:iCs/>
          <w:color w:val="6B7280"/>
        </w:rPr>
        <w:t xml:space="preserve">Ninguno de estos números existe hoy como compromiso confirmado — son una propuesta para discutir con Axel/Marketing, siguiendo el patrón de IH Connect de éxito medible y no aspiracional.</w:t>
      </w:r>
    </w:p>
    <w:p>
      <w:pPr>
        <w:spacing w:after="160"/>
      </w:pPr>
      <w:r>
        <w:rPr>
          <w:b w:val="false"/>
          <w:bCs w:val="false"/>
          <w:i w:val="false"/>
          <w:iCs w:val="false"/>
        </w:rPr>
        <w:t xml:space="preserve">Al terminar el lote de 50 piezas de prueba, se propone medir:</w:t>
      </w:r>
    </w:p>
    <w:p>
      <w:pPr>
        <w:pStyle w:val="ListParagraph"/>
        <w:numPr>
          <w:ilvl w:val="0"/>
          <w:numId w:val="2"/>
        </w:numPr>
        <w:spacing w:after="60"/>
      </w:pPr>
      <w:r>
        <w:t xml:space="preserve">las 50 piezas generadas y pasadas por self_review;</w:t>
      </w:r>
    </w:p>
    <w:p>
      <w:pPr>
        <w:pStyle w:val="ListParagraph"/>
        <w:numPr>
          <w:ilvl w:val="0"/>
          <w:numId w:val="2"/>
        </w:numPr>
        <w:spacing w:after="60"/>
      </w:pPr>
      <w:r>
        <w:t xml:space="preserve">0 violaciones de reglas de marca detectadas retroactivamente (color fuera de paleta, logo no aprobado, texto crítico inventado);</w:t>
      </w:r>
    </w:p>
    <w:p>
      <w:pPr>
        <w:pStyle w:val="ListParagraph"/>
        <w:numPr>
          <w:ilvl w:val="0"/>
          <w:numId w:val="2"/>
        </w:numPr>
        <w:spacing w:after="60"/>
      </w:pPr>
      <w:r>
        <w:t xml:space="preserve">% de piezas con claude_review_status = pass en el primer intento (línea base de calidad);</w:t>
      </w:r>
    </w:p>
    <w:p>
      <w:pPr>
        <w:pStyle w:val="ListParagraph"/>
        <w:numPr>
          <w:ilvl w:val="0"/>
          <w:numId w:val="2"/>
        </w:numPr>
        <w:spacing w:after="60"/>
      </w:pPr>
      <w:r>
        <w:t xml:space="preserve">tiempo promedio de brief a versión previsualizada;</w:t>
      </w:r>
    </w:p>
    <w:p>
      <w:pPr>
        <w:pStyle w:val="ListParagraph"/>
        <w:numPr>
          <w:ilvl w:val="0"/>
          <w:numId w:val="2"/>
        </w:numPr>
        <w:spacing w:after="60"/>
      </w:pPr>
      <w:r>
        <w:t xml:space="preserve">cobertura del catálogo de productos usada realmente en los briefs (¿se usan los 15 productos o solo un subconjunto?).</w:t>
      </w:r>
    </w:p>
    <w:p>
      <w:pPr>
        <w:pStyle w:val="Heading2"/>
        <w:spacing w:after="120" w:before="240"/>
      </w:pPr>
      <w:r>
        <w:t xml:space="preserve">5.1 Plan de medición</w:t>
      </w:r>
    </w:p>
    <w:p>
      <w:pPr>
        <w:spacing w:after="160"/>
      </w:pPr>
      <w:r>
        <w:rPr>
          <w:b w:val="false"/>
          <w:bCs w:val="false"/>
          <w:i w:val="false"/>
          <w:iCs w:val="false"/>
        </w:rPr>
        <w:t xml:space="preserve">Todos los criterios anteriores son derivables directamente de la base de datos (Design, DesignVersion, ValidationRun) — no se requiere herramienta de analítica externa.</w:t>
      </w:r>
    </w:p>
    <w:p>
      <w:pPr>
        <w:pStyle w:val="ListParagraph"/>
        <w:numPr>
          <w:ilvl w:val="0"/>
          <w:numId w:val="2"/>
        </w:numPr>
        <w:spacing w:after="60"/>
      </w:pPr>
      <w:r>
        <w:t xml:space="preserve">Falta definir un dueño que reporte el avance del lote de 50 (equivalente al “reporte semanal” de IH Connect);</w:t>
      </w:r>
    </w:p>
    <w:p>
      <w:pPr>
        <w:pStyle w:val="ListParagraph"/>
        <w:numPr>
          <w:ilvl w:val="0"/>
          <w:numId w:val="2"/>
        </w:numPr>
        <w:spacing w:after="60"/>
      </w:pPr>
      <w:r>
        <w:t xml:space="preserve">el esfuerzo de revisión humana de marca (como el de este mismo documento: 40/454 referencias visuales revisadas) debería medirse igual que el “tiempo de moderación por evento” en IH Connect, para decidir si vale la pena automatizar más.</w:t>
      </w:r>
    </w:p>
    <w:p>
      <w:pPr>
        <w:pStyle w:val="Heading1"/>
        <w:spacing w:after="160" w:before="360"/>
      </w:pPr>
      <w:r>
        <w:t xml:space="preserve">6. Enfoque de desarrollo</w:t>
      </w:r>
    </w:p>
    <w:p>
      <w:pPr>
        <w:spacing w:after="160"/>
      </w:pPr>
      <w:r>
        <w:rPr>
          <w:b w:val="false"/>
          <w:bCs w:val="false"/>
          <w:i w:val="false"/>
          <w:iCs w:val="false"/>
        </w:rPr>
        <w:t xml:space="preserve">El desarrollo es interno, asistido por IA, con dos agentes trabajando en paralelo sobre el mismo repositorio:</w:t>
      </w:r>
    </w:p>
    <w:p>
      <w:pPr>
        <w:pStyle w:val="ListParagraph"/>
        <w:numPr>
          <w:ilvl w:val="0"/>
          <w:numId w:val="2"/>
        </w:numPr>
        <w:spacing w:after="60"/>
      </w:pPr>
      <w:r>
        <w:t xml:space="preserve">Codex: construyó el backend Django/DRF, los modelos (assets, designs, briefs, catalog, campaigns, validations), el renderizador de plantillas y la ampliación del manifest de logos a 78 entradas;</w:t>
      </w:r>
    </w:p>
    <w:p>
      <w:pPr>
        <w:pStyle w:val="ListParagraph"/>
        <w:numPr>
          <w:ilvl w:val="0"/>
          <w:numId w:val="2"/>
        </w:numPr>
        <w:spacing w:after="60"/>
      </w:pPr>
      <w:r>
        <w:t xml:space="preserve">Claude: construyó el sistema de marca brand/ (tokens, colores por producto, documentación) y la capa de conocimiento brand/knowledge/ (catálogo de productos, anotación de las 454 referencias visuales);</w:t>
      </w:r>
    </w:p>
    <w:p>
      <w:pPr>
        <w:pStyle w:val="ListParagraph"/>
        <w:numPr>
          <w:ilvl w:val="0"/>
          <w:numId w:val="2"/>
        </w:numPr>
        <w:spacing w:after="60"/>
      </w:pPr>
      <w:r>
        <w:t xml:space="preserve">control de versiones: Git/GitHub, repositorio bajo la cuenta personal axelest10 (ver riesgo en Sección 31 y pregunta abierta en Sección 35);</w:t>
      </w:r>
    </w:p>
    <w:p>
      <w:pPr>
        <w:pStyle w:val="ListParagraph"/>
        <w:numPr>
          <w:ilvl w:val="0"/>
          <w:numId w:val="2"/>
        </w:numPr>
        <w:spacing w:after="60"/>
      </w:pPr>
      <w:r>
        <w:t xml:space="preserve">CI ya configurado (.github/workflows/ci.yml): ruff check, python manage.py check y pytest en cada push/PR a main;</w:t>
      </w:r>
    </w:p>
    <w:p>
      <w:pPr>
        <w:pStyle w:val="ListParagraph"/>
        <w:numPr>
          <w:ilvl w:val="0"/>
          <w:numId w:val="2"/>
        </w:numPr>
        <w:spacing w:after="60"/>
      </w:pPr>
      <w:r>
        <w:t xml:space="preserve">no se hace git add/commit/push sin autorización explícita de Axel en las sesiones de Claude — los cambios se acumulan localmente y Axel decide cuándo confirmarlos.</w:t>
      </w:r>
    </w:p>
    <w:p>
      <w:pPr>
        <w:spacing w:after="160"/>
      </w:pPr>
      <w:r>
        <w:rPr>
          <w:b/>
          <w:bCs/>
          <w:i w:val="false"/>
          <w:iCs w:val="false"/>
        </w:rPr>
        <w:t xml:space="preserve">Brechas frente al método de IH Connect (a decidir, no asumir):</w:t>
      </w:r>
    </w:p>
    <w:p>
      <w:pPr>
        <w:pStyle w:val="ListParagraph"/>
        <w:numPr>
          <w:ilvl w:val="0"/>
          <w:numId w:val="2"/>
        </w:numPr>
        <w:spacing w:after="60"/>
      </w:pPr>
      <w:r>
        <w:t xml:space="preserve">no hay evidencia de protección de rama (branch protection) ni de revisión de PR obligatoria configurada en GitHub;</w:t>
      </w:r>
    </w:p>
    <w:p>
      <w:pPr>
        <w:pStyle w:val="ListParagraph"/>
        <w:numPr>
          <w:ilvl w:val="0"/>
          <w:numId w:val="2"/>
        </w:numPr>
        <w:spacing w:after="60"/>
      </w:pPr>
      <w:r>
        <w:t xml:space="preserve">no hay escaneo de secretos (secret scanning) ni Dependabot/Renovate confirmados;</w:t>
      </w:r>
    </w:p>
    <w:p>
      <w:pPr>
        <w:pStyle w:val="ListParagraph"/>
        <w:numPr>
          <w:ilvl w:val="0"/>
          <w:numId w:val="2"/>
        </w:numPr>
        <w:spacing w:after="60"/>
      </w:pPr>
      <w:r>
        <w:t xml:space="preserve">no existe un protocolo explícito para que Codex y Claude no editen el mismo archivo al mismo tiempo.</w:t>
      </w:r>
    </w:p>
    <w:p>
      <w:pPr>
        <w:spacing w:after="160"/>
      </w:pPr>
      <w:r>
        <w:rPr>
          <w:b w:val="false"/>
          <w:bCs w:val="false"/>
          <w:i w:val="false"/>
          <w:iCs w:val="false"/>
        </w:rPr>
        <w:t xml:space="preserve">Recomendación directa de IH Connect que sí aplica aquí sin cambios: código generado por IA fusionado sin revisión humana es el mayor riesgo de calidad del proyecto — la revisión antes de cada cambio estructural (ya mandatada en AGENTS.md: “ejecuta ruff check ., python manage.py check y pytest antes de cada cambio estructural”) es el mecanismo correcto; falta solo formalizarlo como política de PR.</w:t>
      </w:r>
    </w:p>
    <w:p>
      <w:pPr>
        <w:pStyle w:val="Heading1"/>
        <w:spacing w:after="160" w:before="360"/>
      </w:pPr>
      <w:r>
        <w:t xml:space="preserve">7. Principios core del producto</w:t>
      </w:r>
    </w:p>
    <w:p>
      <w:pPr>
        <w:pStyle w:val="Heading2"/>
        <w:spacing w:after="120" w:before="240"/>
      </w:pPr>
      <w:r>
        <w:t xml:space="preserve">7.1 Brief-first</w:t>
      </w:r>
    </w:p>
    <w:p>
      <w:pPr>
        <w:spacing w:after="160"/>
      </w:pPr>
      <w:r>
        <w:rPr>
          <w:b w:val="false"/>
          <w:bCs w:val="false"/>
          <w:i w:val="false"/>
          <w:iCs w:val="false"/>
        </w:rPr>
        <w:t xml:space="preserve">Todo lo que el sistema genera parte de un DesignBrief válido y aprobado (producto, sede, campaña, formato). No hay generación libre sin brief.</w:t>
      </w:r>
    </w:p>
    <w:p>
      <w:pPr>
        <w:pStyle w:val="Heading2"/>
        <w:spacing w:after="120" w:before="240"/>
      </w:pPr>
      <w:r>
        <w:t xml:space="preserve">7.2 No comercial</w:t>
      </w:r>
    </w:p>
    <w:p>
      <w:pPr>
        <w:spacing w:after="160"/>
      </w:pPr>
      <w:r>
        <w:rPr>
          <w:b w:val="false"/>
          <w:bCs w:val="false"/>
          <w:i w:val="false"/>
          <w:iCs w:val="false"/>
        </w:rPr>
        <w:t xml:space="preserve">Herramienta interna, sin plan de monetización ni de uso por terceros.</w:t>
      </w:r>
    </w:p>
    <w:p>
      <w:pPr>
        <w:pStyle w:val="Heading2"/>
        <w:spacing w:after="120" w:before="240"/>
      </w:pPr>
      <w:r>
        <w:t xml:space="preserve">7.3 Fidelidad de marca primero (equivalente a “safeguarding-first”)</w:t>
      </w:r>
    </w:p>
    <w:p>
      <w:pPr>
        <w:spacing w:after="160"/>
      </w:pPr>
      <w:r>
        <w:rPr>
          <w:b w:val="false"/>
          <w:bCs w:val="false"/>
          <w:i w:val="false"/>
          <w:iCs w:val="false"/>
        </w:rPr>
        <w:t xml:space="preserve">Las reglas de marca no se pueden agregar después. Ya están integradas desde la base: branding.services.validators valida color/logo contra brand/ antes de que cualquier pieza se considere válida. Ningún color, cifra o regla se inventa; lo no documentado se marca explícitamente como pendiente (ver DECISIONS.md, con 10+ decisiones registradas así).</w:t>
      </w:r>
    </w:p>
    <w:p>
      <w:pPr>
        <w:pStyle w:val="Heading2"/>
        <w:spacing w:after="120" w:before="240"/>
      </w:pPr>
      <w:r>
        <w:t xml:space="preserve">7.4 Acceso solo corporativo, no público</w:t>
      </w:r>
    </w:p>
    <w:p>
      <w:pPr>
        <w:spacing w:after="160"/>
      </w:pPr>
      <w:r>
        <w:rPr>
          <w:b w:val="false"/>
          <w:bCs w:val="false"/>
          <w:i w:val="false"/>
          <w:iCs w:val="false"/>
        </w:rPr>
        <w:t xml:space="preserve">Equivalente a “invite-only” de IH Connect: DJANGO_REQUIRE_CORPORATE_AUTH + CORPORATE_ALLOWED_EMAIL_DOMAINS restringen el acceso a dominios de correo de IH (ihmexico.com, ihbogota.com, ihsantiago.cl, ihlima.com). No hay registro público.</w:t>
      </w:r>
    </w:p>
    <w:p>
      <w:pPr>
        <w:pStyle w:val="Heading2"/>
        <w:spacing w:after="120" w:before="240"/>
      </w:pPr>
      <w:r>
        <w:t xml:space="preserve">7.5 Modular por diseño</w:t>
      </w:r>
    </w:p>
    <w:p>
      <w:pPr>
        <w:spacing w:after="160"/>
      </w:pPr>
      <w:r>
        <w:rPr>
          <w:b w:val="false"/>
          <w:bCs w:val="false"/>
          <w:i w:val="false"/>
          <w:iCs w:val="false"/>
        </w:rPr>
        <w:t xml:space="preserve">Ya cumplido: apps Django independientes (branding, catalog, campaigns, briefs, designs, assets, validations, ai, security) en vez de un monolito sin separación. No son microservicios — correcto para este tamaño de equipo.</w:t>
      </w:r>
    </w:p>
    <w:p>
      <w:pPr>
        <w:pStyle w:val="Heading2"/>
        <w:spacing w:after="120" w:before="240"/>
      </w:pPr>
      <w:r>
        <w:t xml:space="preserve">7.6 Configurable, no hardcodeado</w:t>
      </w:r>
    </w:p>
    <w:p>
      <w:pPr>
        <w:spacing w:after="160"/>
      </w:pPr>
      <w:r>
        <w:rPr>
          <w:b w:val="false"/>
          <w:bCs w:val="false"/>
          <w:i w:val="false"/>
          <w:iCs w:val="false"/>
        </w:rPr>
        <w:t xml:space="preserve">Ya cumplido en brand/: colores, tipografía, espaciado y colores por producto son YAML fuente, nunca hardcodeados en código; se regeneran con generate_tokens.py --check. El mismo patrón se extendió a brand/knowledge/ (catálogo de productos y anotaciones visuales).</w:t>
      </w:r>
    </w:p>
    <w:p>
      <w:pPr>
        <w:pStyle w:val="Heading2"/>
        <w:spacing w:after="120" w:before="240"/>
      </w:pPr>
      <w:r>
        <w:t xml:space="preserve">7.7 Los permisos son infraestructura, no solo UI</w:t>
      </w:r>
    </w:p>
    <w:p>
      <w:pPr>
        <w:spacing w:after="160"/>
      </w:pPr>
      <w:r>
        <w:rPr>
          <w:b w:val="false"/>
          <w:bCs w:val="false"/>
          <w:i w:val="false"/>
          <w:iCs w:val="false"/>
        </w:rPr>
        <w:t xml:space="preserve">RolePermission y RoleAwareViewSet ya aplican reglas por rol a nivel de backend (no solo ocultan botones en el frontend). Roles definidos: platform_admin, marketing, designer, reviewer, viewer.</w:t>
      </w:r>
    </w:p>
    <w:p>
      <w:pPr>
        <w:pStyle w:val="Heading2"/>
        <w:spacing w:after="120" w:before="240"/>
      </w:pPr>
      <w:r>
        <w:t xml:space="preserve">7.8 Auditabilidad y procedencia (equivalente a “auditability”)</w:t>
      </w:r>
    </w:p>
    <w:p>
      <w:pPr>
        <w:spacing w:after="160"/>
      </w:pPr>
      <w:r>
        <w:rPr>
          <w:b w:val="false"/>
          <w:bCs w:val="false"/>
          <w:i w:val="false"/>
          <w:iCs w:val="false"/>
        </w:rPr>
        <w:t xml:space="preserve">Cada dato de marca cita su fuente exacta (documento, página, fecha de confirmación del cliente). Cada anotación visual tiene un campo annotation_source. DECISIONS.md registra cada decisión resuelta con su motivo. Falta: audit log formal a nivel de backend (creación de usuarios, cambios de rol, exportaciones) — hoy no existe, a diferencia de IH Connect.</w:t>
      </w:r>
    </w:p>
    <w:p>
      <w:pPr>
        <w:pStyle w:val="Heading2"/>
        <w:spacing w:after="120" w:before="240"/>
      </w:pPr>
      <w:r>
        <w:t xml:space="preserve">7.9 Listo para IA (equivalente a “future AI-readable”)</w:t>
      </w:r>
    </w:p>
    <w:p>
      <w:pPr>
        <w:spacing w:after="160"/>
      </w:pPr>
      <w:r>
        <w:rPr>
          <w:b w:val="false"/>
          <w:bCs w:val="false"/>
          <w:i w:val="false"/>
          <w:iCs w:val="false"/>
        </w:rPr>
        <w:t xml:space="preserve">Ya más avanzado que el equivalente de IH Connect: brand/knowledge/artwork-reference-knowledge.json estructura 454 referencias visuales con vocabulario controlado específicamente para que una IA las use como contexto, no solo para archivo.</w:t>
      </w:r>
    </w:p>
    <w:p>
      <w:pPr>
        <w:pStyle w:val="Heading2"/>
        <w:spacing w:after="120" w:before="240"/>
      </w:pPr>
      <w:r>
        <w:t xml:space="preserve">7.10 Seguro por defecto</w:t>
      </w:r>
    </w:p>
    <w:p>
      <w:pPr>
        <w:spacing w:after="160"/>
      </w:pPr>
      <w:r>
        <w:rPr>
          <w:b w:val="false"/>
          <w:bCs w:val="false"/>
          <w:i w:val="false"/>
          <w:iCs w:val="false"/>
        </w:rPr>
        <w:t xml:space="preserve">Existe el gate de dominio corporativo. Faltan, respecto al estándar de IH Connect: cabeceras de seguridad (Helmet o equivalente Django), rate limiting en endpoints sensibles, 2FA para roles administrativos, CORS estricto documentado — ninguno confirmado en el repo actual.</w:t>
      </w:r>
    </w:p>
    <w:p>
      <w:pPr>
        <w:pStyle w:val="Heading1"/>
        <w:spacing w:after="160" w:before="360"/>
      </w:pPr>
      <w:r>
        <w:t xml:space="preserve">8. Arquitectura y hosting</w:t>
      </w:r>
    </w:p>
    <w:p>
      <w:pPr>
        <w:pStyle w:val="Heading2"/>
        <w:spacing w:after="120" w:before="240"/>
      </w:pPr>
      <w:r>
        <w:t xml:space="preserve">8.1 Decisión de arquitectura</w:t>
      </w:r>
    </w:p>
    <w:p>
      <w:pPr>
        <w:spacing w:after="160"/>
      </w:pPr>
      <w:r>
        <w:rPr>
          <w:b w:val="false"/>
          <w:bCs w:val="false"/>
          <w:i w:val="false"/>
          <w:iCs w:val="false"/>
        </w:rPr>
        <w:t xml:space="preserve">Backend Django/DRF modular en un solo repositorio (no monorepo separado en apps/packages como IH Connect). Frontend actual: HTML/CSS/JavaScript vanilla estático (frontend/index.html, panel.html, admin.html) — no un framework como Next.js.</w:t>
      </w:r>
    </w:p>
    <w:p>
      <w:pPr>
        <w:spacing w:after="160"/>
      </w:pPr>
      <w:r>
        <w:rPr>
          <w:b w:val="false"/>
          <w:bCs w:val="false"/>
          <w:i w:val="false"/>
          <w:iCs w:val="false"/>
        </w:rPr>
        <w:t xml:space="preserve">Estructura real:</w:t>
      </w:r>
    </w:p>
    <w:p>
      <w:pPr>
        <w:pStyle w:val="ListParagraph"/>
        <w:numPr>
          <w:ilvl w:val="0"/>
          <w:numId w:val="2"/>
        </w:numPr>
        <w:spacing w:after="60"/>
      </w:pPr>
      <w:r>
        <w:t xml:space="preserve">backend/ — apps Django: ai, assets, branding, briefs, campaigns, catalog, common, config, designs, security, validations;</w:t>
      </w:r>
    </w:p>
    <w:p>
      <w:pPr>
        <w:pStyle w:val="ListParagraph"/>
        <w:numPr>
          <w:ilvl w:val="0"/>
          <w:numId w:val="2"/>
        </w:numPr>
        <w:spacing w:after="60"/>
      </w:pPr>
      <w:r>
        <w:t xml:space="preserve">brand/ — sistema de marca basado en archivos (tokens, colores por producto, activos, documentación, conocimiento);</w:t>
      </w:r>
    </w:p>
    <w:p>
      <w:pPr>
        <w:pStyle w:val="ListParagraph"/>
        <w:numPr>
          <w:ilvl w:val="0"/>
          <w:numId w:val="2"/>
        </w:numPr>
        <w:spacing w:after="60"/>
      </w:pPr>
      <w:r>
        <w:t xml:space="preserve">frontend/ — HTML/CSS/JS estático + plantillas de diseño HTML/SVG versionadas;</w:t>
      </w:r>
    </w:p>
    <w:p>
      <w:pPr>
        <w:pStyle w:val="ListParagraph"/>
        <w:numPr>
          <w:ilvl w:val="0"/>
          <w:numId w:val="2"/>
        </w:numPr>
        <w:spacing w:after="60"/>
      </w:pPr>
      <w:r>
        <w:t xml:space="preserve">contracts/ — JSON Schema del contrato de brief;</w:t>
      </w:r>
    </w:p>
    <w:p>
      <w:pPr>
        <w:pStyle w:val="ListParagraph"/>
        <w:numPr>
          <w:ilvl w:val="0"/>
          <w:numId w:val="2"/>
        </w:numPr>
        <w:spacing w:after="60"/>
      </w:pPr>
      <w:r>
        <w:t xml:space="preserve">infrastructure/ — Dockerfile y docker-compose.yml (solo para Postgres/Redis locales, no para despliegue);</w:t>
      </w:r>
    </w:p>
    <w:p>
      <w:pPr>
        <w:pStyle w:val="ListParagraph"/>
        <w:numPr>
          <w:ilvl w:val="0"/>
          <w:numId w:val="2"/>
        </w:numPr>
        <w:spacing w:after="60"/>
      </w:pPr>
      <w:r>
        <w:t xml:space="preserve">products/ — reservado para datos comerciales autorizados, hoy vacío (Marketing no ha entregado el catálogo piloto).</w:t>
      </w:r>
    </w:p>
    <w:p>
      <w:pPr>
        <w:pStyle w:val="Heading2"/>
        <w:spacing w:after="120" w:before="240"/>
      </w:pPr>
      <w:r>
        <w:t xml:space="preserve">8.2 Por qué no un editor visual completo desde el día uno</w:t>
      </w:r>
    </w:p>
    <w:p>
      <w:pPr>
        <w:spacing w:after="160"/>
      </w:pPr>
      <w:r>
        <w:rPr>
          <w:b w:val="false"/>
          <w:bCs w:val="false"/>
          <w:i w:val="false"/>
          <w:iCs w:val="false"/>
        </w:rPr>
        <w:t xml:space="preserve">Construir un editor visual completo (tipo Canva) antes de validar que el pipeline brief → plantilla controlada → revisión funciona sería repetir el error que IH Connect evita explícitamente en su Sección 8.2/8.3: sofisticación de producto antes de validar el mecanismo núcleo.</w:t>
      </w:r>
    </w:p>
    <w:p>
      <w:pPr>
        <w:pStyle w:val="Heading2"/>
        <w:spacing w:after="120" w:before="240"/>
      </w:pPr>
      <w:r>
        <w:t xml:space="preserve">8.3 Por qué no microservicios</w:t>
      </w:r>
    </w:p>
    <w:p>
      <w:pPr>
        <w:spacing w:after="160"/>
      </w:pPr>
      <w:r>
        <w:rPr>
          <w:b w:val="false"/>
          <w:bCs w:val="false"/>
          <w:i w:val="false"/>
          <w:iCs w:val="false"/>
        </w:rPr>
        <w:t xml:space="preserve">Igual que IH Connect: separar auth, catálogo, diseños, activos y validaciones en servicios desplegables distintos sería prematuro para un equipo de una persona + dos agentes de IA. Las apps Django modulares ya dan la separación necesaria sin la complejidad de un sistema distribuido.</w:t>
      </w:r>
    </w:p>
    <w:p>
      <w:pPr>
        <w:pStyle w:val="Heading2"/>
        <w:spacing w:after="120" w:before="240"/>
      </w:pPr>
      <w:r>
        <w:t xml:space="preserve">8.4 Hosting</w:t>
      </w:r>
    </w:p>
    <w:p>
      <w:pPr>
        <w:spacing w:after="160"/>
      </w:pPr>
      <w:r>
        <w:rPr>
          <w:b w:val="false"/>
          <w:bCs w:val="false"/>
          <w:i w:val="false"/>
          <w:iCs w:val="false"/>
        </w:rPr>
        <w:t xml:space="preserve">No decidido. A diferencia de IH Connect (Railway ya elegido, subdominio propuesto), IH Design Platform hoy solo corre en local con SQLite. infrastructure/docker-compose.yml levanta Postgres y Redis localmente, pero no hay ningún entorno de Development/Production desplegado. Ver pregunta abierta en Sección 35.</w:t>
      </w:r>
    </w:p>
    <w:p>
      <w:pPr>
        <w:pStyle w:val="Heading1"/>
        <w:spacing w:after="160" w:before="360"/>
      </w:pPr>
      <w:r>
        <w:t xml:space="preserve">9. Stack tecnológico detallado</w:t>
      </w:r>
    </w:p>
    <w:p>
      <w:pPr>
        <w:pStyle w:val="Heading2"/>
        <w:spacing w:after="120" w:before="240"/>
      </w:pPr>
      <w:r>
        <w:t xml:space="preserve">9.1 Backend</w:t>
      </w:r>
    </w:p>
    <w:p>
      <w:pPr>
        <w:pStyle w:val="ListParagraph"/>
        <w:numPr>
          <w:ilvl w:val="0"/>
          <w:numId w:val="2"/>
        </w:numPr>
        <w:spacing w:after="60"/>
      </w:pPr>
      <w:r>
        <w:t xml:space="preserve">Django 5.1+ y Django REST Framework;</w:t>
      </w:r>
    </w:p>
    <w:p>
      <w:pPr>
        <w:pStyle w:val="ListParagraph"/>
        <w:numPr>
          <w:ilvl w:val="0"/>
          <w:numId w:val="2"/>
        </w:numPr>
        <w:spacing w:after="60"/>
      </w:pPr>
      <w:r>
        <w:t xml:space="preserve">Celery 5.4 + Redis (preparado en requirements.txt, sin uso activo confirmado);</w:t>
      </w:r>
    </w:p>
    <w:p>
      <w:pPr>
        <w:pStyle w:val="ListParagraph"/>
        <w:numPr>
          <w:ilvl w:val="0"/>
          <w:numId w:val="2"/>
        </w:numPr>
        <w:spacing w:after="60"/>
      </w:pPr>
      <w:r>
        <w:t xml:space="preserve">psycopg[binary] 3.2 (driver Postgres, listo para cuando se migre de SQLite);</w:t>
      </w:r>
    </w:p>
    <w:p>
      <w:pPr>
        <w:pStyle w:val="ListParagraph"/>
        <w:numPr>
          <w:ilvl w:val="0"/>
          <w:numId w:val="2"/>
        </w:numPr>
        <w:spacing w:after="60"/>
      </w:pPr>
      <w:r>
        <w:t xml:space="preserve">boto3 + django-storages[s3] (preparado para S3, AWS_STORAGE_BUCKET_NAME vacío hoy);</w:t>
      </w:r>
    </w:p>
    <w:p>
      <w:pPr>
        <w:pStyle w:val="ListParagraph"/>
        <w:numPr>
          <w:ilvl w:val="0"/>
          <w:numId w:val="2"/>
        </w:numPr>
        <w:spacing w:after="60"/>
      </w:pPr>
      <w:r>
        <w:t xml:space="preserve">jsonschema (valida el contrato de brief contra contracts/design-brief.schema.json);</w:t>
      </w:r>
    </w:p>
    <w:p>
      <w:pPr>
        <w:pStyle w:val="ListParagraph"/>
        <w:numPr>
          <w:ilvl w:val="0"/>
          <w:numId w:val="2"/>
        </w:numPr>
        <w:spacing w:after="60"/>
      </w:pPr>
      <w:r>
        <w:t xml:space="preserve">PyYAML (lee brand/ y brand/knowledge/);</w:t>
      </w:r>
    </w:p>
    <w:p>
      <w:pPr>
        <w:pStyle w:val="ListParagraph"/>
        <w:numPr>
          <w:ilvl w:val="0"/>
          <w:numId w:val="2"/>
        </w:numPr>
        <w:spacing w:after="60"/>
      </w:pPr>
      <w:r>
        <w:t xml:space="preserve">Pillow (procesamiento de imagen);</w:t>
      </w:r>
    </w:p>
    <w:p>
      <w:pPr>
        <w:pStyle w:val="ListParagraph"/>
        <w:numPr>
          <w:ilvl w:val="0"/>
          <w:numId w:val="2"/>
        </w:numPr>
        <w:spacing w:after="60"/>
      </w:pPr>
      <w:r>
        <w:t xml:space="preserve">openai SDK (proveedor de IA inicial, modelo por defecto gpt-4.1-mini);</w:t>
      </w:r>
    </w:p>
    <w:p>
      <w:pPr>
        <w:pStyle w:val="ListParagraph"/>
        <w:numPr>
          <w:ilvl w:val="0"/>
          <w:numId w:val="2"/>
        </w:numPr>
        <w:spacing w:after="60"/>
      </w:pPr>
      <w:r>
        <w:t xml:space="preserve">gunicorn (servidor WSGI de producción, sin entorno de producción activo aún).</w:t>
      </w:r>
    </w:p>
    <w:p>
      <w:pPr>
        <w:pStyle w:val="Heading2"/>
        <w:spacing w:after="120" w:before="240"/>
      </w:pPr>
      <w:r>
        <w:t xml:space="preserve">9.2 Frontend</w:t>
      </w:r>
    </w:p>
    <w:p>
      <w:pPr>
        <w:pStyle w:val="ListParagraph"/>
        <w:numPr>
          <w:ilvl w:val="0"/>
          <w:numId w:val="2"/>
        </w:numPr>
        <w:spacing w:after="60"/>
      </w:pPr>
      <w:r>
        <w:t xml:space="preserve">HTML/CSS/JavaScript vanilla, sin build tooling ni framework (index.html, panel.html, admin.html);</w:t>
      </w:r>
    </w:p>
    <w:p>
      <w:pPr>
        <w:pStyle w:val="ListParagraph"/>
        <w:numPr>
          <w:ilvl w:val="0"/>
          <w:numId w:val="2"/>
        </w:numPr>
        <w:spacing w:after="60"/>
      </w:pPr>
      <w:r>
        <w:t xml:space="preserve">plantillas de pieza versionadas en HTML+SVG (frontend/templates/designs/square-v1.{html,svg}), con manifest.yaml propio;</w:t>
      </w:r>
    </w:p>
    <w:p>
      <w:pPr>
        <w:pStyle w:val="ListParagraph"/>
        <w:numPr>
          <w:ilvl w:val="0"/>
          <w:numId w:val="2"/>
        </w:numPr>
        <w:spacing w:after="60"/>
      </w:pPr>
      <w:r>
        <w:t xml:space="preserve">un solo template implementado (square-v1); story y portrait están en el roadmap de Fase 2 pero no construidos.</w:t>
      </w:r>
    </w:p>
    <w:p>
      <w:pPr>
        <w:pStyle w:val="Heading2"/>
        <w:spacing w:after="120" w:before="240"/>
      </w:pPr>
      <w:r>
        <w:t xml:space="preserve">9.3 Base de datos</w:t>
      </w:r>
    </w:p>
    <w:p>
      <w:pPr>
        <w:spacing w:after="160"/>
      </w:pPr>
      <w:r>
        <w:rPr>
          <w:b w:val="false"/>
          <w:bCs w:val="false"/>
          <w:i w:val="false"/>
          <w:iCs w:val="false"/>
        </w:rPr>
        <w:t xml:space="preserve">SQLite en desarrollo local; PostgreSQL “recomendada” para staging/producción según README.md, pero no aprovisionada en ningún entorno real todavía.</w:t>
      </w:r>
    </w:p>
    <w:p>
      <w:pPr>
        <w:pStyle w:val="Heading2"/>
        <w:spacing w:after="120" w:before="240"/>
      </w:pPr>
      <w:r>
        <w:t xml:space="preserve">9.4 IA</w:t>
      </w:r>
    </w:p>
    <w:p>
      <w:pPr>
        <w:spacing w:after="160"/>
      </w:pPr>
      <w:r>
        <w:rPr>
          <w:b w:val="false"/>
          <w:bCs w:val="false"/>
          <w:i w:val="false"/>
          <w:iCs w:val="false"/>
        </w:rPr>
        <w:t xml:space="preserve">Interfaz propia AIProvider con un adaptador OpenAI como único proveedor formal. PROJECT.md declara explícitamente “no se incorpora Claude en este MVP” — en la práctica, Claude ya construye brand/knowledge/ en paralelo. Esta contradicción entre lo documentado y lo real se lista como pregunta abierta (Sección 35) y debería resolverse actualizando PROJECT.md, no ignorándose.</w:t>
      </w:r>
    </w:p>
    <w:p>
      <w:pPr>
        <w:pStyle w:val="Heading2"/>
        <w:spacing w:after="120" w:before="240"/>
      </w:pPr>
      <w:r>
        <w:t xml:space="preserve">9.5 Sistema de marca (brand/)</w:t>
      </w:r>
    </w:p>
    <w:p>
      <w:pPr>
        <w:spacing w:after="160"/>
      </w:pPr>
      <w:r>
        <w:rPr>
          <w:b w:val="false"/>
          <w:bCs w:val="false"/>
          <w:i w:val="false"/>
          <w:iCs w:val="false"/>
        </w:rPr>
        <w:t xml:space="preserve">Patrón “fuente YAML → generado, nunca editado a mano” aplicado dos veces: brand/tokens/ + brand/product-colors/ (colores, tipografía) y, más reciente, brand/knowledge/ (catálogo de productos + anotación de las 454 referencias visuales), cada uno con su propio script generador y bandera --check usada en pruebas.</w:t>
      </w:r>
    </w:p>
    <w:p>
      <w:pPr>
        <w:pStyle w:val="Heading1"/>
        <w:spacing w:after="160" w:before="360"/>
      </w:pPr>
      <w:r>
        <w:t xml:space="preserve">10. Ubicación de hosting y protección de datos</w:t>
      </w:r>
    </w:p>
    <w:p>
      <w:pPr>
        <w:spacing w:after="160"/>
      </w:pPr>
      <w:r>
        <w:rPr>
          <w:b w:val="false"/>
          <w:bCs w:val="false"/>
          <w:i w:val="false"/>
          <w:iCs w:val="false"/>
        </w:rPr>
        <w:t xml:space="preserve">No aplica una revisión de protección de datos como la de IH Connect (no hay datos de menores de edad ni una escuela externa registrando alumnos). Sí hay una pregunta real pendiente: ¿el sistema llega a manejar datos personales de terceros (contactos de campañas, leads capturados en piezas de conversión) que ameriten una política de retención? Hoy no hay evidencia de que se recolecte ese tipo de dato — se deja como pregunta abierta en vez de asumir que no aplica.</w:t>
      </w:r>
    </w:p>
    <w:p>
      <w:pPr>
        <w:pStyle w:val="Heading1"/>
        <w:spacing w:after="160" w:before="360"/>
      </w:pPr>
      <w:r>
        <w:t xml:space="preserve">11. Autenticación y cuentas</w:t>
      </w:r>
    </w:p>
    <w:p>
      <w:pPr>
        <w:spacing w:after="160"/>
      </w:pPr>
      <w:r>
        <w:rPr>
          <w:b w:val="false"/>
          <w:bCs w:val="false"/>
          <w:i w:val="false"/>
          <w:iCs w:val="false"/>
        </w:rPr>
        <w:t xml:space="preserve">Mecanismo real hoy:</w:t>
      </w:r>
    </w:p>
    <w:p>
      <w:pPr>
        <w:pStyle w:val="ListParagraph"/>
        <w:numPr>
          <w:ilvl w:val="0"/>
          <w:numId w:val="2"/>
        </w:numPr>
        <w:spacing w:after="60"/>
      </w:pPr>
      <w:r>
        <w:t xml:space="preserve">CorporateDomainPermission exige usuario autenticado con email de un dominio autorizado (CORPORATE_ALLOWED_EMAIL_DOMAINS);</w:t>
      </w:r>
    </w:p>
    <w:p>
      <w:pPr>
        <w:pStyle w:val="ListParagraph"/>
        <w:numPr>
          <w:ilvl w:val="0"/>
          <w:numId w:val="2"/>
        </w:numPr>
        <w:spacing w:after="60"/>
      </w:pPr>
      <w:r>
        <w:t xml:space="preserve">el comando sync_corporate_roles sincroniza roles corporativos;</w:t>
      </w:r>
    </w:p>
    <w:p>
      <w:pPr>
        <w:pStyle w:val="ListParagraph"/>
        <w:numPr>
          <w:ilvl w:val="0"/>
          <w:numId w:val="2"/>
        </w:numPr>
        <w:spacing w:after="60"/>
      </w:pPr>
      <w:r>
        <w:t xml:space="preserve">GET /api/v1/security/current-user/ (o equivalente) devuelve roles, permisos derivados (can_create_briefs, can_review, can_view_catalog) y paneles disponibles.</w:t>
      </w:r>
    </w:p>
    <w:p>
      <w:pPr>
        <w:spacing w:after="160"/>
      </w:pPr>
      <w:r>
        <w:rPr>
          <w:b w:val="false"/>
          <w:bCs w:val="false"/>
          <w:i w:val="false"/>
          <w:iCs w:val="false"/>
        </w:rPr>
        <w:t xml:space="preserve">Ausente frente al estándar de IH Connect: flujo de invitación explícito, reseteo de contraseña, verificación de email, límite de intentos de login (rate limiting), bloqueo tras fallos repetidos, 2FA para roles administrativos. Ninguno está confirmado en el código revisado.</w:t>
      </w:r>
    </w:p>
    <w:p>
      <w:pPr>
        <w:pStyle w:val="Heading1"/>
        <w:spacing w:after="160" w:before="360"/>
      </w:pPr>
      <w:r>
        <w:t xml:space="preserve">12. Roles y permisos</w:t>
      </w:r>
    </w:p>
    <w:p>
      <w:pPr>
        <w:spacing w:after="160"/>
      </w:pPr>
      <w:r>
        <w:rPr>
          <w:b w:val="false"/>
          <w:bCs w:val="false"/>
          <w:i w:val="false"/>
          <w:iCs w:val="false"/>
        </w:rPr>
        <w:t xml:space="preserve">Roles reales definidos en backend/security/permissions.py:</w:t>
      </w:r>
    </w:p>
    <w:p>
      <w:pPr>
        <w:pStyle w:val="ListParagraph"/>
        <w:numPr>
          <w:ilvl w:val="0"/>
          <w:numId w:val="2"/>
        </w:numPr>
        <w:spacing w:after="60"/>
      </w:pPr>
      <w:r>
        <w:t xml:space="preserve">platform_admin — acceso administrativo completo (equivalente a is_staff/is_superuser);</w:t>
      </w:r>
    </w:p>
    <w:p>
      <w:pPr>
        <w:pStyle w:val="ListParagraph"/>
        <w:numPr>
          <w:ilvl w:val="0"/>
          <w:numId w:val="2"/>
        </w:numPr>
        <w:spacing w:after="60"/>
      </w:pPr>
      <w:r>
        <w:t xml:space="preserve">marketing — puede crear briefs;</w:t>
      </w:r>
    </w:p>
    <w:p>
      <w:pPr>
        <w:pStyle w:val="ListParagraph"/>
        <w:numPr>
          <w:ilvl w:val="0"/>
          <w:numId w:val="2"/>
        </w:numPr>
        <w:spacing w:after="60"/>
      </w:pPr>
      <w:r>
        <w:t xml:space="preserve">designer — puede crear briefs;</w:t>
      </w:r>
    </w:p>
    <w:p>
      <w:pPr>
        <w:pStyle w:val="ListParagraph"/>
        <w:numPr>
          <w:ilvl w:val="0"/>
          <w:numId w:val="2"/>
        </w:numPr>
        <w:spacing w:after="60"/>
      </w:pPr>
      <w:r>
        <w:t xml:space="preserve">reviewer — puede revisar (can_review);</w:t>
      </w:r>
    </w:p>
    <w:p>
      <w:pPr>
        <w:pStyle w:val="ListParagraph"/>
        <w:numPr>
          <w:ilvl w:val="0"/>
          <w:numId w:val="2"/>
        </w:numPr>
        <w:spacing w:after="60"/>
      </w:pPr>
      <w:r>
        <w:t xml:space="preserve">viewer — solo puede ver el catálogo.</w:t>
      </w:r>
    </w:p>
    <w:p>
      <w:pPr>
        <w:spacing w:after="160"/>
      </w:pPr>
      <w:r>
        <w:rPr>
          <w:b w:val="false"/>
          <w:bCs w:val="false"/>
          <w:i w:val="false"/>
          <w:iCs w:val="false"/>
        </w:rPr>
        <w:t xml:space="preserve">RoleAwareViewSet ya aplica RolePermission por acción declarada (role_rules) a nivel de viewset — el mismo patrón que ArtworkReferenceViewSet usa para el endpoint de conocimiento visual. La arquitectura ya soporta permisos más finos sin rediseño.</w:t>
      </w:r>
    </w:p>
    <w:p>
      <w:pPr>
        <w:pStyle w:val="Heading1"/>
        <w:spacing w:after="160" w:before="360"/>
      </w:pPr>
      <w:r>
        <w:t xml:space="preserve">13. Fidelidad de marca como first-class concern</w:t>
      </w:r>
    </w:p>
    <w:p>
      <w:pPr>
        <w:spacing w:after="160"/>
      </w:pPr>
      <w:r>
        <w:rPr>
          <w:b w:val="false"/>
          <w:bCs w:val="false"/>
          <w:i w:val="false"/>
          <w:iCs w:val="false"/>
        </w:rPr>
        <w:t xml:space="preserve">Este es el equivalente directo a “time zones are first-class” o “safeguarding-first” de IH Connect: una propiedad que no se puede agregar después sin reescribir todo lo construido encima.</w:t>
      </w:r>
    </w:p>
    <w:p>
      <w:pPr>
        <w:pStyle w:val="ListParagraph"/>
        <w:numPr>
          <w:ilvl w:val="0"/>
          <w:numId w:val="2"/>
        </w:numPr>
        <w:spacing w:after="60"/>
      </w:pPr>
      <w:r>
        <w:t xml:space="preserve">cada color, tipografía, tamaño mínimo de logo y regla de composición debe citar su documento fuente exacto;</w:t>
      </w:r>
    </w:p>
    <w:p>
      <w:pPr>
        <w:pStyle w:val="ListParagraph"/>
        <w:numPr>
          <w:ilvl w:val="0"/>
          <w:numId w:val="2"/>
        </w:numPr>
        <w:spacing w:after="60"/>
      </w:pPr>
      <w:r>
        <w:t xml:space="preserve">donde no existe una fuente (p. ej. licencia de Aptos, tamaño mínimo oficial, tokens de motion), se marca explícitamente pendiente en vez de inferirse;</w:t>
      </w:r>
    </w:p>
    <w:p>
      <w:pPr>
        <w:pStyle w:val="ListParagraph"/>
        <w:numPr>
          <w:ilvl w:val="0"/>
          <w:numId w:val="2"/>
        </w:numPr>
        <w:spacing w:after="60"/>
      </w:pPr>
      <w:r>
        <w:t xml:space="preserve">ningún dato comercial crítico (precio, fecha, sede, CTA) se genera por IA — siempre viene de catalog/campaigns;</w:t>
      </w:r>
    </w:p>
    <w:p>
      <w:pPr>
        <w:pStyle w:val="ListParagraph"/>
        <w:numPr>
          <w:ilvl w:val="0"/>
          <w:numId w:val="2"/>
        </w:numPr>
        <w:spacing w:after="60"/>
      </w:pPr>
      <w:r>
        <w:t xml:space="preserve">brand/scripts/generate_tokens.py --check y el equivalente para brand/knowledge/ corren o deberían correr en CI para evitar que un archivo generado quede desactualizado respecto a su fuente.</w:t>
      </w:r>
    </w:p>
    <w:p>
      <w:pPr>
        <w:spacing w:after="200"/>
      </w:pPr>
      <w:r>
        <w:rPr>
          <w:i/>
          <w:iCs/>
          <w:color w:val="6B7280"/>
        </w:rPr>
        <w:t xml:space="preserve">Pendiente: confirmar si generate_tokens.py --check y generate_product_catalog.py --check ya están en el pipeline de CI (.github/workflows/ci.yml) — no se detectó ese paso en el archivo revisado.</w:t>
      </w:r>
    </w:p>
    <w:p>
      <w:pPr>
        <w:pStyle w:val="Heading1"/>
        <w:spacing w:after="160" w:before="360"/>
      </w:pPr>
      <w:r>
        <w:t xml:space="preserve">14. Modelo de contenido: Brief → Design → Version</w:t>
      </w:r>
    </w:p>
    <w:p>
      <w:pPr>
        <w:spacing w:after="160"/>
      </w:pPr>
      <w:r>
        <w:rPr>
          <w:b w:val="false"/>
          <w:bCs w:val="false"/>
          <w:i w:val="false"/>
          <w:iCs w:val="false"/>
        </w:rPr>
        <w:t xml:space="preserve">Equivalente al “event model” de IH Connect. Un DesignBrief (formato: square, story, portrait, reel, carousel, banner, html, svg) referencia un Product, una Branch y opcionalmente una Campaign autorizados. Un Design tiene exactamente un brief y avanza por estados: draft → in_review → self_review → test_ready → revision_requested → approved/rejected → archived. Cada DesignVersion numerada guarda render_data, asset_refs, validation_summary y claude_review_status (pending/pass/needs_changes).</w:t>
      </w:r>
    </w:p>
    <w:p>
      <w:pPr>
        <w:spacing w:after="200"/>
      </w:pPr>
      <w:r>
        <w:rPr>
          <w:i/>
          <w:iCs/>
          <w:color w:val="6B7280"/>
        </w:rPr>
        <w:t xml:space="preserve">Nota: el modelo ya soporta 8 formatos (incluyendo reel, carousel, banner), pero solo existe una plantilla real implementada (square-v1). El roadmap (Fase 2) contempla story y portrait — reel, carousel y banner no tienen fecha.</w:t>
      </w:r>
    </w:p>
    <w:p>
      <w:pPr>
        <w:pStyle w:val="Heading1"/>
        <w:spacing w:after="160" w:before="360"/>
      </w:pPr>
      <w:r>
        <w:t xml:space="preserve">15. Envío y revisión</w:t>
      </w:r>
    </w:p>
    <w:p>
      <w:pPr>
        <w:spacing w:after="160"/>
      </w:pPr>
      <w:r>
        <w:rPr>
          <w:b w:val="false"/>
          <w:bCs w:val="false"/>
          <w:i w:val="false"/>
          <w:iCs w:val="false"/>
        </w:rPr>
        <w:t xml:space="preserve">Flujo real hoy:</w:t>
      </w:r>
    </w:p>
    <w:p>
      <w:pPr>
        <w:pStyle w:val="ListParagraph"/>
        <w:numPr>
          <w:ilvl w:val="0"/>
          <w:numId w:val="2"/>
        </w:numPr>
        <w:spacing w:after="60"/>
      </w:pPr>
      <w:r>
        <w:t xml:space="preserve">1. se crea un DesignBrief con datos autorizados (producto, sede, campaña, audiencia, objetivo);</w:t>
      </w:r>
    </w:p>
    <w:p>
      <w:pPr>
        <w:pStyle w:val="ListParagraph"/>
        <w:numPr>
          <w:ilvl w:val="0"/>
          <w:numId w:val="2"/>
        </w:numPr>
        <w:spacing w:after="60"/>
      </w:pPr>
      <w:r>
        <w:t xml:space="preserve">2. POST /api/v1/designs/{id}/preview/ genera HTML y SVG con brand/ y un logo aprobado del catálogo LATAM, y crea una DesignVersion;</w:t>
      </w:r>
    </w:p>
    <w:p>
      <w:pPr>
        <w:pStyle w:val="ListParagraph"/>
        <w:numPr>
          <w:ilvl w:val="0"/>
          <w:numId w:val="2"/>
        </w:numPr>
        <w:spacing w:after="60"/>
      </w:pPr>
      <w:r>
        <w:t xml:space="preserve">3. si el brief pertenece a las primeras 50 pruebas (DESIGN_TEST_MODE), el Design pasa a self_review;</w:t>
      </w:r>
    </w:p>
    <w:p>
      <w:pPr>
        <w:pStyle w:val="ListParagraph"/>
        <w:numPr>
          <w:ilvl w:val="0"/>
          <w:numId w:val="2"/>
        </w:numPr>
        <w:spacing w:after="60"/>
      </w:pPr>
      <w:r>
        <w:t xml:space="preserve">4. POST /api/v1/designs/{id}/claude-review/ guarda un resultado pass|needs_changes — esto no es aprobación humana formal;</w:t>
      </w:r>
    </w:p>
    <w:p>
      <w:pPr>
        <w:pStyle w:val="ListParagraph"/>
        <w:numPr>
          <w:ilvl w:val="0"/>
          <w:numId w:val="2"/>
        </w:numPr>
        <w:spacing w:after="60"/>
      </w:pPr>
      <w:r>
        <w:t xml:space="preserve">5. el flujo de aprobación humana con comentarios persistidos está en el roadmap (Fase 3), no construido todavía.</w:t>
      </w:r>
    </w:p>
    <w:p>
      <w:pPr>
        <w:spacing w:after="160"/>
      </w:pPr>
      <w:r>
        <w:rPr>
          <w:b w:val="false"/>
          <w:bCs w:val="false"/>
          <w:i w:val="false"/>
          <w:iCs w:val="false"/>
        </w:rPr>
        <w:t xml:space="preserve">El renderizador ya rechaza: plantillas desconocidas, logos no aprobados, colores fuera de los tokens de marca y texto crítico vacío o demasiado largo — validación real, no aspiracional.</w:t>
      </w:r>
    </w:p>
    <w:p>
      <w:pPr>
        <w:pStyle w:val="Heading1"/>
        <w:spacing w:after="160" w:before="360"/>
      </w:pPr>
      <w:r>
        <w:t xml:space="preserve">16. Catálogo de productos y biblioteca de conocimiento visual</w:t>
      </w:r>
    </w:p>
    <w:p>
      <w:pPr>
        <w:spacing w:after="160"/>
      </w:pPr>
      <w:r>
        <w:rPr>
          <w:b/>
          <w:bCs/>
          <w:i w:val="false"/>
          <w:iCs w:val="false"/>
        </w:rPr>
        <w:t xml:space="preserve">Esta es la parte más desarrollada y novedosa del sistema hoy — sin equivalente directo en IH Connect — y merece el mismo protagonismo que el “modelo de registro” tuvo en ese documento, por ser el mecanismo núcleo que se está probando.</w:t>
      </w:r>
    </w:p>
    <w:p>
      <w:pPr>
        <w:pStyle w:val="Heading2"/>
        <w:spacing w:after="120" w:before="240"/>
      </w:pPr>
      <w:r>
        <w:t xml:space="preserve">16.1 Catálogo de productos</w:t>
      </w:r>
    </w:p>
    <w:p>
      <w:pPr>
        <w:spacing w:after="160"/>
      </w:pPr>
      <w:r>
        <w:rPr>
          <w:b w:val="false"/>
          <w:bCs w:val="false"/>
          <w:i w:val="false"/>
          <w:iCs w:val="false"/>
        </w:rPr>
        <w:t xml:space="preserve">brand/knowledge/product-catalog.yaml: 15 productos activos (10 confirmed, 2 inferred, 3 needs_confirmation) + 2 productos deprecados, cubriendo México, Chile, Colombia y Perú. Cada producto cita su fuente exacta (documento, confirmación del cliente con fecha) y su nivel de certeza. Se generan a brand/knowledge/product-catalog.json vía generate_product_catalog.py --check.</w:t>
      </w:r>
    </w:p>
    <w:p>
      <w:pPr>
        <w:pStyle w:val="Heading2"/>
        <w:spacing w:after="120" w:before="240"/>
      </w:pPr>
      <w:r>
        <w:t xml:space="preserve">16.2 Biblioteca de conocimiento visual</w:t>
      </w:r>
    </w:p>
    <w:p>
      <w:pPr>
        <w:spacing w:after="160"/>
      </w:pPr>
      <w:r>
        <w:rPr>
          <w:b w:val="false"/>
          <w:bCs w:val="false"/>
          <w:i w:val="false"/>
          <w:iCs w:val="false"/>
        </w:rPr>
        <w:t xml:space="preserve">brand/knowledge/artwork-reference-knowledge.json: 454 referencias visuales (314 imágenes locales + 140 videos enlazados a Drive) anotadas con vocabulario controlado (composición, layout, logo, tipografía, público, etapa del funnel). 40/454 tienen revisión visual humana real (annotation_status: human-reviewed); el resto queda en metadata-only con needs_review: true — nunca se infiere contenido visual sin evidencia real.</w:t>
      </w:r>
    </w:p>
    <w:p>
      <w:pPr>
        <w:pStyle w:val="Heading2"/>
        <w:spacing w:after="120" w:before="240"/>
      </w:pPr>
      <w:r>
        <w:t xml:space="preserve">16.3 Exposición vía API</w:t>
      </w:r>
    </w:p>
    <w:p>
      <w:pPr>
        <w:spacing w:after="160"/>
      </w:pPr>
      <w:r>
        <w:rPr>
          <w:b w:val="false"/>
          <w:bCs w:val="false"/>
          <w:i w:val="false"/>
          <w:iCs w:val="false"/>
        </w:rPr>
        <w:t xml:space="preserve">GET /api/v1/artwork-references/knowledge/ acepta filtros por product_slug, country, media_type, format, orientation, calendar.year, calendar.month, content_pillar, campaign_or_theme, tag y annotation_status — diseñado explícitamente para que una IA (Claude, Codex, o el proveedor OpenAI del backend) consuma contexto estructurado en vez de texto libre.</w:t>
      </w:r>
    </w:p>
    <w:p>
      <w:pPr>
        <w:pStyle w:val="Heading1"/>
        <w:spacing w:after="160" w:before="360"/>
      </w:pPr>
      <w:r>
        <w:t xml:space="preserve">17. Protección de datos</w:t>
      </w:r>
    </w:p>
    <w:p>
      <w:pPr>
        <w:spacing w:after="160"/>
      </w:pPr>
      <w:r>
        <w:rPr>
          <w:b w:val="false"/>
          <w:bCs w:val="false"/>
          <w:i w:val="false"/>
          <w:iCs w:val="false"/>
        </w:rPr>
        <w:t xml:space="preserve">No hay requisitos de protección de datos de menores (a diferencia de IH Connect). El único control de acceso real es el gate de dominio corporativo (Sección 11). No existe todavía una política de retención documentada para los datos que sí se almacenan (briefs, versiones de diseño, usuarios) — ver pregunta abierta en Sección 35.</w:t>
      </w:r>
    </w:p>
    <w:p>
      <w:pPr>
        <w:pStyle w:val="Heading1"/>
        <w:spacing w:after="160" w:before="360"/>
      </w:pPr>
      <w:r>
        <w:t xml:space="preserve">18. Marca, plantillas y expectativas de producción</w:t>
      </w:r>
    </w:p>
    <w:p>
      <w:pPr>
        <w:pStyle w:val="ListParagraph"/>
        <w:numPr>
          <w:ilvl w:val="0"/>
          <w:numId w:val="2"/>
        </w:numPr>
        <w:spacing w:after="60"/>
      </w:pPr>
      <w:r>
        <w:t xml:space="preserve">78 logos catalogados en brand/assets/logos/manifest.yaml, organizados por scope (regional/global/sub-brand/partner), país y marca;</w:t>
      </w:r>
    </w:p>
    <w:p>
      <w:pPr>
        <w:pStyle w:val="ListParagraph"/>
        <w:numPr>
          <w:ilvl w:val="0"/>
          <w:numId w:val="2"/>
        </w:numPr>
        <w:spacing w:after="60"/>
      </w:pPr>
      <w:r>
        <w:t xml:space="preserve">variantes classic/black/white aprobadas para IH México; white-reversed y dual-branding siguen pendientes;</w:t>
      </w:r>
    </w:p>
    <w:p>
      <w:pPr>
        <w:pStyle w:val="ListParagraph"/>
        <w:numPr>
          <w:ilvl w:val="0"/>
          <w:numId w:val="2"/>
        </w:numPr>
        <w:spacing w:after="60"/>
      </w:pPr>
      <w:r>
        <w:t xml:space="preserve">tamaño mínimo de logo designado (mx_designated, no oficial): 24px/32px/48px según variante de lockup, pendiente de aprobación formal;</w:t>
      </w:r>
    </w:p>
    <w:p>
      <w:pPr>
        <w:pStyle w:val="ListParagraph"/>
        <w:numPr>
          <w:ilvl w:val="0"/>
          <w:numId w:val="2"/>
        </w:numPr>
        <w:spacing w:after="60"/>
      </w:pPr>
      <w:r>
        <w:t xml:space="preserve">Aptos no se redistribuye (licencia estándar de Microsoft no lo permite); Arial como fallback documentado;</w:t>
      </w:r>
    </w:p>
    <w:p>
      <w:pPr>
        <w:pStyle w:val="ListParagraph"/>
        <w:numPr>
          <w:ilvl w:val="0"/>
          <w:numId w:val="2"/>
        </w:numPr>
        <w:spacing w:after="60"/>
      </w:pPr>
      <w:r>
        <w:t xml:space="preserve">un único template de pieza implementado (square-v1, HTML+SVG, 1080×1080), consumiendo brand/ y un logo aprobado del catálogo LATAM.</w:t>
      </w:r>
    </w:p>
    <w:p>
      <w:pPr>
        <w:pStyle w:val="Heading1"/>
        <w:spacing w:after="160" w:before="360"/>
      </w:pPr>
      <w:r>
        <w:t xml:space="preserve">19. Páginas núcleo del MVP</w:t>
      </w:r>
    </w:p>
    <w:p>
      <w:pPr>
        <w:pStyle w:val="ListParagraph"/>
        <w:numPr>
          <w:ilvl w:val="0"/>
          <w:numId w:val="2"/>
        </w:numPr>
        <w:spacing w:after="60"/>
      </w:pPr>
      <w:r>
        <w:t xml:space="preserve">index.html — home responsive del workspace LATAM;</w:t>
      </w:r>
    </w:p>
    <w:p>
      <w:pPr>
        <w:pStyle w:val="ListParagraph"/>
        <w:numPr>
          <w:ilvl w:val="0"/>
          <w:numId w:val="2"/>
        </w:numPr>
        <w:spacing w:after="60"/>
      </w:pPr>
      <w:r>
        <w:t xml:space="preserve">panel.html — brief guiado (formulario de 20 preguntas) con carga de logos y paneles según rol, conectado a la API;</w:t>
      </w:r>
    </w:p>
    <w:p>
      <w:pPr>
        <w:pStyle w:val="ListParagraph"/>
        <w:numPr>
          <w:ilvl w:val="0"/>
          <w:numId w:val="2"/>
        </w:numPr>
        <w:spacing w:after="60"/>
      </w:pPr>
      <w:r>
        <w:t xml:space="preserve">admin.html — panel administrativo (alcance exacto no verificado en este documento — revisar frontend/scripts/admin.js).</w:t>
      </w:r>
    </w:p>
    <w:p>
      <w:pPr>
        <w:pStyle w:val="Heading1"/>
        <w:spacing w:after="160" w:before="360"/>
      </w:pPr>
      <w:r>
        <w:t xml:space="preserve">20. Alcance MoSCoW propuesto</w:t>
      </w:r>
    </w:p>
    <w:p>
      <w:pPr>
        <w:spacing w:after="200"/>
      </w:pPr>
      <w:r>
        <w:rPr>
          <w:i/>
          <w:iCs/>
          <w:color w:val="6B7280"/>
        </w:rPr>
        <w:t xml:space="preserve">Propuesta a validar con Axel/Codex — no es un compromiso ya acordado.</w:t>
      </w:r>
    </w:p>
    <w:p>
      <w:pPr>
        <w:pStyle w:val="Heading2"/>
        <w:spacing w:after="120" w:before="240"/>
      </w:pPr>
      <w:r>
        <w:t xml:space="preserve">20.1 Must have</w:t>
      </w:r>
    </w:p>
    <w:p>
      <w:pPr>
        <w:pStyle w:val="ListParagraph"/>
        <w:numPr>
          <w:ilvl w:val="0"/>
          <w:numId w:val="2"/>
        </w:numPr>
        <w:spacing w:after="60"/>
      </w:pPr>
      <w:r>
        <w:t xml:space="preserve">brief → preview → self_review funcionando de extremo a extremo (ya existe);</w:t>
      </w:r>
    </w:p>
    <w:p>
      <w:pPr>
        <w:pStyle w:val="ListParagraph"/>
        <w:numPr>
          <w:ilvl w:val="0"/>
          <w:numId w:val="2"/>
        </w:numPr>
        <w:spacing w:after="60"/>
      </w:pPr>
      <w:r>
        <w:t xml:space="preserve">validación de marca bloqueante (colores, logos, texto crítico) antes de cualquier previsualización (ya existe);</w:t>
      </w:r>
    </w:p>
    <w:p>
      <w:pPr>
        <w:pStyle w:val="ListParagraph"/>
        <w:numPr>
          <w:ilvl w:val="0"/>
          <w:numId w:val="2"/>
        </w:numPr>
        <w:spacing w:after="60"/>
      </w:pPr>
      <w:r>
        <w:t xml:space="preserve">catálogo de productos y biblioteca de conocimiento visual con procedencia citada (ya existe, en expansión);</w:t>
      </w:r>
    </w:p>
    <w:p>
      <w:pPr>
        <w:pStyle w:val="ListParagraph"/>
        <w:numPr>
          <w:ilvl w:val="0"/>
          <w:numId w:val="2"/>
        </w:numPr>
        <w:spacing w:after="60"/>
      </w:pPr>
      <w:r>
        <w:t xml:space="preserve">CI verde en cada cambio (ya existe).</w:t>
      </w:r>
    </w:p>
    <w:p>
      <w:pPr>
        <w:pStyle w:val="Heading2"/>
        <w:spacing w:after="120" w:before="240"/>
      </w:pPr>
      <w:r>
        <w:t xml:space="preserve">20.2 Should have</w:t>
      </w:r>
    </w:p>
    <w:p>
      <w:pPr>
        <w:pStyle w:val="ListParagraph"/>
        <w:numPr>
          <w:ilvl w:val="0"/>
          <w:numId w:val="2"/>
        </w:numPr>
        <w:spacing w:after="60"/>
      </w:pPr>
      <w:r>
        <w:t xml:space="preserve">flujo de aprobación humana formal con comentarios persistidos (Fase 3 del roadmap, no construido);</w:t>
      </w:r>
    </w:p>
    <w:p>
      <w:pPr>
        <w:pStyle w:val="ListParagraph"/>
        <w:numPr>
          <w:ilvl w:val="0"/>
          <w:numId w:val="2"/>
        </w:numPr>
        <w:spacing w:after="60"/>
      </w:pPr>
      <w:r>
        <w:t xml:space="preserve">plantillas story y portrait (Fase 2, no construidas);</w:t>
      </w:r>
    </w:p>
    <w:p>
      <w:pPr>
        <w:pStyle w:val="ListParagraph"/>
        <w:numPr>
          <w:ilvl w:val="0"/>
          <w:numId w:val="2"/>
        </w:numPr>
        <w:spacing w:after="60"/>
      </w:pPr>
      <w:r>
        <w:t xml:space="preserve">migración real a PostgreSQL en un entorno desplegado.</w:t>
      </w:r>
    </w:p>
    <w:p>
      <w:pPr>
        <w:pStyle w:val="Heading2"/>
        <w:spacing w:after="120" w:before="240"/>
      </w:pPr>
      <w:r>
        <w:t xml:space="preserve">20.3 Could have</w:t>
      </w:r>
    </w:p>
    <w:p>
      <w:pPr>
        <w:pStyle w:val="ListParagraph"/>
        <w:numPr>
          <w:ilvl w:val="0"/>
          <w:numId w:val="2"/>
        </w:numPr>
        <w:spacing w:after="60"/>
      </w:pPr>
      <w:r>
        <w:t xml:space="preserve">plantillas reel, carousel, banner (ya modeladas en DesignBrief.Format, sin plantilla real);</w:t>
      </w:r>
    </w:p>
    <w:p>
      <w:pPr>
        <w:pStyle w:val="ListParagraph"/>
        <w:numPr>
          <w:ilvl w:val="0"/>
          <w:numId w:val="2"/>
        </w:numPr>
        <w:spacing w:after="60"/>
      </w:pPr>
      <w:r>
        <w:t xml:space="preserve">exportación directa a redes/WhatsApp;</w:t>
      </w:r>
    </w:p>
    <w:p>
      <w:pPr>
        <w:pStyle w:val="ListParagraph"/>
        <w:numPr>
          <w:ilvl w:val="0"/>
          <w:numId w:val="2"/>
        </w:numPr>
        <w:spacing w:after="60"/>
      </w:pPr>
      <w:r>
        <w:t xml:space="preserve">segundo proveedor de IA compatible con la interfaz AIProvider.</w:t>
      </w:r>
    </w:p>
    <w:p>
      <w:pPr>
        <w:pStyle w:val="Heading2"/>
        <w:spacing w:after="120" w:before="240"/>
      </w:pPr>
      <w:r>
        <w:t xml:space="preserve">20.4 Won’t have (por ahora)</w:t>
      </w:r>
    </w:p>
    <w:p>
      <w:pPr>
        <w:pStyle w:val="ListParagraph"/>
        <w:numPr>
          <w:ilvl w:val="0"/>
          <w:numId w:val="2"/>
        </w:numPr>
        <w:spacing w:after="60"/>
      </w:pPr>
      <w:r>
        <w:t xml:space="preserve">editor visual completo tipo Canva;</w:t>
      </w:r>
    </w:p>
    <w:p>
      <w:pPr>
        <w:pStyle w:val="ListParagraph"/>
        <w:numPr>
          <w:ilvl w:val="0"/>
          <w:numId w:val="2"/>
        </w:numPr>
        <w:spacing w:after="60"/>
      </w:pPr>
      <w:r>
        <w:t xml:space="preserve">generación de logos por IA;</w:t>
      </w:r>
    </w:p>
    <w:p>
      <w:pPr>
        <w:pStyle w:val="ListParagraph"/>
        <w:numPr>
          <w:ilvl w:val="0"/>
          <w:numId w:val="2"/>
        </w:numPr>
        <w:spacing w:after="60"/>
      </w:pPr>
      <w:r>
        <w:t xml:space="preserve">cualquier dato comercial (precio, fecha, sede) generado por IA sin fuente autorizada;</w:t>
      </w:r>
    </w:p>
    <w:p>
      <w:pPr>
        <w:pStyle w:val="ListParagraph"/>
        <w:numPr>
          <w:ilvl w:val="0"/>
          <w:numId w:val="2"/>
        </w:numPr>
        <w:spacing w:after="60"/>
      </w:pPr>
      <w:r>
        <w:t xml:space="preserve">cuentas de acceso público fuera de dominios corporativos de IH.</w:t>
      </w:r>
    </w:p>
    <w:p>
      <w:pPr>
        <w:pStyle w:val="Heading1"/>
        <w:spacing w:after="160" w:before="360"/>
      </w:pPr>
      <w:r>
        <w:t xml:space="preserve">21. Modelo de datos (versión actual)</w:t>
      </w:r>
    </w:p>
    <w:p>
      <w:pPr>
        <w:pStyle w:val="ListParagraph"/>
        <w:numPr>
          <w:ilvl w:val="0"/>
          <w:numId w:val="2"/>
        </w:numPr>
        <w:spacing w:after="60"/>
      </w:pPr>
      <w:r>
        <w:t xml:space="preserve">Product / Branch (catalog) — productos y sedes autorizados;</w:t>
      </w:r>
    </w:p>
    <w:p>
      <w:pPr>
        <w:pStyle w:val="ListParagraph"/>
        <w:numPr>
          <w:ilvl w:val="0"/>
          <w:numId w:val="2"/>
        </w:numPr>
        <w:spacing w:after="60"/>
      </w:pPr>
      <w:r>
        <w:t xml:space="preserve">Campaign (campaigns) — campañas con vigencia y copy aprobado;</w:t>
      </w:r>
    </w:p>
    <w:p>
      <w:pPr>
        <w:pStyle w:val="ListParagraph"/>
        <w:numPr>
          <w:ilvl w:val="0"/>
          <w:numId w:val="2"/>
        </w:numPr>
        <w:spacing w:after="60"/>
      </w:pPr>
      <w:r>
        <w:t xml:space="preserve">DesignBrief (briefs) — solicitud guiada, referencia a producto/sede/campaña;</w:t>
      </w:r>
    </w:p>
    <w:p>
      <w:pPr>
        <w:pStyle w:val="ListParagraph"/>
        <w:numPr>
          <w:ilvl w:val="0"/>
          <w:numId w:val="2"/>
        </w:numPr>
        <w:spacing w:after="60"/>
      </w:pPr>
      <w:r>
        <w:t xml:space="preserve">Design / DesignVersion (designs) — pieza y sus versiones numeradas inmutables;</w:t>
      </w:r>
    </w:p>
    <w:p>
      <w:pPr>
        <w:pStyle w:val="ListParagraph"/>
        <w:numPr>
          <w:ilvl w:val="0"/>
          <w:numId w:val="2"/>
        </w:numPr>
        <w:spacing w:after="60"/>
      </w:pPr>
      <w:r>
        <w:t xml:space="preserve">ValidationRun (validations) — corridas de validación por versión de diseño;</w:t>
      </w:r>
    </w:p>
    <w:p>
      <w:pPr>
        <w:pStyle w:val="ListParagraph"/>
        <w:numPr>
          <w:ilvl w:val="0"/>
          <w:numId w:val="2"/>
        </w:numPr>
        <w:spacing w:after="60"/>
      </w:pPr>
      <w:r>
        <w:t xml:space="preserve">OfficialAsset / UploadedLogo / ArtworkReference (assets) — activos oficiales, logos subidos pendientes de aprobación y referencias visuales de inspiración;</w:t>
      </w:r>
    </w:p>
    <w:p>
      <w:pPr>
        <w:pStyle w:val="ListParagraph"/>
        <w:numPr>
          <w:ilvl w:val="0"/>
          <w:numId w:val="2"/>
        </w:numPr>
        <w:spacing w:after="60"/>
      </w:pPr>
      <w:r>
        <w:t xml:space="preserve">BrandGuideline (branding, en base de datos) — sincronizada desde brand/ vía sync_brand_guideline, no es la fuente primaria.</w:t>
      </w:r>
    </w:p>
    <w:p>
      <w:pPr>
        <w:pStyle w:val="Heading1"/>
        <w:spacing w:after="160" w:before="360"/>
      </w:pPr>
      <w:r>
        <w:t xml:space="preserve">22. Ciclo de vida de una pieza</w:t>
      </w:r>
    </w:p>
    <w:p>
      <w:pPr>
        <w:spacing w:after="160"/>
      </w:pPr>
      <w:r>
        <w:rPr>
          <w:b w:val="false"/>
          <w:bCs w:val="false"/>
          <w:i w:val="false"/>
          <w:iCs w:val="false"/>
        </w:rPr>
        <w:t xml:space="preserve">Brief (draft → ready) → Design (draft) → preview genera DesignVersion #1 → self_review (si aplica) → claude-review (pass/needs_changes) → [pendiente: aprobación humana formal] → approved/rejected → archived.</w:t>
      </w:r>
    </w:p>
    <w:p>
      <w:pPr>
        <w:pStyle w:val="Heading1"/>
        <w:spacing w:after="160" w:before="360"/>
      </w:pPr>
      <w:r>
        <w:t xml:space="preserve">23. Testing y control de calidad</w:t>
      </w:r>
    </w:p>
    <w:p>
      <w:pPr>
        <w:spacing w:after="160"/>
      </w:pPr>
      <w:r>
        <w:rPr>
          <w:b w:val="false"/>
          <w:bCs w:val="false"/>
          <w:i w:val="false"/>
          <w:iCs w:val="false"/>
        </w:rPr>
        <w:t xml:space="preserve">Estado real verificado el 2026-08-07: 89 pruebas pasando, ruff limpio, manage.py check limpio, makemigrations --check sin cambios pendientes.</w:t>
      </w:r>
    </w:p>
    <w:p>
      <w:pPr>
        <w:spacing w:after="160"/>
      </w:pPr>
      <w:r>
        <w:rPr>
          <w:b w:val="false"/>
          <w:bCs w:val="false"/>
          <w:i w:val="false"/>
          <w:iCs w:val="false"/>
        </w:rPr>
        <w:t xml:space="preserve">Organizado por área de riesgo (igual que la Sección 25 de IH Connect):</w:t>
      </w:r>
    </w:p>
    <w:p>
      <w:pPr>
        <w:pStyle w:val="ListParagraph"/>
        <w:numPr>
          <w:ilvl w:val="0"/>
          <w:numId w:val="2"/>
        </w:numPr>
        <w:spacing w:after="60"/>
      </w:pPr>
      <w:r>
        <w:t xml:space="preserve">tokens y colores por producto — duplicados, conflictos entre fuentes, generación reproducible;</w:t>
      </w:r>
    </w:p>
    <w:p>
      <w:pPr>
        <w:pStyle w:val="ListParagraph"/>
        <w:numPr>
          <w:ilvl w:val="0"/>
          <w:numId w:val="2"/>
        </w:numPr>
        <w:spacing w:after="60"/>
      </w:pPr>
      <w:r>
        <w:t xml:space="preserve">catálogo de productos — slugs únicos, referencias cruzadas válidas a logos/pilares/países;</w:t>
      </w:r>
    </w:p>
    <w:p>
      <w:pPr>
        <w:pStyle w:val="ListParagraph"/>
        <w:numPr>
          <w:ilvl w:val="0"/>
          <w:numId w:val="2"/>
        </w:numPr>
        <w:spacing w:after="60"/>
      </w:pPr>
      <w:r>
        <w:t xml:space="preserve">conocimiento visual — 454 assets sin duplicados, enlaces de Drive preservados, reproducibilidad de la generación, overrides referencian ids reales;</w:t>
      </w:r>
    </w:p>
    <w:p>
      <w:pPr>
        <w:pStyle w:val="ListParagraph"/>
        <w:numPr>
          <w:ilvl w:val="0"/>
          <w:numId w:val="2"/>
        </w:numPr>
        <w:spacing w:after="60"/>
      </w:pPr>
      <w:r>
        <w:t xml:space="preserve">endpoint de conocimiento — filtros por producto, país, calendario, pilar, orientación, tag;</w:t>
      </w:r>
    </w:p>
    <w:p>
      <w:pPr>
        <w:pStyle w:val="ListParagraph"/>
        <w:numPr>
          <w:ilvl w:val="0"/>
          <w:numId w:val="2"/>
        </w:numPr>
        <w:spacing w:after="60"/>
      </w:pPr>
      <w:r>
        <w:t xml:space="preserve">backend consumidor — branding.services.loader y validators contra brand/.</w:t>
      </w:r>
    </w:p>
    <w:p>
      <w:pPr>
        <w:spacing w:after="160"/>
      </w:pPr>
      <w:r>
        <w:rPr>
          <w:b w:val="false"/>
          <w:bCs w:val="false"/>
          <w:i w:val="false"/>
          <w:iCs w:val="false"/>
        </w:rPr>
        <w:t xml:space="preserve">Ausente frente al estándar de IH Connect: pruebas de concurrencia (relevantes si en el futuro hay cupos/registro), pruebas de seguridad explícitas, checklist de accesibilidad/móvil.</w:t>
      </w:r>
    </w:p>
    <w:p>
      <w:pPr>
        <w:pStyle w:val="Heading1"/>
        <w:spacing w:after="160" w:before="360"/>
      </w:pPr>
      <w:r>
        <w:t xml:space="preserve">24. Roadmap de desarrollo por fases</w:t>
      </w:r>
    </w:p>
    <w:p>
      <w:pPr>
        <w:spacing w:after="160"/>
      </w:pPr>
      <w:r>
        <w:rPr>
          <w:b w:val="false"/>
          <w:bCs w:val="false"/>
          <w:i w:val="false"/>
          <w:iCs w:val="false"/>
        </w:rPr>
        <w:t xml:space="preserve">Reutiliza y detalla el ROADMAP.md existente:</w:t>
      </w:r>
    </w:p>
    <w:p>
      <w:pPr>
        <w:pStyle w:val="Heading2"/>
        <w:spacing w:after="120" w:before="240"/>
      </w:pPr>
      <w:r>
        <w:t xml:space="preserve">Fase 1 — Fundación (completada / en curso)</w:t>
      </w:r>
    </w:p>
    <w:p>
      <w:pPr>
        <w:pStyle w:val="ListParagraph"/>
        <w:numPr>
          <w:ilvl w:val="0"/>
          <w:numId w:val="2"/>
        </w:numPr>
        <w:spacing w:after="60"/>
      </w:pPr>
      <w:r>
        <w:t xml:space="preserve">API Django/DRF modular</w:t>
      </w:r>
    </w:p>
    <w:p>
      <w:pPr>
        <w:pStyle w:val="ListParagraph"/>
        <w:numPr>
          <w:ilvl w:val="0"/>
          <w:numId w:val="2"/>
        </w:numPr>
        <w:spacing w:after="60"/>
      </w:pPr>
      <w:r>
        <w:t xml:space="preserve">contrato JSON Schema para briefs</w:t>
      </w:r>
    </w:p>
    <w:p>
      <w:pPr>
        <w:pStyle w:val="ListParagraph"/>
        <w:numPr>
          <w:ilvl w:val="0"/>
          <w:numId w:val="2"/>
        </w:numPr>
        <w:spacing w:after="60"/>
      </w:pPr>
      <w:r>
        <w:t xml:space="preserve">modelos de catálogo, campañas, diseños, activos y validaciones</w:t>
      </w:r>
    </w:p>
    <w:p>
      <w:pPr>
        <w:pStyle w:val="ListParagraph"/>
        <w:numPr>
          <w:ilvl w:val="0"/>
          <w:numId w:val="2"/>
        </w:numPr>
        <w:spacing w:after="60"/>
      </w:pPr>
      <w:r>
        <w:t xml:space="preserve">interfaz de proveedor IA con adaptador OpenAI</w:t>
      </w:r>
    </w:p>
    <w:p>
      <w:pPr>
        <w:pStyle w:val="ListParagraph"/>
        <w:numPr>
          <w:ilvl w:val="0"/>
          <w:numId w:val="2"/>
        </w:numPr>
        <w:spacing w:after="60"/>
      </w:pPr>
      <w:r>
        <w:t xml:space="preserve">health check, pruebas y CI</w:t>
      </w:r>
    </w:p>
    <w:p>
      <w:pPr>
        <w:pStyle w:val="Heading2"/>
        <w:spacing w:after="120" w:before="240"/>
      </w:pPr>
      <w:r>
        <w:t xml:space="preserve">Fase 2 — Composición controlada (en curso)</w:t>
      </w:r>
    </w:p>
    <w:p>
      <w:pPr>
        <w:pStyle w:val="ListParagraph"/>
        <w:numPr>
          <w:ilvl w:val="0"/>
          <w:numId w:val="2"/>
        </w:numPr>
        <w:spacing w:after="60"/>
      </w:pPr>
      <w:r>
        <w:t xml:space="preserve">biblioteca de plantillas HTML/SVG versionadas (square-v1 implementado)</w:t>
      </w:r>
    </w:p>
    <w:p>
      <w:pPr>
        <w:pStyle w:val="ListParagraph"/>
        <w:numPr>
          <w:ilvl w:val="0"/>
          <w:numId w:val="2"/>
        </w:numPr>
        <w:spacing w:after="60"/>
      </w:pPr>
      <w:r>
        <w:t xml:space="preserve">renderizador de formatos 1080px y previsualización (implementado)</w:t>
      </w:r>
    </w:p>
    <w:p>
      <w:pPr>
        <w:pStyle w:val="ListParagraph"/>
        <w:numPr>
          <w:ilvl w:val="0"/>
          <w:numId w:val="2"/>
        </w:numPr>
        <w:spacing w:after="60"/>
      </w:pPr>
      <w:r>
        <w:t xml:space="preserve">verificación automática de zona de seguridad, legibilidad y campos críticos</w:t>
      </w:r>
    </w:p>
    <w:p>
      <w:pPr>
        <w:pStyle w:val="ListParagraph"/>
        <w:numPr>
          <w:ilvl w:val="0"/>
          <w:numId w:val="2"/>
        </w:numPr>
        <w:spacing w:after="60"/>
      </w:pPr>
      <w:r>
        <w:t xml:space="preserve">templates adicionales para story y portrait (pendiente)</w:t>
      </w:r>
    </w:p>
    <w:p>
      <w:pPr>
        <w:pStyle w:val="Heading2"/>
        <w:spacing w:after="120" w:before="240"/>
      </w:pPr>
      <w:r>
        <w:t xml:space="preserve">Fase 3 — Revisión y operación (pendiente)</w:t>
      </w:r>
    </w:p>
    <w:p>
      <w:pPr>
        <w:pStyle w:val="ListParagraph"/>
        <w:numPr>
          <w:ilvl w:val="0"/>
          <w:numId w:val="2"/>
        </w:numPr>
        <w:spacing w:after="60"/>
      </w:pPr>
      <w:r>
        <w:t xml:space="preserve">autenticación corporativa y roles (parcialmente implementado)</w:t>
      </w:r>
    </w:p>
    <w:p>
      <w:pPr>
        <w:pStyle w:val="ListParagraph"/>
        <w:numPr>
          <w:ilvl w:val="0"/>
          <w:numId w:val="2"/>
        </w:numPr>
        <w:spacing w:after="60"/>
      </w:pPr>
      <w:r>
        <w:t xml:space="preserve">flujo de revisión/aprobación con comentarios persistidos (pendiente)</w:t>
      </w:r>
    </w:p>
    <w:p>
      <w:pPr>
        <w:pStyle w:val="ListParagraph"/>
        <w:numPr>
          <w:ilvl w:val="0"/>
          <w:numId w:val="2"/>
        </w:numPr>
        <w:spacing w:after="60"/>
      </w:pPr>
      <w:r>
        <w:t xml:space="preserve">historial visible y exportación para redes/WhatsApp (pendiente)</w:t>
      </w:r>
    </w:p>
    <w:p>
      <w:pPr>
        <w:pStyle w:val="Heading2"/>
        <w:spacing w:after="120" w:before="240"/>
      </w:pPr>
      <w:r>
        <w:t xml:space="preserve">Fase 4 — Inteligencia aplicada (pendiente)</w:t>
      </w:r>
    </w:p>
    <w:p>
      <w:pPr>
        <w:pStyle w:val="ListParagraph"/>
        <w:numPr>
          <w:ilvl w:val="0"/>
          <w:numId w:val="2"/>
        </w:numPr>
        <w:spacing w:after="60"/>
      </w:pPr>
      <w:r>
        <w:t xml:space="preserve">generación de copy basada exclusivamente en datos autorizados</w:t>
      </w:r>
    </w:p>
    <w:p>
      <w:pPr>
        <w:pStyle w:val="ListParagraph"/>
        <w:numPr>
          <w:ilvl w:val="0"/>
          <w:numId w:val="2"/>
        </w:numPr>
        <w:spacing w:after="60"/>
      </w:pPr>
      <w:r>
        <w:t xml:space="preserve">evaluación de calidad y trazabilidad de prompts/respuestas</w:t>
      </w:r>
    </w:p>
    <w:p>
      <w:pPr>
        <w:pStyle w:val="ListParagraph"/>
        <w:numPr>
          <w:ilvl w:val="0"/>
          <w:numId w:val="2"/>
        </w:numPr>
        <w:spacing w:after="60"/>
      </w:pPr>
      <w:r>
        <w:t xml:space="preserve">segundo proveedor compatible con la interfaz, solo después de validar necesidad</w:t>
      </w:r>
    </w:p>
    <w:p>
      <w:pPr>
        <w:pStyle w:val="Heading1"/>
        <w:spacing w:after="160" w:before="360"/>
      </w:pPr>
      <w:r>
        <w:t xml:space="preserve">25. Cronograma de etapas detallado (propuesto) y checkpoint go/no-go</w:t>
      </w:r>
    </w:p>
    <w:p>
      <w:pPr>
        <w:spacing w:after="200"/>
      </w:pPr>
      <w:r>
        <w:rPr>
          <w:i/>
          <w:iCs/>
          <w:color w:val="6B7280"/>
        </w:rPr>
        <w:t xml:space="preserve">Propuesta — IH Connect fija fechas de calendario reales porque tiene un piloto con escuelas externas y una fecha límite (octubre 2026). IH Design Platform no tiene esa presión externa, así que aquí se proponen etapas por dependencia lógica, no por fecha, salvo que Axel prefiera fijar fechas.</w:t>
      </w:r>
    </w:p>
    <w:p>
      <w:pPr>
        <w:pStyle w:val="ListParagraph"/>
        <w:numPr>
          <w:ilvl w:val="0"/>
          <w:numId w:val="2"/>
        </w:numPr>
        <w:spacing w:after="60"/>
      </w:pPr>
      <w:r>
        <w:t xml:space="preserve">Etapa A — cerrar Fase 2: templates story/portrait, verificación automática de zona de seguridad y legibilidad;</w:t>
      </w:r>
    </w:p>
    <w:p>
      <w:pPr>
        <w:pStyle w:val="ListParagraph"/>
        <w:numPr>
          <w:ilvl w:val="0"/>
          <w:numId w:val="2"/>
        </w:numPr>
        <w:spacing w:after="60"/>
      </w:pPr>
      <w:r>
        <w:t xml:space="preserve">Etapa B — activar Postgres/Redis reales en un entorno desplegado (hoy solo local);</w:t>
      </w:r>
    </w:p>
    <w:p>
      <w:pPr>
        <w:pStyle w:val="ListParagraph"/>
        <w:numPr>
          <w:ilvl w:val="0"/>
          <w:numId w:val="2"/>
        </w:numPr>
        <w:spacing w:after="60"/>
      </w:pPr>
      <w:r>
        <w:t xml:space="preserve">Etapa C — flujo de aprobación humana formal con comentarios persistidos, reemplazando la dependencia del lote de 50 self_review;</w:t>
      </w:r>
    </w:p>
    <w:p>
      <w:pPr>
        <w:pStyle w:val="ListParagraph"/>
        <w:numPr>
          <w:ilvl w:val="0"/>
          <w:numId w:val="2"/>
        </w:numPr>
        <w:spacing w:after="60"/>
      </w:pPr>
      <w:r>
        <w:t xml:space="preserve">Etapa D — exportación a redes/WhatsApp;</w:t>
      </w:r>
    </w:p>
    <w:p>
      <w:pPr>
        <w:pStyle w:val="ListParagraph"/>
        <w:numPr>
          <w:ilvl w:val="0"/>
          <w:numId w:val="2"/>
        </w:numPr>
        <w:spacing w:after="60"/>
      </w:pPr>
      <w:r>
        <w:t xml:space="preserve">Checkpoint go/no-go recomendado: al completar el lote de 50 piezas de prueba (DESIGN_TEST_LIMIT), decidir explícitamente si se activa el flujo de aprobación formal o si se amplía el lote de auto-revisión — decisión pre-acordada, no tomada bajo presión.</w:t>
      </w:r>
    </w:p>
    <w:p>
      <w:pPr>
        <w:pStyle w:val="Heading1"/>
        <w:spacing w:after="160" w:before="360"/>
      </w:pPr>
      <w:r>
        <w:t xml:space="preserve">26. Criterios de aceptación por milestone (propuestos)</w:t>
      </w:r>
    </w:p>
    <w:p>
      <w:pPr>
        <w:pStyle w:val="Heading2"/>
        <w:spacing w:after="120" w:before="240"/>
      </w:pPr>
      <w:r>
        <w:t xml:space="preserve">M1 — Composición controlada</w:t>
      </w:r>
    </w:p>
    <w:p>
      <w:pPr>
        <w:pStyle w:val="ListParagraph"/>
        <w:numPr>
          <w:ilvl w:val="0"/>
          <w:numId w:val="2"/>
        </w:numPr>
        <w:spacing w:after="60"/>
      </w:pPr>
      <w:r>
        <w:t xml:space="preserve">brief válido genera preview HTML+SVG sin intervención manual</w:t>
      </w:r>
    </w:p>
    <w:p>
      <w:pPr>
        <w:pStyle w:val="ListParagraph"/>
        <w:numPr>
          <w:ilvl w:val="0"/>
          <w:numId w:val="2"/>
        </w:numPr>
        <w:spacing w:after="60"/>
      </w:pPr>
      <w:r>
        <w:t xml:space="preserve">colores/logos/texto crítico fuera de tokens son rechazados automáticamente</w:t>
      </w:r>
    </w:p>
    <w:p>
      <w:pPr>
        <w:pStyle w:val="ListParagraph"/>
        <w:numPr>
          <w:ilvl w:val="0"/>
          <w:numId w:val="2"/>
        </w:numPr>
        <w:spacing w:after="60"/>
      </w:pPr>
      <w:r>
        <w:t xml:space="preserve">story y portrait renderizan igual de bien que square-v1</w:t>
      </w:r>
    </w:p>
    <w:p>
      <w:pPr>
        <w:pStyle w:val="Heading2"/>
        <w:spacing w:after="120" w:before="240"/>
      </w:pPr>
      <w:r>
        <w:t xml:space="preserve">M2 — Conocimiento de marca</w:t>
      </w:r>
    </w:p>
    <w:p>
      <w:pPr>
        <w:pStyle w:val="ListParagraph"/>
        <w:numPr>
          <w:ilvl w:val="0"/>
          <w:numId w:val="2"/>
        </w:numPr>
        <w:spacing w:after="60"/>
      </w:pPr>
      <w:r>
        <w:t xml:space="preserve">catálogo de productos y conocimiento visual reproducibles desde sus fuentes YAML (--check en verde)</w:t>
      </w:r>
    </w:p>
    <w:p>
      <w:pPr>
        <w:pStyle w:val="ListParagraph"/>
        <w:numPr>
          <w:ilvl w:val="0"/>
          <w:numId w:val="2"/>
        </w:numPr>
        <w:spacing w:after="60"/>
      </w:pPr>
      <w:r>
        <w:t xml:space="preserve">ningún dato de marca sin fuente citada o marcado pendiente explícitamente</w:t>
      </w:r>
    </w:p>
    <w:p>
      <w:pPr>
        <w:pStyle w:val="Heading2"/>
        <w:spacing w:after="120" w:before="240"/>
      </w:pPr>
      <w:r>
        <w:t xml:space="preserve">M3 — Revisión y operación</w:t>
      </w:r>
    </w:p>
    <w:p>
      <w:pPr>
        <w:pStyle w:val="ListParagraph"/>
        <w:numPr>
          <w:ilvl w:val="0"/>
          <w:numId w:val="2"/>
        </w:numPr>
        <w:spacing w:after="60"/>
      </w:pPr>
      <w:r>
        <w:t xml:space="preserve">flujo de aprobación humana con comentarios persistidos reemplaza self_review</w:t>
      </w:r>
    </w:p>
    <w:p>
      <w:pPr>
        <w:pStyle w:val="ListParagraph"/>
        <w:numPr>
          <w:ilvl w:val="0"/>
          <w:numId w:val="2"/>
        </w:numPr>
        <w:spacing w:after="60"/>
      </w:pPr>
      <w:r>
        <w:t xml:space="preserve">historial de versiones visible y exportable</w:t>
      </w:r>
    </w:p>
    <w:p>
      <w:pPr>
        <w:pStyle w:val="Heading1"/>
        <w:spacing w:after="160" w:before="360"/>
      </w:pPr>
      <w:r>
        <w:t xml:space="preserve">27. Lecciones ya aplicadas en este proyecto</w:t>
      </w:r>
    </w:p>
    <w:p>
      <w:pPr>
        <w:spacing w:after="160"/>
      </w:pPr>
      <w:r>
        <w:rPr>
          <w:b w:val="false"/>
          <w:bCs w:val="false"/>
          <w:i w:val="false"/>
          <w:iCs w:val="false"/>
        </w:rPr>
        <w:t xml:space="preserve">Equivalente a la Sección 29 de IH Connect, pero con lecciones reales de esta misma construcción, no importadas de otro proyecto:</w:t>
      </w:r>
    </w:p>
    <w:p>
      <w:pPr>
        <w:pStyle w:val="ListParagraph"/>
        <w:numPr>
          <w:ilvl w:val="0"/>
          <w:numId w:val="2"/>
        </w:numPr>
        <w:spacing w:after="60"/>
      </w:pPr>
      <w:r>
        <w:t xml:space="preserve">no inventar reglas de marca: cada color/regla cita su documento fuente o se marca pendiente (aplicado en cada archivo de brand/);</w:t>
      </w:r>
    </w:p>
    <w:p>
      <w:pPr>
        <w:pStyle w:val="ListParagraph"/>
        <w:numPr>
          <w:ilvl w:val="0"/>
          <w:numId w:val="2"/>
        </w:numPr>
        <w:spacing w:after="60"/>
      </w:pPr>
      <w:r>
        <w:t xml:space="preserve">separar hechos crawleados de anotaciones curadas: manifest.yaml (hechos técnicos) vs. artwork-annotations.yaml (juicio humano/curado), fusionados solo al generar (evita que una corrección se pierda al re-crawlear Drive);</w:t>
      </w:r>
    </w:p>
    <w:p>
      <w:pPr>
        <w:pStyle w:val="ListParagraph"/>
        <w:numPr>
          <w:ilvl w:val="0"/>
          <w:numId w:val="2"/>
        </w:numPr>
        <w:spacing w:after="60"/>
      </w:pPr>
      <w:r>
        <w:t xml:space="preserve">nunca editar a mano un archivo generado: todo JSON generado se regenera desde su YAML fuente vía script con bandera --check;</w:t>
      </w:r>
    </w:p>
    <w:p>
      <w:pPr>
        <w:pStyle w:val="ListParagraph"/>
        <w:numPr>
          <w:ilvl w:val="0"/>
          <w:numId w:val="2"/>
        </w:numPr>
        <w:spacing w:after="60"/>
      </w:pPr>
      <w:r>
        <w:t xml:space="preserve">tratar el lenguaje del cliente con precisión: cuando el cliente dice “seguramente” en vez de confirmar, needs_review se mantiene en true — no se trata como confirmación cerrada;</w:t>
      </w:r>
    </w:p>
    <w:p>
      <w:pPr>
        <w:pStyle w:val="ListParagraph"/>
        <w:numPr>
          <w:ilvl w:val="0"/>
          <w:numId w:val="2"/>
        </w:numPr>
        <w:spacing w:after="60"/>
      </w:pPr>
      <w:r>
        <w:t xml:space="preserve">revisar la salida de IA (Codex y Claude) como cualquier otro cambio: ejecutar ruff, manage.py check y pytest antes de cada cambio estructural, ya mandatado en AGENTS.md.</w:t>
      </w:r>
    </w:p>
    <w:p>
      <w:pPr>
        <w:pStyle w:val="Heading1"/>
        <w:spacing w:after="160" w:before="360"/>
      </w:pPr>
      <w:r>
        <w:t xml:space="preserve">28. Estructura de documentación</w:t>
      </w:r>
    </w:p>
    <w:p>
      <w:pPr>
        <w:spacing w:after="160"/>
      </w:pPr>
      <w:r>
        <w:rPr>
          <w:b w:val="false"/>
          <w:bCs w:val="false"/>
          <w:i w:val="false"/>
          <w:iCs w:val="false"/>
        </w:rPr>
        <w:t xml:space="preserve">Ya existente:</w:t>
      </w:r>
    </w:p>
    <w:p>
      <w:pPr>
        <w:pStyle w:val="ListParagraph"/>
        <w:numPr>
          <w:ilvl w:val="0"/>
          <w:numId w:val="2"/>
        </w:numPr>
        <w:spacing w:after="60"/>
      </w:pPr>
      <w:r>
        <w:t xml:space="preserve">README.md, PROJECT.md, ROADMAP.md, TASKS.md, DECISIONS.md, AGENTS.md (raíz)</w:t>
      </w:r>
    </w:p>
    <w:p>
      <w:pPr>
        <w:pStyle w:val="ListParagraph"/>
        <w:numPr>
          <w:ilvl w:val="0"/>
          <w:numId w:val="2"/>
        </w:numPr>
        <w:spacing w:after="60"/>
      </w:pPr>
      <w:r>
        <w:t xml:space="preserve">docs/architecture.md</w:t>
      </w:r>
    </w:p>
    <w:p>
      <w:pPr>
        <w:pStyle w:val="ListParagraph"/>
        <w:numPr>
          <w:ilvl w:val="0"/>
          <w:numId w:val="2"/>
        </w:numPr>
        <w:spacing w:after="60"/>
      </w:pPr>
      <w:r>
        <w:t xml:space="preserve">brand/README.md, brand/knowledge/README.md, brand/assets/logos/README.md, brand/assets/fonts/README.md</w:t>
      </w:r>
    </w:p>
    <w:p>
      <w:pPr>
        <w:pStyle w:val="ListParagraph"/>
        <w:numPr>
          <w:ilvl w:val="0"/>
          <w:numId w:val="2"/>
        </w:numPr>
        <w:spacing w:after="60"/>
      </w:pPr>
      <w:r>
        <w:t xml:space="preserve">frontend/README.md</w:t>
      </w:r>
    </w:p>
    <w:p>
      <w:pPr>
        <w:pStyle w:val="ListParagraph"/>
        <w:numPr>
          <w:ilvl w:val="0"/>
          <w:numId w:val="2"/>
        </w:numPr>
        <w:spacing w:after="60"/>
      </w:pPr>
      <w:r>
        <w:t xml:space="preserve">HANDOFF_BRAND_SYSTEM.md (para sincronizar contexto entre Claude y Codex)</w:t>
      </w:r>
    </w:p>
    <w:p>
      <w:pPr>
        <w:spacing w:after="160"/>
      </w:pPr>
      <w:r>
        <w:rPr>
          <w:b w:val="false"/>
          <w:bCs w:val="false"/>
          <w:i w:val="false"/>
          <w:iCs w:val="false"/>
        </w:rPr>
        <w:t xml:space="preserve">Ausente frente a la estructura de IH Connect (Sección 30): docs/security/, docs/operations/, docs/testing/ — hoy la documentación de seguridad y operación vive dispersa en README/AGENTS.md en vez de en su propia carpeta.</w:t>
      </w:r>
    </w:p>
    <w:p>
      <w:pPr>
        <w:pStyle w:val="Heading1"/>
        <w:spacing w:after="160" w:before="360"/>
      </w:pPr>
      <w:r>
        <w:t xml:space="preserve">29. Método de trabajo con Codex y Claude</w:t>
      </w:r>
    </w:p>
    <w:p>
      <w:pPr>
        <w:spacing w:after="160"/>
      </w:pPr>
      <w:r>
        <w:rPr>
          <w:b w:val="false"/>
          <w:bCs w:val="false"/>
          <w:i w:val="false"/>
          <w:iCs w:val="false"/>
        </w:rPr>
        <w:t xml:space="preserve">Adoptando explícitamente el método de la Sección 31 de IH Connect, adaptado a dos agentes en vez de uno:</w:t>
      </w:r>
    </w:p>
    <w:p>
      <w:pPr>
        <w:pStyle w:val="ListParagraph"/>
        <w:numPr>
          <w:ilvl w:val="0"/>
          <w:numId w:val="2"/>
        </w:numPr>
        <w:spacing w:after="60"/>
      </w:pPr>
      <w:r>
        <w:t xml:space="preserve">cada tarea para Codex o Claude debe ser un corte vertical acotado, nunca “construye el sistema de aprobación”;</w:t>
      </w:r>
    </w:p>
    <w:p>
      <w:pPr>
        <w:pStyle w:val="ListParagraph"/>
        <w:numPr>
          <w:ilvl w:val="0"/>
          <w:numId w:val="2"/>
        </w:numPr>
        <w:spacing w:after="60"/>
      </w:pPr>
      <w:r>
        <w:t xml:space="preserve">cada tarea debe declarar: objetivo, alcance, archivos/módulos probablemente involucrados, cambios de modelo de datos, permisos requeridos, pruebas requeridas, actualizaciones de documentación requeridas, exclusiones explícitas;</w:t>
      </w:r>
    </w:p>
    <w:p>
      <w:pPr>
        <w:pStyle w:val="ListParagraph"/>
        <w:numPr>
          <w:ilvl w:val="0"/>
          <w:numId w:val="2"/>
        </w:numPr>
        <w:spacing w:after="60"/>
      </w:pPr>
      <w:r>
        <w:t xml:space="preserve">cada entrega debe terminar con: resumen de cambios, migraciones agregadas, pruebas corridas, limitaciones conocidas, archivos modificados;</w:t>
      </w:r>
    </w:p>
    <w:p>
      <w:pPr>
        <w:pStyle w:val="ListParagraph"/>
        <w:numPr>
          <w:ilvl w:val="0"/>
          <w:numId w:val="2"/>
        </w:numPr>
        <w:spacing w:after="60"/>
      </w:pPr>
      <w:r>
        <w:t xml:space="preserve">división de responsabilidad recomendada (a confirmar con Codex): Codex sobre backend/, migraciones, endpoints y frontend estático; Claude sobre brand/, brand/knowledge/, documentación y curación de datos de marca — evitando que ambos editen el mismo archivo en la misma ventana de tiempo;</w:t>
      </w:r>
    </w:p>
    <w:p>
      <w:pPr>
        <w:pStyle w:val="ListParagraph"/>
        <w:numPr>
          <w:ilvl w:val="0"/>
          <w:numId w:val="2"/>
        </w:numPr>
        <w:spacing w:after="60"/>
      </w:pPr>
      <w:r>
        <w:t xml:space="preserve">cualquier cambio que toque ambos dominios (p. ej. el endpoint de conocimiento visual, ya construido por Codex sobre datos de Claude) se coordina explícitamente antes de empezar, no se descubre después.</w:t>
      </w:r>
    </w:p>
    <w:p>
      <w:pPr>
        <w:pStyle w:val="Heading1"/>
        <w:spacing w:after="160" w:before="360"/>
      </w:pPr>
      <w:r>
        <w:t xml:space="preserve">30. Definición de “terminado” por fase</w:t>
      </w:r>
    </w:p>
    <w:p>
      <w:pPr>
        <w:spacing w:after="160"/>
      </w:pPr>
      <w:r>
        <w:rPr>
          <w:b w:val="false"/>
          <w:bCs w:val="false"/>
          <w:i w:val="false"/>
          <w:iCs w:val="false"/>
        </w:rPr>
        <w:t xml:space="preserve">Una fase no está terminada a menos que:</w:t>
      </w:r>
    </w:p>
    <w:p>
      <w:pPr>
        <w:pStyle w:val="ListParagraph"/>
        <w:numPr>
          <w:ilvl w:val="0"/>
          <w:numId w:val="2"/>
        </w:numPr>
        <w:spacing w:after="60"/>
      </w:pPr>
      <w:r>
        <w:t xml:space="preserve">existe validación de backend (no solo frontend);</w:t>
      </w:r>
    </w:p>
    <w:p>
      <w:pPr>
        <w:pStyle w:val="ListParagraph"/>
        <w:numPr>
          <w:ilvl w:val="0"/>
          <w:numId w:val="2"/>
        </w:numPr>
        <w:spacing w:after="60"/>
      </w:pPr>
      <w:r>
        <w:t xml:space="preserve">los permisos se aplican en el backend, no solo se ocultan en la UI;</w:t>
      </w:r>
    </w:p>
    <w:p>
      <w:pPr>
        <w:pStyle w:val="ListParagraph"/>
        <w:numPr>
          <w:ilvl w:val="0"/>
          <w:numId w:val="2"/>
        </w:numPr>
        <w:spacing w:after="60"/>
      </w:pPr>
      <w:r>
        <w:t xml:space="preserve">hay pruebas nuevas o actualizadas y todas pasan;</w:t>
      </w:r>
    </w:p>
    <w:p>
      <w:pPr>
        <w:pStyle w:val="ListParagraph"/>
        <w:numPr>
          <w:ilvl w:val="0"/>
          <w:numId w:val="2"/>
        </w:numPr>
        <w:spacing w:after="60"/>
      </w:pPr>
      <w:r>
        <w:t xml:space="preserve">ruff check ., manage.py check y makemigrations --check están en verde;</w:t>
      </w:r>
    </w:p>
    <w:p>
      <w:pPr>
        <w:pStyle w:val="ListParagraph"/>
        <w:numPr>
          <w:ilvl w:val="0"/>
          <w:numId w:val="2"/>
        </w:numPr>
        <w:spacing w:after="60"/>
      </w:pPr>
      <w:r>
        <w:t xml:space="preserve">no se introdujo ningún dato comercial inventado (precio, fecha, sede, CTA);</w:t>
      </w:r>
    </w:p>
    <w:p>
      <w:pPr>
        <w:pStyle w:val="ListParagraph"/>
        <w:numPr>
          <w:ilvl w:val="0"/>
          <w:numId w:val="2"/>
        </w:numPr>
        <w:spacing w:after="60"/>
      </w:pPr>
      <w:r>
        <w:t xml:space="preserve">ninguna regla de marca se infirió sin fuente — lo no confirmado quedó marcado como tal;</w:t>
      </w:r>
    </w:p>
    <w:p>
      <w:pPr>
        <w:pStyle w:val="ListParagraph"/>
        <w:numPr>
          <w:ilvl w:val="0"/>
          <w:numId w:val="2"/>
        </w:numPr>
        <w:spacing w:after="60"/>
      </w:pPr>
      <w:r>
        <w:t xml:space="preserve">TASKS.md y DECISIONS.md se actualizaron si cambió el alcance o la arquitectura (ya mandatado en AGENTS.md);</w:t>
      </w:r>
    </w:p>
    <w:p>
      <w:pPr>
        <w:pStyle w:val="ListParagraph"/>
        <w:numPr>
          <w:ilvl w:val="0"/>
          <w:numId w:val="2"/>
        </w:numPr>
        <w:spacing w:after="60"/>
      </w:pPr>
      <w:r>
        <w:t xml:space="preserve">la documentación relevante se actualizó;</w:t>
      </w:r>
    </w:p>
    <w:p>
      <w:pPr>
        <w:pStyle w:val="ListParagraph"/>
        <w:numPr>
          <w:ilvl w:val="0"/>
          <w:numId w:val="2"/>
        </w:numPr>
        <w:spacing w:after="60"/>
      </w:pPr>
      <w:r>
        <w:t xml:space="preserve">no se expusieron secretos ni credenciales.</w:t>
      </w:r>
    </w:p>
    <w:p>
      <w:pPr>
        <w:pStyle w:val="Heading1"/>
        <w:spacing w:after="160" w:before="360"/>
      </w:pPr>
      <w:r>
        <w:t xml:space="preserve">31. Riesgos probables</w:t>
      </w:r>
    </w:p>
    <w:p>
      <w:pPr>
        <w:pStyle w:val="Heading2"/>
        <w:spacing w:after="120" w:before="240"/>
      </w:pPr>
      <w:r>
        <w:t xml:space="preserve">31.1 Propiedad del repositorio (riesgo de continuidad)</w:t>
      </w:r>
    </w:p>
    <w:p>
      <w:pPr>
        <w:spacing w:after="160"/>
      </w:pPr>
      <w:r>
        <w:rPr>
          <w:b w:val="false"/>
          <w:bCs w:val="false"/>
          <w:i w:val="false"/>
          <w:iCs w:val="false"/>
        </w:rPr>
        <w:t xml:space="preserve">El repositorio vive bajo la cuenta personal de GitHub axelest10, no bajo una organización de IH México — el mismo riesgo de “key-person and continuity” que IH Connect nombra explícitamente en su Sección 33.9. Mitigación: transferir a una organización institucional cuando exista.</w:t>
      </w:r>
    </w:p>
    <w:p>
      <w:pPr>
        <w:pStyle w:val="Heading2"/>
        <w:spacing w:after="120" w:before="240"/>
      </w:pPr>
      <w:r>
        <w:t xml:space="preserve">31.2 Coordinación entre dos agentes de IA</w:t>
      </w:r>
    </w:p>
    <w:p>
      <w:pPr>
        <w:spacing w:after="160"/>
      </w:pPr>
      <w:r>
        <w:rPr>
          <w:b w:val="false"/>
          <w:bCs w:val="false"/>
          <w:i w:val="false"/>
          <w:iCs w:val="false"/>
        </w:rPr>
        <w:t xml:space="preserve">Codex y Claude ya trabajan en paralelo sobre el mismo repositorio sin un protocolo explícito de qué archivos toca cada uno. Mitigación: la división de responsabilidad propuesta en la Sección 29, más HANDOFF_BRAND_SYSTEM.md como canal de sincronización.</w:t>
      </w:r>
    </w:p>
    <w:p>
      <w:pPr>
        <w:pStyle w:val="Heading2"/>
        <w:spacing w:after="120" w:before="240"/>
      </w:pPr>
      <w:r>
        <w:t xml:space="preserve">31.3 Reglas de marca aún incompletas</w:t>
      </w:r>
    </w:p>
    <w:p>
      <w:pPr>
        <w:spacing w:after="160"/>
      </w:pPr>
      <w:r>
        <w:rPr>
          <w:b w:val="false"/>
          <w:bCs w:val="false"/>
          <w:i w:val="false"/>
          <w:iCs w:val="false"/>
        </w:rPr>
        <w:t xml:space="preserve">Licencia de Aptos, tamaño mínimo de logo formal, variantes de logo faltantes (white-reversed, dual-branding), y el alcance real de productos como QC y TEA siguen pendientes de confirmación del cliente. Mitigación: cada uno queda marcado needs_confirmation en vez de asumirse resuelto.</w:t>
      </w:r>
    </w:p>
    <w:p>
      <w:pPr>
        <w:pStyle w:val="Heading2"/>
        <w:spacing w:after="120" w:before="240"/>
      </w:pPr>
      <w:r>
        <w:t xml:space="preserve">31.4 Ausencia de decisión de hosting</w:t>
      </w:r>
    </w:p>
    <w:p>
      <w:pPr>
        <w:spacing w:after="160"/>
      </w:pPr>
      <w:r>
        <w:rPr>
          <w:b w:val="false"/>
          <w:bCs w:val="false"/>
          <w:i w:val="false"/>
          <w:iCs w:val="false"/>
        </w:rPr>
        <w:t xml:space="preserve">No hay entorno de producción, solo desarrollo local. Mitigación: decidir hosting antes de que el lote de 50 piezas de prueba se considere “listo para producción”.</w:t>
      </w:r>
    </w:p>
    <w:p>
      <w:pPr>
        <w:pStyle w:val="Heading2"/>
        <w:spacing w:after="120" w:before="240"/>
      </w:pPr>
      <w:r>
        <w:t xml:space="preserve">31.5 Sobreingeniería (equivalente a “overengineering”)</w:t>
      </w:r>
    </w:p>
    <w:p>
      <w:pPr>
        <w:spacing w:after="160"/>
      </w:pPr>
      <w:r>
        <w:rPr>
          <w:b w:val="false"/>
          <w:bCs w:val="false"/>
          <w:i w:val="false"/>
          <w:iCs w:val="false"/>
        </w:rPr>
        <w:t xml:space="preserve">El modelo ya soporta 8 formatos de pieza y un sistema de conocimiento visual con vocabulario controlado extenso — riesgo real de construir más estructura de la que el volumen actual de uso justifica. Mitigación: priorizar que el flujo square-v1 funcione de extremo a extremo con aprobación humana real antes de construir los formatos restantes.</w:t>
      </w:r>
    </w:p>
    <w:p>
      <w:pPr>
        <w:pStyle w:val="Heading1"/>
        <w:spacing w:after="160" w:before="360"/>
      </w:pPr>
      <w:r>
        <w:t xml:space="preserve">32. Costos esperados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100"/>
      </w:tblGrid>
      <w:tr>
        <w:trPr>
          <w:tblHeader/>
        </w:trPr>
        <w:tc>
          <w:tcPr>
            <w:tcW w:type="dxa" w:w="3000"/>
            <w:shd w:fill="1F2A44" w:val="clear"/>
          </w:tcPr>
          <w:p>
            <w:r>
              <w:rPr>
                <w:b/>
                <w:bCs/>
                <w:color w:val="FFFFFF"/>
                <w:sz w:val="18"/>
                <w:szCs w:val="18"/>
              </w:rPr>
              <w:t xml:space="preserve">Concepto</w:t>
            </w:r>
          </w:p>
        </w:tc>
        <w:tc>
          <w:tcPr>
            <w:tcW w:type="dxa" w:w="2400"/>
            <w:shd w:fill="1F2A44" w:val="clear"/>
          </w:tcPr>
          <w:p>
            <w:r>
              <w:rPr>
                <w:b/>
                <w:bCs/>
                <w:color w:val="FFFFFF"/>
                <w:sz w:val="18"/>
                <w:szCs w:val="18"/>
              </w:rPr>
              <w:t xml:space="preserve">Costo indicativo</w:t>
            </w:r>
          </w:p>
        </w:tc>
        <w:tc>
          <w:tcPr>
            <w:tcW w:type="dxa" w:w="3100"/>
            <w:shd w:fill="1F2A44" w:val="clear"/>
          </w:tcPr>
          <w:p>
            <w:r>
              <w:rPr>
                <w:b/>
                <w:bCs/>
                <w:color w:val="FFFFFF"/>
                <w:sz w:val="18"/>
                <w:szCs w:val="18"/>
              </w:rPr>
              <w:t xml:space="preserve">Nota</w:t>
            </w:r>
          </w:p>
        </w:tc>
      </w:tr>
      <w:tr>
        <w:tc>
          <w:tcPr>
            <w:tcW w:type="dxa" w:w="3000"/>
          </w:tcPr>
          <w:p>
            <w:r>
              <w:rPr>
                <w:b w:val="false"/>
                <w:bCs w:val="false"/>
                <w:color w:val="000000"/>
                <w:sz w:val="17"/>
                <w:szCs w:val="17"/>
              </w:rPr>
              <w:t xml:space="preserve">Hosting de producción</w:t>
            </w:r>
          </w:p>
        </w:tc>
        <w:tc>
          <w:tcPr>
            <w:tcW w:type="dxa" w:w="2400"/>
          </w:tcPr>
          <w:p>
            <w:r>
              <w:rPr>
                <w:b w:val="false"/>
                <w:bCs w:val="false"/>
                <w:color w:val="000000"/>
                <w:sz w:val="17"/>
                <w:szCs w:val="17"/>
              </w:rPr>
              <w:t xml:space="preserve">No determinado</w:t>
            </w:r>
          </w:p>
        </w:tc>
        <w:tc>
          <w:tcPr>
            <w:tcW w:type="dxa" w:w="3100"/>
          </w:tcPr>
          <w:p>
            <w:r>
              <w:rPr>
                <w:b w:val="false"/>
                <w:bCs w:val="false"/>
                <w:color w:val="000000"/>
                <w:sz w:val="17"/>
                <w:szCs w:val="17"/>
              </w:rPr>
              <w:t xml:space="preserve">Sin decisión tomada; hoy solo hay entorno local (SQLite + Docker Compose para Postgres/Redis)</w:t>
            </w:r>
          </w:p>
        </w:tc>
      </w:tr>
      <w:tr>
        <w:tc>
          <w:tcPr>
            <w:tcW w:type="dxa" w:w="3000"/>
          </w:tcPr>
          <w:p>
            <w:r>
              <w:rPr>
                <w:b w:val="false"/>
                <w:bCs w:val="false"/>
                <w:color w:val="000000"/>
                <w:sz w:val="17"/>
                <w:szCs w:val="17"/>
              </w:rPr>
              <w:t xml:space="preserve">Control de versiones: GitHub</w:t>
            </w:r>
          </w:p>
        </w:tc>
        <w:tc>
          <w:tcPr>
            <w:tcW w:type="dxa" w:w="2400"/>
          </w:tcPr>
          <w:p>
            <w:r>
              <w:rPr>
                <w:b w:val="false"/>
                <w:bCs w:val="false"/>
                <w:color w:val="000000"/>
                <w:sz w:val="17"/>
                <w:szCs w:val="17"/>
              </w:rPr>
              <w:t xml:space="preserve">Gratuito (por ahora)</w:t>
            </w:r>
          </w:p>
        </w:tc>
        <w:tc>
          <w:tcPr>
            <w:tcW w:type="dxa" w:w="3100"/>
          </w:tcPr>
          <w:p>
            <w:r>
              <w:rPr>
                <w:b w:val="false"/>
                <w:bCs w:val="false"/>
                <w:color w:val="000000"/>
                <w:sz w:val="17"/>
                <w:szCs w:val="17"/>
              </w:rPr>
              <w:t xml:space="preserve">Cuenta personal axelest10; considerar organización institucional</w:t>
            </w:r>
          </w:p>
        </w:tc>
      </w:tr>
      <w:tr>
        <w:tc>
          <w:tcPr>
            <w:tcW w:type="dxa" w:w="3000"/>
          </w:tcPr>
          <w:p>
            <w:r>
              <w:rPr>
                <w:b w:val="false"/>
                <w:bCs w:val="false"/>
                <w:color w:val="000000"/>
                <w:sz w:val="17"/>
                <w:szCs w:val="17"/>
              </w:rPr>
              <w:t xml:space="preserve">Proveedor de IA: OpenAI</w:t>
            </w:r>
          </w:p>
        </w:tc>
        <w:tc>
          <w:tcPr>
            <w:tcW w:type="dxa" w:w="2400"/>
          </w:tcPr>
          <w:p>
            <w:r>
              <w:rPr>
                <w:b w:val="false"/>
                <w:bCs w:val="false"/>
                <w:color w:val="000000"/>
                <w:sz w:val="17"/>
                <w:szCs w:val="17"/>
              </w:rPr>
              <w:t xml:space="preserve">Variable según uso</w:t>
            </w:r>
          </w:p>
        </w:tc>
        <w:tc>
          <w:tcPr>
            <w:tcW w:type="dxa" w:w="3100"/>
          </w:tcPr>
          <w:p>
            <w:r>
              <w:rPr>
                <w:b w:val="false"/>
                <w:bCs w:val="false"/>
                <w:color w:val="000000"/>
                <w:sz w:val="17"/>
                <w:szCs w:val="17"/>
              </w:rPr>
              <w:t xml:space="preserve">OPENAI_MODEL=gpt-4.1-mini en .env.example; sin tope de gasto documentado</w:t>
            </w:r>
          </w:p>
        </w:tc>
      </w:tr>
      <w:tr>
        <w:tc>
          <w:tcPr>
            <w:tcW w:type="dxa" w:w="3000"/>
          </w:tcPr>
          <w:p>
            <w:r>
              <w:rPr>
                <w:b w:val="false"/>
                <w:bCs w:val="false"/>
                <w:color w:val="000000"/>
                <w:sz w:val="17"/>
                <w:szCs w:val="17"/>
              </w:rPr>
              <w:t xml:space="preserve">Almacenamiento S3 (activos oficiales)</w:t>
            </w:r>
          </w:p>
        </w:tc>
        <w:tc>
          <w:tcPr>
            <w:tcW w:type="dxa" w:w="2400"/>
          </w:tcPr>
          <w:p>
            <w:r>
              <w:rPr>
                <w:b w:val="false"/>
                <w:bCs w:val="false"/>
                <w:color w:val="000000"/>
                <w:sz w:val="17"/>
                <w:szCs w:val="17"/>
              </w:rPr>
              <w:t xml:space="preserve">No determinado</w:t>
            </w:r>
          </w:p>
        </w:tc>
        <w:tc>
          <w:tcPr>
            <w:tcW w:type="dxa" w:w="3100"/>
          </w:tcPr>
          <w:p>
            <w:r>
              <w:rPr>
                <w:b w:val="false"/>
                <w:bCs w:val="false"/>
                <w:color w:val="000000"/>
                <w:sz w:val="17"/>
                <w:szCs w:val="17"/>
              </w:rPr>
              <w:t xml:space="preserve">django-storages preparado (AWS_STORAGE_BUCKET_NAME vacío); no aprovisionado</w:t>
            </w:r>
          </w:p>
        </w:tc>
      </w:tr>
      <w:tr>
        <w:tc>
          <w:tcPr>
            <w:tcW w:type="dxa" w:w="3000"/>
          </w:tcPr>
          <w:p>
            <w:r>
              <w:rPr>
                <w:b w:val="false"/>
                <w:bCs w:val="false"/>
                <w:color w:val="000000"/>
                <w:sz w:val="17"/>
                <w:szCs w:val="17"/>
              </w:rPr>
              <w:t xml:space="preserve">Desarrollo</w:t>
            </w:r>
          </w:p>
        </w:tc>
        <w:tc>
          <w:tcPr>
            <w:tcW w:type="dxa" w:w="2400"/>
          </w:tcPr>
          <w:p>
            <w:r>
              <w:rPr>
                <w:b w:val="false"/>
                <w:bCs w:val="false"/>
                <w:color w:val="000000"/>
                <w:sz w:val="17"/>
                <w:szCs w:val="17"/>
              </w:rPr>
              <w:t xml:space="preserve">Interno</w:t>
            </w:r>
          </w:p>
        </w:tc>
        <w:tc>
          <w:tcPr>
            <w:tcW w:type="dxa" w:w="3100"/>
          </w:tcPr>
          <w:p>
            <w:r>
              <w:rPr>
                <w:b w:val="false"/>
                <w:bCs w:val="false"/>
                <w:color w:val="000000"/>
                <w:sz w:val="17"/>
                <w:szCs w:val="17"/>
              </w:rPr>
              <w:t xml:space="preserve">Axel + Codex (asistido por IA); Claude en paralelo sobre brand/knowledge/</w:t>
            </w:r>
          </w:p>
        </w:tc>
      </w:tr>
    </w:tbl>
    <w:p>
      <w:pPr>
        <w:pStyle w:val="Heading1"/>
        <w:spacing w:after="160" w:before="360"/>
      </w:pPr>
      <w:r>
        <w:t xml:space="preserve">33. Mantenimiento continuo</w:t>
      </w:r>
    </w:p>
    <w:p>
      <w:pPr>
        <w:pStyle w:val="Heading2"/>
        <w:spacing w:after="120" w:before="240"/>
      </w:pPr>
      <w:r>
        <w:t xml:space="preserve">33.1 Mantenimiento operativo</w:t>
      </w:r>
    </w:p>
    <w:p>
      <w:pPr>
        <w:pStyle w:val="ListParagraph"/>
        <w:numPr>
          <w:ilvl w:val="0"/>
          <w:numId w:val="2"/>
        </w:numPr>
        <w:spacing w:after="60"/>
      </w:pPr>
      <w:r>
        <w:t xml:space="preserve">actualizar reglas de marca cuando el cliente envíe correcciones (ya ocurrió varias veces: contraste, Aptos, alias Hello!/Live!, QC, IELTS LATAM, TEA);</w:t>
      </w:r>
    </w:p>
    <w:p>
      <w:pPr>
        <w:pStyle w:val="ListParagraph"/>
        <w:numPr>
          <w:ilvl w:val="0"/>
          <w:numId w:val="2"/>
        </w:numPr>
        <w:spacing w:after="60"/>
      </w:pPr>
      <w:r>
        <w:t xml:space="preserve">ampliar la muestra de revisión humana de las 454 referencias visuales (hoy 40/454) de forma incremental;</w:t>
      </w:r>
    </w:p>
    <w:p>
      <w:pPr>
        <w:pStyle w:val="ListParagraph"/>
        <w:numPr>
          <w:ilvl w:val="0"/>
          <w:numId w:val="2"/>
        </w:numPr>
        <w:spacing w:after="60"/>
      </w:pPr>
      <w:r>
        <w:t xml:space="preserve">revisar el lote de 50 piezas de prueba y decidir cuándo activar la aprobación formal.</w:t>
      </w:r>
    </w:p>
    <w:p>
      <w:pPr>
        <w:pStyle w:val="Heading2"/>
        <w:spacing w:after="120" w:before="240"/>
      </w:pPr>
      <w:r>
        <w:t xml:space="preserve">33.2 Mantenimiento técnico</w:t>
      </w:r>
    </w:p>
    <w:p>
      <w:pPr>
        <w:pStyle w:val="ListParagraph"/>
        <w:numPr>
          <w:ilvl w:val="0"/>
          <w:numId w:val="2"/>
        </w:numPr>
        <w:spacing w:after="60"/>
      </w:pPr>
      <w:r>
        <w:t xml:space="preserve">mantener dependencias (requirements.txt, requirements-dev.txt) actualizadas;</w:t>
      </w:r>
    </w:p>
    <w:p>
      <w:pPr>
        <w:pStyle w:val="ListParagraph"/>
        <w:numPr>
          <w:ilvl w:val="0"/>
          <w:numId w:val="2"/>
        </w:numPr>
        <w:spacing w:after="60"/>
      </w:pPr>
      <w:r>
        <w:t xml:space="preserve">vigilar que ruff/pytest/manage.py check se mantengan en verde en cada PR;</w:t>
      </w:r>
    </w:p>
    <w:p>
      <w:pPr>
        <w:pStyle w:val="ListParagraph"/>
        <w:numPr>
          <w:ilvl w:val="0"/>
          <w:numId w:val="2"/>
        </w:numPr>
        <w:spacing w:after="60"/>
      </w:pPr>
      <w:r>
        <w:t xml:space="preserve">regenerar brand/generated/, brand/knowledge/*.json cuando cambien sus fuentes YAML;</w:t>
      </w:r>
    </w:p>
    <w:p>
      <w:pPr>
        <w:pStyle w:val="ListParagraph"/>
        <w:numPr>
          <w:ilvl w:val="0"/>
          <w:numId w:val="2"/>
        </w:numPr>
        <w:spacing w:after="60"/>
      </w:pPr>
      <w:r>
        <w:t xml:space="preserve">revisar logs y, cuando exista un entorno desplegado, monitoreo de errores/uptime.</w:t>
      </w:r>
    </w:p>
    <w:p>
      <w:pPr>
        <w:pStyle w:val="Heading1"/>
        <w:spacing w:after="160" w:before="360"/>
      </w:pPr>
      <w:r>
        <w:t xml:space="preserve">34. Roadmap post-MVP</w:t>
      </w:r>
    </w:p>
    <w:p>
      <w:pPr>
        <w:spacing w:after="160"/>
      </w:pPr>
      <w:r>
        <w:rPr>
          <w:b w:val="false"/>
          <w:bCs w:val="false"/>
          <w:i w:val="false"/>
          <w:iCs w:val="false"/>
        </w:rPr>
        <w:t xml:space="preserve">Reutiliza la Fase 4 de ROADMAP.md y agrega elementos surgidos de este ejercicio:</w:t>
      </w:r>
    </w:p>
    <w:p>
      <w:pPr>
        <w:pStyle w:val="ListParagraph"/>
        <w:numPr>
          <w:ilvl w:val="0"/>
          <w:numId w:val="2"/>
        </w:numPr>
        <w:spacing w:after="60"/>
      </w:pPr>
      <w:r>
        <w:t xml:space="preserve">generación de copy basada exclusivamente en datos autorizados;</w:t>
      </w:r>
    </w:p>
    <w:p>
      <w:pPr>
        <w:pStyle w:val="ListParagraph"/>
        <w:numPr>
          <w:ilvl w:val="0"/>
          <w:numId w:val="2"/>
        </w:numPr>
        <w:spacing w:after="60"/>
      </w:pPr>
      <w:r>
        <w:t xml:space="preserve">evaluación de calidad y trazabilidad de prompts/respuestas de IA;</w:t>
      </w:r>
    </w:p>
    <w:p>
      <w:pPr>
        <w:pStyle w:val="ListParagraph"/>
        <w:numPr>
          <w:ilvl w:val="0"/>
          <w:numId w:val="2"/>
        </w:numPr>
        <w:spacing w:after="60"/>
      </w:pPr>
      <w:r>
        <w:t xml:space="preserve">segundo proveedor de IA compatible con la interfaz AIProvider, solo tras validar necesidad;</w:t>
      </w:r>
    </w:p>
    <w:p>
      <w:pPr>
        <w:pStyle w:val="ListParagraph"/>
        <w:numPr>
          <w:ilvl w:val="0"/>
          <w:numId w:val="2"/>
        </w:numPr>
        <w:spacing w:after="60"/>
      </w:pPr>
      <w:r>
        <w:t xml:space="preserve">exportación directa a redes sociales/WhatsApp;</w:t>
      </w:r>
    </w:p>
    <w:p>
      <w:pPr>
        <w:pStyle w:val="ListParagraph"/>
        <w:numPr>
          <w:ilvl w:val="0"/>
          <w:numId w:val="2"/>
        </w:numPr>
        <w:spacing w:after="60"/>
      </w:pPr>
      <w:r>
        <w:t xml:space="preserve">expansión de la biblioteca de conocimiento visual más allá del 40/454 actual;</w:t>
      </w:r>
    </w:p>
    <w:p>
      <w:pPr>
        <w:pStyle w:val="ListParagraph"/>
        <w:numPr>
          <w:ilvl w:val="0"/>
          <w:numId w:val="2"/>
        </w:numPr>
        <w:spacing w:after="60"/>
      </w:pPr>
      <w:r>
        <w:t xml:space="preserve">posible incorporación formal de Claude al flujo de generación (hoy solo construye la capa de conocimiento, no genera piezas).</w:t>
      </w:r>
    </w:p>
    <w:p>
      <w:pPr>
        <w:pStyle w:val="Heading1"/>
        <w:spacing w:after="160" w:before="360"/>
      </w:pPr>
      <w:r>
        <w:t xml:space="preserve">35. Preguntas abiertas</w:t>
      </w:r>
    </w:p>
    <w:p>
      <w:pPr>
        <w:spacing w:after="160"/>
      </w:pPr>
      <w:r>
        <w:rPr>
          <w:b w:val="false"/>
          <w:bCs w:val="false"/>
          <w:i w:val="false"/>
          <w:iCs w:val="false"/>
        </w:rPr>
        <w:t xml:space="preserve">Ninguna se resuelve por inferencia — cada una tiene un dueño sugerido y una fecha, siguiendo el formato de la Sección 37 de IH Connect.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900"/>
      </w:tblGrid>
      <w:tr>
        <w:trPr>
          <w:tblHeader/>
        </w:trPr>
        <w:tc>
          <w:tcPr>
            <w:tcW w:type="dxa" w:w="3200"/>
            <w:shd w:fill="1F2A44" w:val="clear"/>
          </w:tcPr>
          <w:p>
            <w:r>
              <w:rPr>
                <w:b/>
                <w:bCs/>
                <w:color w:val="FFFFFF"/>
                <w:sz w:val="18"/>
                <w:szCs w:val="18"/>
              </w:rPr>
              <w:t xml:space="preserve">Pregunta</w:t>
            </w:r>
          </w:p>
        </w:tc>
        <w:tc>
          <w:tcPr>
            <w:tcW w:type="dxa" w:w="1700"/>
            <w:shd w:fill="1F2A44" w:val="clear"/>
          </w:tcPr>
          <w:p>
            <w:r>
              <w:rPr>
                <w:b/>
                <w:bCs/>
                <w:color w:val="FFFFFF"/>
                <w:sz w:val="18"/>
                <w:szCs w:val="18"/>
              </w:rPr>
              <w:t xml:space="preserve">Owner sugerido</w:t>
            </w:r>
          </w:p>
        </w:tc>
        <w:tc>
          <w:tcPr>
            <w:tcW w:type="dxa" w:w="1700"/>
            <w:shd w:fill="1F2A44" w:val="clear"/>
          </w:tcPr>
          <w:p>
            <w:r>
              <w:rPr>
                <w:b/>
                <w:bCs/>
                <w:color w:val="FFFFFF"/>
                <w:sz w:val="18"/>
                <w:szCs w:val="18"/>
              </w:rPr>
              <w:t xml:space="preserve">Fecha límite sugerida</w:t>
            </w:r>
          </w:p>
        </w:tc>
        <w:tc>
          <w:tcPr>
            <w:tcW w:type="dxa" w:w="1900"/>
            <w:shd w:fill="1F2A44" w:val="clear"/>
          </w:tcPr>
          <w:p>
            <w:r>
              <w:rPr>
                <w:b/>
                <w:bCs/>
                <w:color w:val="FFFFFF"/>
                <w:sz w:val="18"/>
                <w:szCs w:val="18"/>
              </w:rPr>
              <w:t xml:space="preserve">Bloquea</w:t>
            </w:r>
          </w:p>
        </w:tc>
      </w:tr>
      <w:tr>
        <w:tc>
          <w:tcPr>
            <w:tcW w:type="dxa" w:w="3200"/>
          </w:tcPr>
          <w:p>
            <w:r>
              <w:rPr>
                <w:b w:val="false"/>
                <w:bCs w:val="false"/>
                <w:color w:val="000000"/>
                <w:sz w:val="16"/>
                <w:szCs w:val="16"/>
              </w:rPr>
              <w:t xml:space="preserve">¿Dónde se hospeda producción? (no hay Railway/Render/similar decidido; hoy solo hay Docker Compose local para Postgres/Redis)</w:t>
            </w:r>
          </w:p>
        </w:tc>
        <w:tc>
          <w:tcPr>
            <w:tcW w:type="dxa" w:w="1700"/>
          </w:tcPr>
          <w:p>
            <w:r>
              <w:rPr>
                <w:b w:val="false"/>
                <w:bCs w:val="false"/>
                <w:color w:val="000000"/>
                <w:sz w:val="16"/>
                <w:szCs w:val="16"/>
              </w:rPr>
              <w:t xml:space="preserve">Axel + Codex</w:t>
            </w:r>
          </w:p>
        </w:tc>
        <w:tc>
          <w:tcPr>
            <w:tcW w:type="dxa" w:w="1700"/>
          </w:tcPr>
          <w:p>
            <w:r>
              <w:rPr>
                <w:b w:val="false"/>
                <w:bCs w:val="false"/>
                <w:color w:val="000000"/>
                <w:sz w:val="16"/>
                <w:szCs w:val="16"/>
              </w:rPr>
              <w:t xml:space="preserve">Antes de fase 3 (revisión/operación)</w:t>
            </w:r>
          </w:p>
        </w:tc>
        <w:tc>
          <w:tcPr>
            <w:tcW w:type="dxa" w:w="1900"/>
          </w:tcPr>
          <w:p>
            <w:r>
              <w:rPr>
                <w:b w:val="false"/>
                <w:bCs w:val="false"/>
                <w:color w:val="000000"/>
                <w:sz w:val="16"/>
                <w:szCs w:val="16"/>
              </w:rPr>
              <w:t xml:space="preserve">Migrar de SQLite a Postgres real; entorno de staging</w:t>
            </w:r>
          </w:p>
        </w:tc>
      </w:tr>
      <w:tr>
        <w:tc>
          <w:tcPr>
            <w:tcW w:type="dxa" w:w="3200"/>
          </w:tcPr>
          <w:p>
            <w:r>
              <w:rPr>
                <w:b w:val="false"/>
                <w:bCs w:val="false"/>
                <w:color w:val="000000"/>
                <w:sz w:val="16"/>
                <w:szCs w:val="16"/>
              </w:rPr>
              <w:t xml:space="preserve">¿El repo debe transferirse a una organización de GitHub de IH México en vez de la cuenta personal axelest10?</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invitar a más colaboradores</w:t>
            </w:r>
          </w:p>
        </w:tc>
        <w:tc>
          <w:tcPr>
            <w:tcW w:type="dxa" w:w="1900"/>
          </w:tcPr>
          <w:p>
            <w:r>
              <w:rPr>
                <w:b w:val="false"/>
                <w:bCs w:val="false"/>
                <w:color w:val="000000"/>
                <w:sz w:val="16"/>
                <w:szCs w:val="16"/>
              </w:rPr>
              <w:t xml:space="preserve">Continuidad si Axel deja de estar disponible</w:t>
            </w:r>
          </w:p>
        </w:tc>
      </w:tr>
      <w:tr>
        <w:tc>
          <w:tcPr>
            <w:tcW w:type="dxa" w:w="3200"/>
          </w:tcPr>
          <w:p>
            <w:r>
              <w:rPr>
                <w:b w:val="false"/>
                <w:bCs w:val="false"/>
                <w:color w:val="000000"/>
                <w:sz w:val="16"/>
                <w:szCs w:val="16"/>
              </w:rPr>
              <w:t xml:space="preserve">¿Cuál es el rol formal de Claude en el proyecto? PROJECT.md dice "no se incorpora Claude en este MVP", pero Claude ya construyó brand/knowledge/ en paralelo a Codex</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Inmediato</w:t>
            </w:r>
          </w:p>
        </w:tc>
        <w:tc>
          <w:tcPr>
            <w:tcW w:type="dxa" w:w="1900"/>
          </w:tcPr>
          <w:p>
            <w:r>
              <w:rPr>
                <w:b w:val="false"/>
                <w:bCs w:val="false"/>
                <w:color w:val="000000"/>
                <w:sz w:val="16"/>
                <w:szCs w:val="16"/>
              </w:rPr>
              <w:t xml:space="preserve">Coordinación Codex/Claude; evitar contradicción documental</w:t>
            </w:r>
          </w:p>
        </w:tc>
      </w:tr>
      <w:tr>
        <w:tc>
          <w:tcPr>
            <w:tcW w:type="dxa" w:w="3200"/>
          </w:tcPr>
          <w:p>
            <w:r>
              <w:rPr>
                <w:b w:val="false"/>
                <w:bCs w:val="false"/>
                <w:color w:val="000000"/>
                <w:sz w:val="16"/>
                <w:szCs w:val="16"/>
              </w:rPr>
              <w:t xml:space="preserve">¿Qué protocolo evita que Codex y Claude editen el mismo archivo al mismo tiempo sin que uno sobreescriba al otro?</w:t>
            </w:r>
          </w:p>
        </w:tc>
        <w:tc>
          <w:tcPr>
            <w:tcW w:type="dxa" w:w="1700"/>
          </w:tcPr>
          <w:p>
            <w:r>
              <w:rPr>
                <w:b w:val="false"/>
                <w:bCs w:val="false"/>
                <w:color w:val="000000"/>
                <w:sz w:val="16"/>
                <w:szCs w:val="16"/>
              </w:rPr>
              <w:t xml:space="preserve">Axel + Codex</w:t>
            </w:r>
          </w:p>
        </w:tc>
        <w:tc>
          <w:tcPr>
            <w:tcW w:type="dxa" w:w="1700"/>
          </w:tcPr>
          <w:p>
            <w:r>
              <w:rPr>
                <w:b w:val="false"/>
                <w:bCs w:val="false"/>
                <w:color w:val="000000"/>
                <w:sz w:val="16"/>
                <w:szCs w:val="16"/>
              </w:rPr>
              <w:t xml:space="preserve">Antes de la siguiente tarea compartida</w:t>
            </w:r>
          </w:p>
        </w:tc>
        <w:tc>
          <w:tcPr>
            <w:tcW w:type="dxa" w:w="1900"/>
          </w:tcPr>
          <w:p>
            <w:r>
              <w:rPr>
                <w:b w:val="false"/>
                <w:bCs w:val="false"/>
                <w:color w:val="000000"/>
                <w:sz w:val="16"/>
                <w:szCs w:val="16"/>
              </w:rPr>
              <w:t xml:space="preserve">Integridad de brand/ y backend/assets/</w:t>
            </w:r>
          </w:p>
        </w:tc>
      </w:tr>
      <w:tr>
        <w:tc>
          <w:tcPr>
            <w:tcW w:type="dxa" w:w="3200"/>
          </w:tcPr>
          <w:p>
            <w:r>
              <w:rPr>
                <w:b w:val="false"/>
                <w:bCs w:val="false"/>
                <w:color w:val="000000"/>
                <w:sz w:val="16"/>
                <w:szCs w:val="16"/>
              </w:rPr>
              <w:t xml:space="preserve">¿Se activa ya PostgreSQL/Redis/Celery o siguen "preparados" sin uso real?</w:t>
            </w:r>
          </w:p>
        </w:tc>
        <w:tc>
          <w:tcPr>
            <w:tcW w:type="dxa" w:w="1700"/>
          </w:tcPr>
          <w:p>
            <w:r>
              <w:rPr>
                <w:b w:val="false"/>
                <w:bCs w:val="false"/>
                <w:color w:val="000000"/>
                <w:sz w:val="16"/>
                <w:szCs w:val="16"/>
              </w:rPr>
              <w:t xml:space="preserve">Codex</w:t>
            </w:r>
          </w:p>
        </w:tc>
        <w:tc>
          <w:tcPr>
            <w:tcW w:type="dxa" w:w="1700"/>
          </w:tcPr>
          <w:p>
            <w:r>
              <w:rPr>
                <w:b w:val="false"/>
                <w:bCs w:val="false"/>
                <w:color w:val="000000"/>
                <w:sz w:val="16"/>
                <w:szCs w:val="16"/>
              </w:rPr>
              <w:t xml:space="preserve">Fase 2</w:t>
            </w:r>
          </w:p>
        </w:tc>
        <w:tc>
          <w:tcPr>
            <w:tcW w:type="dxa" w:w="1900"/>
          </w:tcPr>
          <w:p>
            <w:r>
              <w:rPr>
                <w:b w:val="false"/>
                <w:bCs w:val="false"/>
                <w:color w:val="000000"/>
                <w:sz w:val="16"/>
                <w:szCs w:val="16"/>
              </w:rPr>
              <w:t xml:space="preserve">Rendimiento y validez de las pruebas de concurrencia</w:t>
            </w:r>
          </w:p>
        </w:tc>
      </w:tr>
      <w:tr>
        <w:tc>
          <w:tcPr>
            <w:tcW w:type="dxa" w:w="3200"/>
          </w:tcPr>
          <w:p>
            <w:r>
              <w:rPr>
                <w:b w:val="false"/>
                <w:bCs w:val="false"/>
                <w:color w:val="000000"/>
                <w:sz w:val="16"/>
                <w:szCs w:val="16"/>
              </w:rPr>
              <w:t xml:space="preserve">¿Existe protección de rama (branch protection) y revisión de PR obligatoria en el repo real, o los cambios llegan a main sin ese control?</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la siguiente fase</w:t>
            </w:r>
          </w:p>
        </w:tc>
        <w:tc>
          <w:tcPr>
            <w:tcW w:type="dxa" w:w="1900"/>
          </w:tcPr>
          <w:p>
            <w:r>
              <w:rPr>
                <w:b w:val="false"/>
                <w:bCs w:val="false"/>
                <w:color w:val="000000"/>
                <w:sz w:val="16"/>
                <w:szCs w:val="16"/>
              </w:rPr>
              <w:t xml:space="preserve">Calidad del código generado por IA</w:t>
            </w:r>
          </w:p>
        </w:tc>
      </w:tr>
      <w:tr>
        <w:tc>
          <w:tcPr>
            <w:tcW w:type="dxa" w:w="3200"/>
          </w:tcPr>
          <w:p>
            <w:r>
              <w:rPr>
                <w:b w:val="false"/>
                <w:bCs w:val="false"/>
                <w:color w:val="000000"/>
                <w:sz w:val="16"/>
                <w:szCs w:val="16"/>
              </w:rPr>
              <w:t xml:space="preserve">¿IH México tiene licenciamiento empresarial de Microsoft para redistribuir Aptos?</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Antes de aprobar tipografía final</w:t>
            </w:r>
          </w:p>
        </w:tc>
        <w:tc>
          <w:tcPr>
            <w:tcW w:type="dxa" w:w="1900"/>
          </w:tcPr>
          <w:p>
            <w:r>
              <w:rPr>
                <w:b w:val="false"/>
                <w:bCs w:val="false"/>
                <w:color w:val="000000"/>
                <w:sz w:val="16"/>
                <w:szCs w:val="16"/>
              </w:rPr>
              <w:t xml:space="preserve">brand/assets/fonts, plantillas de diseño</w:t>
            </w:r>
          </w:p>
        </w:tc>
      </w:tr>
      <w:tr>
        <w:tc>
          <w:tcPr>
            <w:tcW w:type="dxa" w:w="3200"/>
          </w:tcPr>
          <w:p>
            <w:r>
              <w:rPr>
                <w:b w:val="false"/>
                <w:bCs w:val="false"/>
                <w:color w:val="000000"/>
                <w:sz w:val="16"/>
                <w:szCs w:val="16"/>
              </w:rPr>
              <w:t xml:space="preserve">¿Se aprueba formalmente el tamaño mínimo de logo designado por MX (24/32/48 px)?</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Antes de lanzamiento amplio</w:t>
            </w:r>
          </w:p>
        </w:tc>
        <w:tc>
          <w:tcPr>
            <w:tcW w:type="dxa" w:w="1900"/>
          </w:tcPr>
          <w:p>
            <w:r>
              <w:rPr>
                <w:b w:val="false"/>
                <w:bCs w:val="false"/>
                <w:color w:val="000000"/>
                <w:sz w:val="16"/>
                <w:szCs w:val="16"/>
              </w:rPr>
              <w:t xml:space="preserve">brand/documentation/logo-rules.md → status: approved</w:t>
            </w:r>
          </w:p>
        </w:tc>
      </w:tr>
      <w:tr>
        <w:tc>
          <w:tcPr>
            <w:tcW w:type="dxa" w:w="3200"/>
          </w:tcPr>
          <w:p>
            <w:r>
              <w:rPr>
                <w:b w:val="false"/>
                <w:bCs w:val="false"/>
                <w:color w:val="000000"/>
                <w:sz w:val="16"/>
                <w:szCs w:val="16"/>
              </w:rPr>
              <w:t xml:space="preserve">¿Existen las variantes de logo faltantes (white-reversed, dual-branding)?</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Cuando estén disponibles</w:t>
            </w:r>
          </w:p>
        </w:tc>
        <w:tc>
          <w:tcPr>
            <w:tcW w:type="dxa" w:w="1900"/>
          </w:tcPr>
          <w:p>
            <w:r>
              <w:rPr>
                <w:b w:val="false"/>
                <w:bCs w:val="false"/>
                <w:color w:val="000000"/>
                <w:sz w:val="16"/>
                <w:szCs w:val="16"/>
              </w:rPr>
              <w:t xml:space="preserve">Piezas sobre fondos oscuros o co-branding</w:t>
            </w:r>
          </w:p>
        </w:tc>
      </w:tr>
      <w:tr>
        <w:tc>
          <w:tcPr>
            <w:tcW w:type="dxa" w:w="3200"/>
          </w:tcPr>
          <w:p>
            <w:r>
              <w:rPr>
                <w:b w:val="false"/>
                <w:bCs w:val="false"/>
                <w:color w:val="000000"/>
                <w:sz w:val="16"/>
                <w:szCs w:val="16"/>
              </w:rPr>
              <w:t xml:space="preserve">¿TEA (Test of English for Aviation) existe en otros países además de Colombia?</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Próxima confirmación con cliente</w:t>
            </w:r>
          </w:p>
        </w:tc>
        <w:tc>
          <w:tcPr>
            <w:tcW w:type="dxa" w:w="1900"/>
          </w:tcPr>
          <w:p>
            <w:r>
              <w:rPr>
                <w:b w:val="false"/>
                <w:bCs w:val="false"/>
                <w:color w:val="000000"/>
                <w:sz w:val="16"/>
                <w:szCs w:val="16"/>
              </w:rPr>
              <w:t xml:space="preserve">Alcance de brand/knowledge/product-catalog.yaml</w:t>
            </w:r>
          </w:p>
        </w:tc>
      </w:tr>
      <w:tr>
        <w:tc>
          <w:tcPr>
            <w:tcW w:type="dxa" w:w="3200"/>
          </w:tcPr>
          <w:p>
            <w:r>
              <w:rPr>
                <w:b w:val="false"/>
                <w:bCs w:val="false"/>
                <w:color w:val="000000"/>
                <w:sz w:val="16"/>
                <w:szCs w:val="16"/>
              </w:rPr>
              <w:t xml:space="preserve">¿Qué porcentaje de las 454 referencias visuales debe alcanzar revisión humana antes de considerarse "suficiente" para uso productivo por IA?</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usar el catálogo para generación automática</w:t>
            </w:r>
          </w:p>
        </w:tc>
        <w:tc>
          <w:tcPr>
            <w:tcW w:type="dxa" w:w="1900"/>
          </w:tcPr>
          <w:p>
            <w:r>
              <w:rPr>
                <w:b w:val="false"/>
                <w:bCs w:val="false"/>
                <w:color w:val="000000"/>
                <w:sz w:val="16"/>
                <w:szCs w:val="16"/>
              </w:rPr>
              <w:t xml:space="preserve">Confiabilidad del contexto que recibe la IA</w:t>
            </w:r>
          </w:p>
        </w:tc>
      </w:tr>
      <w:tr>
        <w:tc>
          <w:tcPr>
            <w:tcW w:type="dxa" w:w="3200"/>
          </w:tcPr>
          <w:p>
            <w:r>
              <w:rPr>
                <w:b w:val="false"/>
                <w:bCs w:val="false"/>
                <w:color w:val="000000"/>
                <w:sz w:val="16"/>
                <w:szCs w:val="16"/>
              </w:rPr>
              <w:t xml:space="preserve">¿Cuál es el criterio de éxito numérico real del MVP (equivalente a "10 eventos, 150 registros" de IH Connect)? Hoy solo existe el mecanismo técnico DESIGN_TEST_LIMIT=50</w:t>
            </w:r>
          </w:p>
        </w:tc>
        <w:tc>
          <w:tcPr>
            <w:tcW w:type="dxa" w:w="1700"/>
          </w:tcPr>
          <w:p>
            <w:r>
              <w:rPr>
                <w:b w:val="false"/>
                <w:bCs w:val="false"/>
                <w:color w:val="000000"/>
                <w:sz w:val="16"/>
                <w:szCs w:val="16"/>
              </w:rPr>
              <w:t xml:space="preserve">Axel + Marketing IH México</w:t>
            </w:r>
          </w:p>
        </w:tc>
        <w:tc>
          <w:tcPr>
            <w:tcW w:type="dxa" w:w="1700"/>
          </w:tcPr>
          <w:p>
            <w:r>
              <w:rPr>
                <w:b w:val="false"/>
                <w:bCs w:val="false"/>
                <w:color w:val="000000"/>
                <w:sz w:val="16"/>
                <w:szCs w:val="16"/>
              </w:rPr>
              <w:t xml:space="preserve">Antes de iniciar el lote de 50 pruebas</w:t>
            </w:r>
          </w:p>
        </w:tc>
        <w:tc>
          <w:tcPr>
            <w:tcW w:type="dxa" w:w="1900"/>
          </w:tcPr>
          <w:p>
            <w:r>
              <w:rPr>
                <w:b w:val="false"/>
                <w:bCs w:val="false"/>
                <w:color w:val="000000"/>
                <w:sz w:val="16"/>
                <w:szCs w:val="16"/>
              </w:rPr>
              <w:t xml:space="preserve">Medición de éxito del MVP</w:t>
            </w:r>
          </w:p>
        </w:tc>
      </w:tr>
      <w:tr>
        <w:tc>
          <w:tcPr>
            <w:tcW w:type="dxa" w:w="3200"/>
          </w:tcPr>
          <w:p>
            <w:r>
              <w:rPr>
                <w:b w:val="false"/>
                <w:bCs w:val="false"/>
                <w:color w:val="000000"/>
                <w:sz w:val="16"/>
                <w:szCs w:val="16"/>
              </w:rPr>
              <w:t xml:space="preserve">¿Quién aprueba formalmente una pieza tras las primeras 50 pruebas (flujo de aprobación humana aún no construido)?</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que DESIGN_TEST_MODE se desactive</w:t>
            </w:r>
          </w:p>
        </w:tc>
        <w:tc>
          <w:tcPr>
            <w:tcW w:type="dxa" w:w="1900"/>
          </w:tcPr>
          <w:p>
            <w:r>
              <w:rPr>
                <w:b w:val="false"/>
                <w:bCs w:val="false"/>
                <w:color w:val="000000"/>
                <w:sz w:val="16"/>
                <w:szCs w:val="16"/>
              </w:rPr>
              <w:t xml:space="preserve">Fase 3 del roadmap</w:t>
            </w:r>
          </w:p>
        </w:tc>
      </w:tr>
    </w:tbl>
    <w:p>
      <w:r>
        <w:br w:type="page"/>
      </w:r>
    </w:p>
    <w:p>
      <w:pPr>
        <w:pStyle w:val="Heading1"/>
        <w:spacing w:after="160" w:before="360"/>
      </w:pPr>
      <w:r>
        <w:t xml:space="preserve">36. Documentos de apoyo</w:t>
      </w:r>
    </w:p>
    <w:p>
      <w:pPr>
        <w:spacing w:after="160"/>
      </w:pPr>
      <w:r>
        <w:rPr>
          <w:b w:val="false"/>
          <w:bCs w:val="false"/>
          <w:i w:val="false"/>
          <w:iCs w:val="false"/>
        </w:rPr>
        <w:t xml:space="preserve">Este documento debería acompañarse de:</w:t>
      </w:r>
    </w:p>
    <w:p>
      <w:pPr>
        <w:pStyle w:val="ListParagraph"/>
        <w:numPr>
          <w:ilvl w:val="0"/>
          <w:numId w:val="2"/>
        </w:numPr>
        <w:spacing w:after="60"/>
      </w:pPr>
      <w:r>
        <w:t xml:space="preserve">HANDOFF_BRAND_SYSTEM.md — historial de decisiones para sincronizar contexto entre Claude y Codex;</w:t>
      </w:r>
    </w:p>
    <w:p>
      <w:pPr>
        <w:pStyle w:val="ListParagraph"/>
        <w:numPr>
          <w:ilvl w:val="0"/>
          <w:numId w:val="2"/>
        </w:numPr>
        <w:spacing w:after="60"/>
      </w:pPr>
      <w:r>
        <w:t xml:space="preserve">brand/knowledge/README.md — arquitectura del catálogo de productos y la biblioteca de conocimiento visual;</w:t>
      </w:r>
    </w:p>
    <w:p>
      <w:pPr>
        <w:pStyle w:val="ListParagraph"/>
        <w:numPr>
          <w:ilvl w:val="0"/>
          <w:numId w:val="2"/>
        </w:numPr>
        <w:spacing w:after="60"/>
      </w:pPr>
      <w:r>
        <w:t xml:space="preserve">contracts/design-brief.schema.json — contrato formal de brief;</w:t>
      </w:r>
    </w:p>
    <w:p>
      <w:pPr>
        <w:pStyle w:val="ListParagraph"/>
        <w:numPr>
          <w:ilvl w:val="0"/>
          <w:numId w:val="2"/>
        </w:numPr>
        <w:spacing w:after="60"/>
      </w:pPr>
      <w:r>
        <w:t xml:space="preserve">DECISIONS.md y TASKS.md — bitácora de decisiones y pendientes.</w:t>
      </w:r>
    </w:p>
    <w:p>
      <w:pPr>
        <w:pStyle w:val="Heading1"/>
        <w:spacing w:after="160" w:before="360"/>
      </w:pPr>
      <w:r>
        <w:t xml:space="preserve">37. Próximas acciones inmediatas</w:t>
      </w:r>
    </w:p>
    <w:p>
      <w:pPr>
        <w:pStyle w:val="ListParagraph"/>
        <w:numPr>
          <w:ilvl w:val="0"/>
          <w:numId w:val="2"/>
        </w:numPr>
        <w:spacing w:after="60"/>
      </w:pPr>
      <w:r>
        <w:t xml:space="preserve">Confirmar este documento como borrador de trabajo (no como decisión final) y ajustarlo con la respuesta de Codex al prompt de la Sección de seguimiento;</w:t>
      </w:r>
    </w:p>
    <w:p>
      <w:pPr>
        <w:pStyle w:val="ListParagraph"/>
        <w:numPr>
          <w:ilvl w:val="0"/>
          <w:numId w:val="2"/>
        </w:numPr>
        <w:spacing w:after="60"/>
      </w:pPr>
      <w:r>
        <w:t xml:space="preserve">Resolver la contradicción entre PROJECT.md (“no se incorpora Claude”) y la realidad (Claude ya construye brand/knowledge/);</w:t>
      </w:r>
    </w:p>
    <w:p>
      <w:pPr>
        <w:pStyle w:val="ListParagraph"/>
        <w:numPr>
          <w:ilvl w:val="0"/>
          <w:numId w:val="2"/>
        </w:numPr>
        <w:spacing w:after="60"/>
      </w:pPr>
      <w:r>
        <w:t xml:space="preserve">Decidir si el repositorio se transfiere a una organización institucional de GitHub;</w:t>
      </w:r>
    </w:p>
    <w:p>
      <w:pPr>
        <w:pStyle w:val="ListParagraph"/>
        <w:numPr>
          <w:ilvl w:val="0"/>
          <w:numId w:val="2"/>
        </w:numPr>
        <w:spacing w:after="60"/>
      </w:pPr>
      <w:r>
        <w:t xml:space="preserve">Definir fecha y dueño para revisar el avance del lote de 50 piezas de prueba (DESIGN_TEST_MODE);</w:t>
      </w:r>
    </w:p>
    <w:p>
      <w:pPr>
        <w:pStyle w:val="ListParagraph"/>
        <w:numPr>
          <w:ilvl w:val="0"/>
          <w:numId w:val="2"/>
        </w:numPr>
        <w:spacing w:after="60"/>
      </w:pPr>
      <w:r>
        <w:t xml:space="preserve">Confirmar con el cliente los puntos pendientes de marca listados en la Sección 35 (Aptos, tamaño de logo, variantes faltantes, alcance de TEA/QC);</w:t>
      </w:r>
    </w:p>
    <w:p>
      <w:pPr>
        <w:pStyle w:val="ListParagraph"/>
        <w:numPr>
          <w:ilvl w:val="0"/>
          <w:numId w:val="2"/>
        </w:numPr>
        <w:spacing w:after="60"/>
      </w:pPr>
      <w:r>
        <w:t xml:space="preserve">Decidir hosting de producción antes de que el MVP se considere listo para uso real por el equipo de marketing.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F2A44"/>
      <w:sz w:val="28"/>
      <w:szCs w:val="28"/>
    </w:rPr>
  </w:style>
  <w:style w:type="paragraph" w:styleId="Heading2">
    <w:name w:val="Heading 2"/>
    <w:basedOn w:val="Normal"/>
    <w:next w:val="Normal"/>
    <w:rPr>
      <w:b/>
      <w:bCs/>
      <w:color w:val="3B4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2026-08-07T20:28:14.608Z</dcterms:created>
  <dcterms:modified xsi:type="dcterms:W3CDTF">2026-08-07T20:28:14.608Z</dcterms:modified>
</cp:coreProperties>
</file>

<file path=docProps/custom.xml><?xml version="1.0" encoding="utf-8"?>
<Properties xmlns="http://schemas.openxmlformats.org/officeDocument/2006/custom-properties" xmlns:vt="http://schemas.openxmlformats.org/officeDocument/2006/docPropsVTypes"/>
</file>