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sz w:val="44"/>
          <w:szCs w:val="44"/>
        </w:rPr>
        <w:t xml:space="preserve">IH Design Platform</w:t>
      </w:r>
    </w:p>
    <w:p>
      <w:pPr>
        <w:spacing w:after="40"/>
      </w:pPr>
      <w:r>
        <w:rPr>
          <w:b/>
          <w:bCs/>
          <w:sz w:val="30"/>
          <w:szCs w:val="30"/>
        </w:rPr>
        <w:t xml:space="preserve">Documento de Scoping, Arquitectura Técnica y Plan de Desarrollo (v4)</w:t>
      </w:r>
    </w:p>
    <w:p>
      <w:pPr>
        <w:spacing w:after="160"/>
      </w:pPr>
      <w:r>
        <w:rPr>
          <w:b w:val="false"/>
          <w:bCs w:val="false"/>
          <w:i/>
          <w:iCs/>
        </w:rPr>
        <w:t xml:space="preserve">Adaptado de la estructura y el nivel de rigor de “IH Connect — Combined Project Scoping Document v2” (IHWO), a solicitud de Axel Estrada.</w:t>
      </w:r>
    </w:p>
    <w:p>
      <w:pPr>
        <w:spacing w:after="160"/>
      </w:pPr>
      <w:r>
        <w:rPr>
          <w:b w:val="false"/>
          <w:bCs w:val="false"/>
          <w:i w:val="false"/>
          <w:iCs w:val="false"/>
        </w:rPr>
        <w:t xml:space="preserve">Preparado para: equipo de marketing/diseño de IH México y colaboración con Codex.</w:t>
      </w:r>
    </w:p>
    <w:p>
      <w:pPr>
        <w:spacing w:after="160"/>
      </w:pPr>
      <w:r>
        <w:rPr>
          <w:b w:val="false"/>
          <w:bCs w:val="false"/>
          <w:i w:val="false"/>
          <w:iCs w:val="false"/>
        </w:rPr>
        <w:t xml:space="preserve">Estado: v4 — incorpora el primer reporte de avance de Codex sobre la ejecución del plan paso a paso (2026-08-07): PASO 0 (PROJECT.md corregido), PASO 1 (documentación de despliegue y variables de entorno preparadas, sin desplegar), PASO 2 (CI ahora valida brand/ y brand/knowledge/), PASO 5 (templates story-v1 y portrait-v1 ya implementados), PASO 6 (recomendación de diseño para el endpoint legacy, sin implementar todavía) y un avance parcial del PASO 8 (módulo backend/materials/ para la paquetería de colegios). Verificado directamente contra el repositorio (103 pruebas, ruff y manage.py check en verde) — no se toma el reporte de Codex al pie de la letra sin confirmarlo. Se detectaron dos desviaciones del proceso acordado, documentadas en la Sección 31.7.</w:t>
      </w:r>
    </w:p>
    <w:p>
      <w:pPr>
        <w:spacing w:after="200"/>
      </w:pPr>
    </w:p>
    <w:p>
      <w:pPr>
        <w:pStyle w:val="Heading1"/>
        <w:spacing w:after="160" w:before="360"/>
      </w:pPr>
      <w:r>
        <w:t xml:space="preserve">1. Resumen</w:t>
      </w:r>
    </w:p>
    <w:p>
      <w:pPr>
        <w:spacing w:after="160"/>
      </w:pPr>
      <w:r>
        <w:rPr>
          <w:b w:val="false"/>
          <w:bCs w:val="false"/>
          <w:i w:val="false"/>
          <w:iCs w:val="false"/>
        </w:rPr>
        <w:t xml:space="preserve">IH Design Platform debe construirse como una plataforma modular Django/DRF, con un sistema de marca basado en archivos (brand/) como fuente única de verdad, que convierte un brief comercial en una pieza controlada para redes sociales o WhatsApp.</w:t>
      </w:r>
    </w:p>
    <w:p>
      <w:pPr>
        <w:spacing w:after="160"/>
      </w:pPr>
      <w:r>
        <w:rPr>
          <w:b w:val="false"/>
          <w:bCs w:val="false"/>
          <w:i w:val="false"/>
          <w:iCs w:val="false"/>
        </w:rPr>
        <w:t xml:space="preserve">No debe intentar ser, desde el día uno, un editor visual completo ni una IA que decide contenido comercial. La información crítica (precios, fechas, sedes, CTA) siempre proviene del catálogo y de campañas autorizadas; la IA solo propone copy, conceptos y direcciones visuales dentro de plantillas controladas.</w:t>
      </w:r>
    </w:p>
    <w:p>
      <w:pPr>
        <w:spacing w:after="160"/>
      </w:pPr>
      <w:r>
        <w:rPr>
          <w:b/>
          <w:bCs/>
          <w:i w:val="false"/>
          <w:iCs w:val="false"/>
        </w:rPr>
        <w:t xml:space="preserve">Pregunta núcleo del MVP:</w:t>
      </w:r>
    </w:p>
    <w:p>
      <w:pPr>
        <w:spacing w:after="160"/>
      </w:pPr>
      <w:r>
        <w:rPr>
          <w:b w:val="false"/>
          <w:bCs w:val="false"/>
          <w:i/>
          <w:iCs/>
        </w:rPr>
        <w:t xml:space="preserve">¿Puede el sistema convertir un brief comercial válido en una pieza (post cuadrado, historia o post vertical) que respete el 100% de las reglas de marca, de forma reproducible, antes de depender de un flujo de aprobación humana pieza por pieza?</w:t>
      </w:r>
    </w:p>
    <w:p>
      <w:pPr>
        <w:spacing w:after="200"/>
      </w:pPr>
      <w:r>
        <w:rPr>
          <w:i/>
          <w:iCs/>
          <w:color w:val="6B7280"/>
        </w:rPr>
        <w:t xml:space="preserve">A diferencia de IH Connect (un producto nuevo para escuelas externas), IH Design Platform ya tiene código, pruebas y un sistema de marca parcialmente construido — este documento parte de ese estado real, no de cero.</w:t>
      </w:r>
    </w:p>
    <w:p>
      <w:pPr>
        <w:pStyle w:val="Heading1"/>
        <w:spacing w:after="160" w:before="360"/>
      </w:pPr>
      <w:r>
        <w:t xml:space="preserve">2. Propósito</w:t>
      </w:r>
    </w:p>
    <w:p>
      <w:pPr>
        <w:spacing w:after="160"/>
      </w:pPr>
      <w:r>
        <w:rPr>
          <w:b w:val="false"/>
          <w:bCs w:val="false"/>
          <w:i w:val="false"/>
          <w:iCs w:val="false"/>
        </w:rPr>
        <w:t xml:space="preserve">IH Design Platform es una herramienta interna, no comercial, para el equipo de marketing/diseño de IH México (y potencialmente de la red LATAM: Chile, Colombia, Perú).</w:t>
      </w:r>
    </w:p>
    <w:p>
      <w:pPr>
        <w:spacing w:after="160"/>
      </w:pPr>
      <w:r>
        <w:rPr>
          <w:b w:val="false"/>
          <w:bCs w:val="false"/>
          <w:i w:val="false"/>
          <w:iCs w:val="false"/>
        </w:rPr>
        <w:t xml:space="preserve">Su propósito es ayudar al equipo a:</w:t>
      </w:r>
    </w:p>
    <w:p>
      <w:pPr>
        <w:pStyle w:val="ListParagraph"/>
        <w:numPr>
          <w:ilvl w:val="0"/>
          <w:numId w:val="2"/>
        </w:numPr>
        <w:spacing w:after="60"/>
      </w:pPr>
      <w:r>
        <w:t xml:space="preserve">producir piezas de redes sociales/WhatsApp más rápido, sin perder control de marca;</w:t>
      </w:r>
    </w:p>
    <w:p>
      <w:pPr>
        <w:pStyle w:val="ListParagraph"/>
        <w:numPr>
          <w:ilvl w:val="0"/>
          <w:numId w:val="2"/>
        </w:numPr>
        <w:spacing w:after="60"/>
      </w:pPr>
      <w:r>
        <w:t xml:space="preserve">mantener una única fuente de verdad de marca (colores, tipografía, logos, catálogo de productos) reutilizable por cualquier proyecto futuro, no solo este backend;</w:t>
      </w:r>
    </w:p>
    <w:p>
      <w:pPr>
        <w:pStyle w:val="ListParagraph"/>
        <w:numPr>
          <w:ilvl w:val="0"/>
          <w:numId w:val="2"/>
        </w:numPr>
        <w:spacing w:after="60"/>
      </w:pPr>
      <w:r>
        <w:t xml:space="preserve">dejar trazabilidad de cada decisión de diseño y de marca (DECISIONS.md, annotation_source, provenance);</w:t>
      </w:r>
    </w:p>
    <w:p>
      <w:pPr>
        <w:pStyle w:val="ListParagraph"/>
        <w:numPr>
          <w:ilvl w:val="0"/>
          <w:numId w:val="2"/>
        </w:numPr>
        <w:spacing w:after="60"/>
      </w:pPr>
      <w:r>
        <w:t xml:space="preserve">preparar el terreno para que herramientas de IA (Codex, Claude, el proveedor OpenAI interno) trabajen sobre datos estructurados en vez de texto libre.</w:t>
      </w:r>
    </w:p>
    <w:p>
      <w:pPr>
        <w:spacing w:after="160"/>
      </w:pPr>
      <w:r>
        <w:rPr>
          <w:b/>
          <w:bCs/>
          <w:i w:val="false"/>
          <w:iCs w:val="false"/>
        </w:rPr>
        <w:t xml:space="preserve">La plataforma no debe posicionarse como:</w:t>
      </w:r>
    </w:p>
    <w:p>
      <w:pPr>
        <w:pStyle w:val="ListParagraph"/>
        <w:numPr>
          <w:ilvl w:val="0"/>
          <w:numId w:val="2"/>
        </w:numPr>
        <w:spacing w:after="60"/>
      </w:pPr>
      <w:r>
        <w:t xml:space="preserve">un reemplazo del diseñador humano;</w:t>
      </w:r>
    </w:p>
    <w:p>
      <w:pPr>
        <w:pStyle w:val="ListParagraph"/>
        <w:numPr>
          <w:ilvl w:val="0"/>
          <w:numId w:val="2"/>
        </w:numPr>
        <w:spacing w:after="60"/>
      </w:pPr>
      <w:r>
        <w:t xml:space="preserve">un generador de contenido comercial sin supervisión (precios, fechas, promociones nunca se inventan);</w:t>
      </w:r>
    </w:p>
    <w:p>
      <w:pPr>
        <w:pStyle w:val="ListParagraph"/>
        <w:numPr>
          <w:ilvl w:val="0"/>
          <w:numId w:val="2"/>
        </w:numPr>
        <w:spacing w:after="60"/>
      </w:pPr>
      <w:r>
        <w:t xml:space="preserve">un producto para terceros o clientes externos a IH;</w:t>
      </w:r>
    </w:p>
    <w:p>
      <w:pPr>
        <w:pStyle w:val="ListParagraph"/>
        <w:numPr>
          <w:ilvl w:val="0"/>
          <w:numId w:val="2"/>
        </w:numPr>
        <w:spacing w:after="60"/>
      </w:pPr>
      <w:r>
        <w:t xml:space="preserve">una fuente de verdad comercial — esa sigue siendo Marketing/el catálogo autorizado.</w:t>
      </w:r>
    </w:p>
    <w:p>
      <w:pPr>
        <w:pStyle w:val="Heading2"/>
        <w:spacing w:after="120" w:before="240"/>
      </w:pPr>
      <w:r>
        <w:t xml:space="preserve">2.1 Actualización de visión (2026-08-07): LATAM y expansión de materiales</w:t>
      </w:r>
    </w:p>
    <w:p>
      <w:pPr>
        <w:spacing w:after="160"/>
      </w:pPr>
      <w:r>
        <w:rPr>
          <w:b w:val="false"/>
          <w:bCs w:val="false"/>
          <w:i w:val="false"/>
          <w:iCs w:val="false"/>
        </w:rPr>
        <w:t xml:space="preserve">Axel confirmó que la ambición real de la plataforma es mucho mayor a lo que describen hoy PROJECT.md/ROADMAP.md: no es solo un generador de piezas sociales para México, sino “una plataforma de diseño para todo”, a nivel LATAM, cubriendo además tipos de material que hoy no existen en el sistema:</w:t>
      </w:r>
    </w:p>
    <w:p>
      <w:pPr>
        <w:pStyle w:val="ListParagraph"/>
        <w:numPr>
          <w:ilvl w:val="0"/>
          <w:numId w:val="2"/>
        </w:numPr>
        <w:spacing w:after="60"/>
      </w:pPr>
      <w:r>
        <w:t xml:space="preserve">Mailings / correos electrónicos (email marketing);</w:t>
      </w:r>
    </w:p>
    <w:p>
      <w:pPr>
        <w:pStyle w:val="ListParagraph"/>
        <w:numPr>
          <w:ilvl w:val="0"/>
          <w:numId w:val="2"/>
        </w:numPr>
        <w:spacing w:after="60"/>
      </w:pPr>
      <w:r>
        <w:t xml:space="preserve">Paquetería de marketing para colegios;</w:t>
      </w:r>
    </w:p>
    <w:p>
      <w:pPr>
        <w:pStyle w:val="ListParagraph"/>
        <w:numPr>
          <w:ilvl w:val="0"/>
          <w:numId w:val="2"/>
        </w:numPr>
        <w:spacing w:after="60"/>
      </w:pPr>
      <w:r>
        <w:t xml:space="preserve">Paquetería de marketing para sedes;</w:t>
      </w:r>
    </w:p>
    <w:p>
      <w:pPr>
        <w:pStyle w:val="ListParagraph"/>
        <w:numPr>
          <w:ilvl w:val="0"/>
          <w:numId w:val="2"/>
        </w:numPr>
        <w:spacing w:after="60"/>
      </w:pPr>
      <w:r>
        <w:t xml:space="preserve">Paquetería de marketing para ventas.</w:t>
      </w:r>
    </w:p>
    <w:p>
      <w:pPr>
        <w:spacing w:after="160"/>
      </w:pPr>
      <w:r>
        <w:rPr>
          <w:b/>
          <w:bCs/>
          <w:i w:val="false"/>
          <w:iCs w:val="false"/>
        </w:rPr>
        <w:t xml:space="preserve">Orden de prioridad confirmado por Axel para cuando se amplíe (2026-08-07):</w:t>
      </w:r>
    </w:p>
    <w:p>
      <w:pPr>
        <w:pStyle w:val="ListParagraph"/>
        <w:numPr>
          <w:ilvl w:val="0"/>
          <w:numId w:val="2"/>
        </w:numPr>
        <w:spacing w:after="60"/>
      </w:pPr>
      <w:r>
        <w:t xml:space="preserve">1. Paquetería de marketing para colegios;</w:t>
      </w:r>
    </w:p>
    <w:p>
      <w:pPr>
        <w:pStyle w:val="ListParagraph"/>
        <w:numPr>
          <w:ilvl w:val="0"/>
          <w:numId w:val="2"/>
        </w:numPr>
        <w:spacing w:after="60"/>
      </w:pPr>
      <w:r>
        <w:t xml:space="preserve">2. Paquetería de marketing para sedes;</w:t>
      </w:r>
    </w:p>
    <w:p>
      <w:pPr>
        <w:pStyle w:val="ListParagraph"/>
        <w:numPr>
          <w:ilvl w:val="0"/>
          <w:numId w:val="2"/>
        </w:numPr>
        <w:spacing w:after="60"/>
      </w:pPr>
      <w:r>
        <w:t xml:space="preserve">3. Paquetería de marketing para ventas;</w:t>
      </w:r>
    </w:p>
    <w:p>
      <w:pPr>
        <w:pStyle w:val="ListParagraph"/>
        <w:numPr>
          <w:ilvl w:val="0"/>
          <w:numId w:val="2"/>
        </w:numPr>
        <w:spacing w:after="60"/>
      </w:pPr>
      <w:r>
        <w:t xml:space="preserve">4. Mailings / correo electrónico.</w:t>
      </w:r>
    </w:p>
    <w:p>
      <w:pPr>
        <w:spacing w:after="160"/>
      </w:pPr>
      <w:r>
        <w:rPr>
          <w:b w:val="false"/>
          <w:bCs w:val="false"/>
          <w:i w:val="false"/>
          <w:iCs w:val="false"/>
        </w:rPr>
        <w:t xml:space="preserve">Decisión explícita sobre el ritmo: Axel eligió construir esta ampliación en paralelo al MVP actual de piezas sociales, no esperar a validarlo primero (opción “empezar ya en paralelo”, entre las alternativas planteadas). Esto se documenta como decisión consciente, no como recomendación de este documento — ver la tensión con los principios de alcance angosto en la Sección 31.6.</w:t>
      </w:r>
    </w:p>
    <w:p>
      <w:pPr>
        <w:spacing w:after="200"/>
      </w:pPr>
      <w:r>
        <w:rPr>
          <w:i/>
          <w:iCs/>
          <w:color w:val="6B7280"/>
        </w:rPr>
        <w:t xml:space="preserve">El documento IH Connect que sirvió de modelo advierte explícitamente contra ampliar el alcance antes de validar el mecanismo núcleo (Secciones 8, 33.7, 33.8 de ese documento). Axel conoce esa recomendación y decidió proceder en paralelo de todas formas — se registra aquí para que la decisión quede trazable, no para cuestionarla de nuevo en cada sección.</w:t>
      </w:r>
    </w:p>
    <w:p>
      <w:pPr>
        <w:pStyle w:val="Heading1"/>
        <w:spacing w:after="160" w:before="360"/>
      </w:pPr>
      <w:r>
        <w:t xml:space="preserve">3. Posicionamiento del producto</w:t>
      </w:r>
    </w:p>
    <w:p>
      <w:pPr>
        <w:spacing w:after="160"/>
      </w:pPr>
      <w:r>
        <w:rPr>
          <w:b w:val="false"/>
          <w:bCs w:val="false"/>
          <w:i w:val="false"/>
          <w:iCs w:val="false"/>
        </w:rPr>
        <w:t xml:space="preserve">IH Design Platform debe sentirse como:</w:t>
      </w:r>
    </w:p>
    <w:p>
      <w:pPr>
        <w:pStyle w:val="ListParagraph"/>
        <w:numPr>
          <w:ilvl w:val="0"/>
          <w:numId w:val="2"/>
        </w:numPr>
        <w:spacing w:after="60"/>
      </w:pPr>
      <w:r>
        <w:t xml:space="preserve">una herramienta operativa interna, no un producto de cara al público;</w:t>
      </w:r>
    </w:p>
    <w:p>
      <w:pPr>
        <w:pStyle w:val="ListParagraph"/>
        <w:numPr>
          <w:ilvl w:val="0"/>
          <w:numId w:val="2"/>
        </w:numPr>
        <w:spacing w:after="60"/>
      </w:pPr>
      <w:r>
        <w:t xml:space="preserve">una extensión natural del sistema de marca ya documentado en brand/;</w:t>
      </w:r>
    </w:p>
    <w:p>
      <w:pPr>
        <w:pStyle w:val="ListParagraph"/>
        <w:numPr>
          <w:ilvl w:val="0"/>
          <w:numId w:val="2"/>
        </w:numPr>
        <w:spacing w:after="60"/>
      </w:pPr>
      <w:r>
        <w:t xml:space="preserve">una base técnica sólida sobre la que Codex y Claude puedan trabajar en paralelo sin pisarse;</w:t>
      </w:r>
    </w:p>
    <w:p>
      <w:pPr>
        <w:pStyle w:val="ListParagraph"/>
        <w:numPr>
          <w:ilvl w:val="0"/>
          <w:numId w:val="2"/>
        </w:numPr>
        <w:spacing w:after="60"/>
      </w:pPr>
      <w:r>
        <w:t xml:space="preserve">un sistema donde ninguna regla de marca se inventa — se cita su fuente o se marca como pendiente.</w:t>
      </w:r>
    </w:p>
    <w:p>
      <w:pPr>
        <w:spacing w:after="160"/>
      </w:pPr>
      <w:r>
        <w:rPr>
          <w:b w:val="false"/>
          <w:bCs w:val="false"/>
          <w:i w:val="false"/>
          <w:iCs w:val="false"/>
        </w:rPr>
        <w:t xml:space="preserve">La primera versión debe priorizar corrección y trazabilidad sobre sofisticación visual del editor. Un sistema angosto, confiable y auditable es mejor que uno amplio con reglas de marca poco claras.</w:t>
      </w:r>
    </w:p>
    <w:p>
      <w:pPr>
        <w:pStyle w:val="Heading1"/>
        <w:spacing w:after="160" w:before="360"/>
      </w:pPr>
      <w:r>
        <w:t xml:space="preserve">4. Estado actual y enfoque de “prueba interna”</w:t>
      </w:r>
    </w:p>
    <w:p>
      <w:pPr>
        <w:spacing w:after="160"/>
      </w:pPr>
      <w:r>
        <w:rPr>
          <w:b w:val="false"/>
          <w:bCs w:val="false"/>
          <w:i w:val="false"/>
          <w:iCs w:val="false"/>
        </w:rPr>
        <w:t xml:space="preserve">IH Connect define un piloto formal (5-6 escuelas, fechas de calendario). IH Design Platform no tiene hoy un piloto formalmente definido — pero sí tiene, ya construido en código, un mecanismo equivalente:</w:t>
      </w:r>
    </w:p>
    <w:p>
      <w:pPr>
        <w:pStyle w:val="ListParagraph"/>
        <w:numPr>
          <w:ilvl w:val="0"/>
          <w:numId w:val="2"/>
        </w:numPr>
        <w:spacing w:after="60"/>
      </w:pPr>
      <w:r>
        <w:t xml:space="preserve">DESIGN_TEST_MODE=1 y DESIGN_TEST_LIMIT=50 en .env.example: las primeras 50 piezas de producto pasan a estado self_review (revisión de Claude) en vez de al flujo formal de aprobación humana;</w:t>
      </w:r>
    </w:p>
    <w:p>
      <w:pPr>
        <w:pStyle w:val="ListParagraph"/>
        <w:numPr>
          <w:ilvl w:val="0"/>
          <w:numId w:val="2"/>
        </w:numPr>
        <w:spacing w:after="60"/>
      </w:pPr>
      <w:r>
        <w:t xml:space="preserve">el endpoint POST /api/v1/designs/{id}/claude-review/ ya existe y guarda un resultado pass|needs_changes, sin aprobar humanamente la pieza;</w:t>
      </w:r>
    </w:p>
    <w:p>
      <w:pPr>
        <w:pStyle w:val="ListParagraph"/>
        <w:numPr>
          <w:ilvl w:val="0"/>
          <w:numId w:val="2"/>
        </w:numPr>
        <w:spacing w:after="60"/>
      </w:pPr>
      <w:r>
        <w:t xml:space="preserve">la aprobación formal humana queda explícitamente pendiente “para después de las 50 pruebas” (frontend/README.md);</w:t>
      </w:r>
    </w:p>
    <w:p>
      <w:pPr>
        <w:pStyle w:val="ListParagraph"/>
        <w:numPr>
          <w:ilvl w:val="0"/>
          <w:numId w:val="2"/>
        </w:numPr>
        <w:spacing w:after="60"/>
      </w:pPr>
      <w:r>
        <w:t xml:space="preserve">existe además un endpoint legado de aprobar/rechazar, pero mientras un brief de producto está en DESIGN_TEST_MODE, ese endpoint queda bloqueado y el flujo se redirige a claude-review — confirmado por Codex (2026-08-07).</w:t>
      </w:r>
    </w:p>
    <w:p>
      <w:pPr>
        <w:spacing w:after="160"/>
      </w:pPr>
      <w:r>
        <w:rPr>
          <w:b/>
          <w:bCs/>
          <w:i w:val="false"/>
          <w:iCs w:val="false"/>
        </w:rPr>
        <w:t xml:space="preserve">Estado real del lote, confirmado por Codex el 2026-08-07 (base de datos local, no un entorno de prueba con usuarios reales):</w:t>
      </w:r>
    </w:p>
    <w:p>
      <w:pPr>
        <w:pStyle w:val="ListParagraph"/>
        <w:numPr>
          <w:ilvl w:val="0"/>
          <w:numId w:val="2"/>
        </w:numPr>
        <w:spacing w:after="60"/>
      </w:pPr>
      <w:r>
        <w:t xml:space="preserve">0 de 50 piezas generadas;</w:t>
      </w:r>
    </w:p>
    <w:p>
      <w:pPr>
        <w:pStyle w:val="ListParagraph"/>
        <w:numPr>
          <w:ilvl w:val="0"/>
          <w:numId w:val="2"/>
        </w:numPr>
        <w:spacing w:after="60"/>
      </w:pPr>
      <w:r>
        <w:t xml:space="preserve">0 en self_review;</w:t>
      </w:r>
    </w:p>
    <w:p>
      <w:pPr>
        <w:pStyle w:val="ListParagraph"/>
        <w:numPr>
          <w:ilvl w:val="0"/>
          <w:numId w:val="2"/>
        </w:numPr>
        <w:spacing w:after="60"/>
      </w:pPr>
      <w:r>
        <w:t xml:space="preserve">0 con claude_review_status = pass;</w:t>
      </w:r>
    </w:p>
    <w:p>
      <w:pPr>
        <w:pStyle w:val="ListParagraph"/>
        <w:numPr>
          <w:ilvl w:val="0"/>
          <w:numId w:val="2"/>
        </w:numPr>
        <w:spacing w:after="60"/>
      </w:pPr>
      <w:r>
        <w:t xml:space="preserve">0 con claude_review_status = needs_changes;</w:t>
      </w:r>
    </w:p>
    <w:p>
      <w:pPr>
        <w:pStyle w:val="ListParagraph"/>
        <w:numPr>
          <w:ilvl w:val="0"/>
          <w:numId w:val="2"/>
        </w:numPr>
        <w:spacing w:after="60"/>
      </w:pPr>
      <w:r>
        <w:t xml:space="preserve">0 usuarios, 0 briefs, 0 diseños, 0 versiones en la base local.</w:t>
      </w:r>
    </w:p>
    <w:p>
      <w:pPr>
        <w:spacing w:after="200"/>
      </w:pPr>
      <w:r>
        <w:rPr>
          <w:i/>
          <w:iCs/>
          <w:color w:val="6B7280"/>
        </w:rPr>
        <w:t xml:space="preserve">Las 95 pruebas automatizadas (Sección 23) simulan el flujo completo mediante transacciones de prueba, pero no equivalen a piezas reales generadas — el lote de 50 no ha arrancado en la práctica todavía.</w:t>
      </w:r>
    </w:p>
    <w:p>
      <w:pPr>
        <w:spacing w:after="160"/>
      </w:pPr>
      <w:r>
        <w:rPr>
          <w:b w:val="false"/>
          <w:bCs w:val="false"/>
          <w:i w:val="false"/>
          <w:iCs w:val="false"/>
        </w:rPr>
        <w:t xml:space="preserve">Recomendación: tratar este lote de 50 piezas como el piloto real del MVP, y darle fechas y criterios de éxito explícitos (Sección 5) en vez de dejarlo como un parámetro técnico sin dueño ni fecha. Codex coincide en que, sin un entorno real (Sección 8.4/9.3), el lote no puede empezar a correr de verdad.</w:t>
      </w:r>
    </w:p>
    <w:p>
      <w:pPr>
        <w:pStyle w:val="Heading1"/>
        <w:spacing w:after="160" w:before="360"/>
      </w:pPr>
      <w:r>
        <w:t xml:space="preserve">5. Criterios de éxito propuestos (con plan de medición)</w:t>
      </w:r>
    </w:p>
    <w:p>
      <w:pPr>
        <w:spacing w:after="200"/>
      </w:pPr>
      <w:r>
        <w:rPr>
          <w:i/>
          <w:iCs/>
          <w:color w:val="6B7280"/>
        </w:rPr>
        <w:t xml:space="preserve">Ninguno de estos números existe hoy como compromiso confirmado — son una propuesta para discutir con Axel/Marketing, siguiendo el patrón de IH Connect de éxito medible y no aspiracional.</w:t>
      </w:r>
    </w:p>
    <w:p>
      <w:pPr>
        <w:spacing w:after="160"/>
      </w:pPr>
      <w:r>
        <w:rPr>
          <w:b w:val="false"/>
          <w:bCs w:val="false"/>
          <w:i w:val="false"/>
          <w:iCs w:val="false"/>
        </w:rPr>
        <w:t xml:space="preserve">Al terminar el lote de 50 piezas de prueba, se propone medir:</w:t>
      </w:r>
    </w:p>
    <w:p>
      <w:pPr>
        <w:pStyle w:val="ListParagraph"/>
        <w:numPr>
          <w:ilvl w:val="0"/>
          <w:numId w:val="2"/>
        </w:numPr>
        <w:spacing w:after="60"/>
      </w:pPr>
      <w:r>
        <w:t xml:space="preserve">las 50 piezas generadas y pasadas por self_review;</w:t>
      </w:r>
    </w:p>
    <w:p>
      <w:pPr>
        <w:pStyle w:val="ListParagraph"/>
        <w:numPr>
          <w:ilvl w:val="0"/>
          <w:numId w:val="2"/>
        </w:numPr>
        <w:spacing w:after="60"/>
      </w:pPr>
      <w:r>
        <w:t xml:space="preserve">0 violaciones de reglas de marca detectadas retroactivamente (color fuera de paleta, logo no aprobado, texto crítico inventado);</w:t>
      </w:r>
    </w:p>
    <w:p>
      <w:pPr>
        <w:pStyle w:val="ListParagraph"/>
        <w:numPr>
          <w:ilvl w:val="0"/>
          <w:numId w:val="2"/>
        </w:numPr>
        <w:spacing w:after="60"/>
      </w:pPr>
      <w:r>
        <w:t xml:space="preserve">% de piezas con claude_review_status = pass en el primer intento (línea base de calidad);</w:t>
      </w:r>
    </w:p>
    <w:p>
      <w:pPr>
        <w:pStyle w:val="ListParagraph"/>
        <w:numPr>
          <w:ilvl w:val="0"/>
          <w:numId w:val="2"/>
        </w:numPr>
        <w:spacing w:after="60"/>
      </w:pPr>
      <w:r>
        <w:t xml:space="preserve">tiempo promedio de brief a versión previsualizada;</w:t>
      </w:r>
    </w:p>
    <w:p>
      <w:pPr>
        <w:pStyle w:val="ListParagraph"/>
        <w:numPr>
          <w:ilvl w:val="0"/>
          <w:numId w:val="2"/>
        </w:numPr>
        <w:spacing w:after="60"/>
      </w:pPr>
      <w:r>
        <w:t xml:space="preserve">cobertura del catálogo de productos usada realmente en los briefs (¿se usan los 15 productos o solo un subconjunto?).</w:t>
      </w:r>
    </w:p>
    <w:p>
      <w:pPr>
        <w:pStyle w:val="Heading2"/>
        <w:spacing w:after="120" w:before="240"/>
      </w:pPr>
      <w:r>
        <w:t xml:space="preserve">5.1 Plan de medición</w:t>
      </w:r>
    </w:p>
    <w:p>
      <w:pPr>
        <w:spacing w:after="160"/>
      </w:pPr>
      <w:r>
        <w:rPr>
          <w:b w:val="false"/>
          <w:bCs w:val="false"/>
          <w:i w:val="false"/>
          <w:iCs w:val="false"/>
        </w:rPr>
        <w:t xml:space="preserve">Todos los criterios anteriores son derivables directamente de la base de datos (Design, DesignVersion, ValidationRun) — no se requiere herramienta de analítica externa.</w:t>
      </w:r>
    </w:p>
    <w:p>
      <w:pPr>
        <w:pStyle w:val="ListParagraph"/>
        <w:numPr>
          <w:ilvl w:val="0"/>
          <w:numId w:val="2"/>
        </w:numPr>
        <w:spacing w:after="60"/>
      </w:pPr>
      <w:r>
        <w:t xml:space="preserve">Falta definir un dueño que reporte el avance del lote de 50 (equivalente al “reporte semanal” de IH Connect);</w:t>
      </w:r>
    </w:p>
    <w:p>
      <w:pPr>
        <w:pStyle w:val="ListParagraph"/>
        <w:numPr>
          <w:ilvl w:val="0"/>
          <w:numId w:val="2"/>
        </w:numPr>
        <w:spacing w:after="60"/>
      </w:pPr>
      <w:r>
        <w:t xml:space="preserve">el esfuerzo de revisión humana de marca (como el de este mismo documento: 40/454 referencias visuales revisadas) debería medirse igual que el “tiempo de moderación por evento” en IH Connect, para decidir si vale la pena automatizar más.</w:t>
      </w:r>
    </w:p>
    <w:p>
      <w:pPr>
        <w:pStyle w:val="Heading1"/>
        <w:spacing w:after="160" w:before="360"/>
      </w:pPr>
      <w:r>
        <w:t xml:space="preserve">6. Enfoque de desarrollo</w:t>
      </w:r>
    </w:p>
    <w:p>
      <w:pPr>
        <w:spacing w:after="160"/>
      </w:pPr>
      <w:r>
        <w:rPr>
          <w:b w:val="false"/>
          <w:bCs w:val="false"/>
          <w:i w:val="false"/>
          <w:iCs w:val="false"/>
        </w:rPr>
        <w:t xml:space="preserve">El desarrollo es interno, asistido por IA, con dos agentes trabajando en paralelo sobre el mismo repositorio:</w:t>
      </w:r>
    </w:p>
    <w:p>
      <w:pPr>
        <w:pStyle w:val="ListParagraph"/>
        <w:numPr>
          <w:ilvl w:val="0"/>
          <w:numId w:val="2"/>
        </w:numPr>
        <w:spacing w:after="60"/>
      </w:pPr>
      <w:r>
        <w:t xml:space="preserve">Codex: construyó el backend Django/DRF, los modelos (assets, designs, briefs, catalog, campaigns, validations), el renderizador de plantillas y la ampliación del manifest de logos a 78 entradas;</w:t>
      </w:r>
    </w:p>
    <w:p>
      <w:pPr>
        <w:pStyle w:val="ListParagraph"/>
        <w:numPr>
          <w:ilvl w:val="0"/>
          <w:numId w:val="2"/>
        </w:numPr>
        <w:spacing w:after="60"/>
      </w:pPr>
      <w:r>
        <w:t xml:space="preserve">Claude: construyó el sistema de marca brand/ (tokens, colores por producto, documentación) y la capa de conocimiento brand/knowledge/ (catálogo de productos, anotación de las 454 referencias visuales);</w:t>
      </w:r>
    </w:p>
    <w:p>
      <w:pPr>
        <w:pStyle w:val="ListParagraph"/>
        <w:numPr>
          <w:ilvl w:val="0"/>
          <w:numId w:val="2"/>
        </w:numPr>
        <w:spacing w:after="60"/>
      </w:pPr>
      <w:r>
        <w:t xml:space="preserve">control de versiones: Git/GitHub, repositorio bajo la cuenta personal axelest10 (ver riesgo en Sección 31 y pregunta abierta en Sección 35);</w:t>
      </w:r>
    </w:p>
    <w:p>
      <w:pPr>
        <w:pStyle w:val="ListParagraph"/>
        <w:numPr>
          <w:ilvl w:val="0"/>
          <w:numId w:val="2"/>
        </w:numPr>
        <w:spacing w:after="60"/>
      </w:pPr>
      <w:r>
        <w:t xml:space="preserve">CI ya configurado (.github/workflows/ci.yml): ruff check, python manage.py check y pytest en cada push/PR a main;</w:t>
      </w:r>
    </w:p>
    <w:p>
      <w:pPr>
        <w:pStyle w:val="ListParagraph"/>
        <w:numPr>
          <w:ilvl w:val="0"/>
          <w:numId w:val="2"/>
        </w:numPr>
        <w:spacing w:after="60"/>
      </w:pPr>
      <w:r>
        <w:t xml:space="preserve">no se hace git add/commit/push sin autorización explícita de Axel en las sesiones de Claude — los cambios se acumulan localmente y Axel decide cuándo confirmarlos.</w:t>
      </w:r>
    </w:p>
    <w:p>
      <w:pPr>
        <w:spacing w:after="160"/>
      </w:pPr>
      <w:r>
        <w:rPr>
          <w:b/>
          <w:bCs/>
          <w:i w:val="false"/>
          <w:iCs w:val="false"/>
        </w:rPr>
        <w:t xml:space="preserve">Brechas frente al método de IH Connect (a decidir, no asumir):</w:t>
      </w:r>
    </w:p>
    <w:p>
      <w:pPr>
        <w:pStyle w:val="ListParagraph"/>
        <w:numPr>
          <w:ilvl w:val="0"/>
          <w:numId w:val="2"/>
        </w:numPr>
        <w:spacing w:after="60"/>
      </w:pPr>
      <w:r>
        <w:t xml:space="preserve">confirmado por Codex (2026-08-07): no hay evidencia en el repositorio de branch protection, revisión de PR obligatoria, ni bloqueo de pushes directos a main — la configuración real de GitHub (que vive fuera del código) debe verificarse directamente en github.com por Axel;</w:t>
      </w:r>
    </w:p>
    <w:p>
      <w:pPr>
        <w:pStyle w:val="ListParagraph"/>
        <w:numPr>
          <w:ilvl w:val="0"/>
          <w:numId w:val="2"/>
        </w:numPr>
        <w:spacing w:after="60"/>
      </w:pPr>
      <w:r>
        <w:t xml:space="preserve">no hay escaneo de secretos (secret scanning) ni Dependabot/Renovate confirmados;</w:t>
      </w:r>
    </w:p>
    <w:p>
      <w:pPr>
        <w:pStyle w:val="ListParagraph"/>
        <w:numPr>
          <w:ilvl w:val="0"/>
          <w:numId w:val="2"/>
        </w:numPr>
        <w:spacing w:after="60"/>
      </w:pPr>
      <w:r>
        <w:t xml:space="preserve">protocolo de coordinación entre Codex y Claude: ya no es un vacío — ver división de responsabilidad y archivos compartidos confirmados por Codex en la Sección 29.</w:t>
      </w:r>
    </w:p>
    <w:p>
      <w:pPr>
        <w:spacing w:after="160"/>
      </w:pPr>
      <w:r>
        <w:rPr>
          <w:b w:val="false"/>
          <w:bCs w:val="false"/>
          <w:i w:val="false"/>
          <w:iCs w:val="false"/>
        </w:rPr>
        <w:t xml:space="preserve">Recomendación directa de IH Connect que sí aplica aquí sin cambios: código generado por IA fusionado sin revisión humana es el mayor riesgo de calidad del proyecto — la revisión antes de cada cambio estructural (ya mandatada en AGENTS.md: “ejecuta ruff check ., python manage.py check y pytest antes de cada cambio estructural”) es el mecanismo correcto; falta solo formalizarlo como política de PR.</w:t>
      </w:r>
    </w:p>
    <w:p>
      <w:pPr>
        <w:pStyle w:val="Heading1"/>
        <w:spacing w:after="160" w:before="360"/>
      </w:pPr>
      <w:r>
        <w:t xml:space="preserve">7. Principios core del producto</w:t>
      </w:r>
    </w:p>
    <w:p>
      <w:pPr>
        <w:pStyle w:val="Heading2"/>
        <w:spacing w:after="120" w:before="240"/>
      </w:pPr>
      <w:r>
        <w:t xml:space="preserve">7.1 Brief-first</w:t>
      </w:r>
    </w:p>
    <w:p>
      <w:pPr>
        <w:spacing w:after="160"/>
      </w:pPr>
      <w:r>
        <w:rPr>
          <w:b w:val="false"/>
          <w:bCs w:val="false"/>
          <w:i w:val="false"/>
          <w:iCs w:val="false"/>
        </w:rPr>
        <w:t xml:space="preserve">Todo lo que el sistema genera parte de un DesignBrief válido y aprobado (producto, sede, campaña, formato). No hay generación libre sin brief.</w:t>
      </w:r>
    </w:p>
    <w:p>
      <w:pPr>
        <w:pStyle w:val="Heading2"/>
        <w:spacing w:after="120" w:before="240"/>
      </w:pPr>
      <w:r>
        <w:t xml:space="preserve">7.2 No comercial</w:t>
      </w:r>
    </w:p>
    <w:p>
      <w:pPr>
        <w:spacing w:after="160"/>
      </w:pPr>
      <w:r>
        <w:rPr>
          <w:b w:val="false"/>
          <w:bCs w:val="false"/>
          <w:i w:val="false"/>
          <w:iCs w:val="false"/>
        </w:rPr>
        <w:t xml:space="preserve">Herramienta interna, sin plan de monetización ni de uso por terceros.</w:t>
      </w:r>
    </w:p>
    <w:p>
      <w:pPr>
        <w:pStyle w:val="Heading2"/>
        <w:spacing w:after="120" w:before="240"/>
      </w:pPr>
      <w:r>
        <w:t xml:space="preserve">7.3 Fidelidad de marca primero (equivalente a “safeguarding-first”)</w:t>
      </w:r>
    </w:p>
    <w:p>
      <w:pPr>
        <w:spacing w:after="160"/>
      </w:pPr>
      <w:r>
        <w:rPr>
          <w:b w:val="false"/>
          <w:bCs w:val="false"/>
          <w:i w:val="false"/>
          <w:iCs w:val="false"/>
        </w:rPr>
        <w:t xml:space="preserve">Las reglas de marca no se pueden agregar después. Ya están integradas desde la base: branding.services.validators valida color/logo contra brand/ antes de que cualquier pieza se considere válida. Ningún color, cifra o regla se inventa; lo no documentado se marca explícitamente como pendiente (ver DECISIONS.md, con 10+ decisiones registradas así).</w:t>
      </w:r>
    </w:p>
    <w:p>
      <w:pPr>
        <w:pStyle w:val="Heading2"/>
        <w:spacing w:after="120" w:before="240"/>
      </w:pPr>
      <w:r>
        <w:t xml:space="preserve">7.4 Acceso solo corporativo, no público</w:t>
      </w:r>
    </w:p>
    <w:p>
      <w:pPr>
        <w:spacing w:after="160"/>
      </w:pPr>
      <w:r>
        <w:rPr>
          <w:b w:val="false"/>
          <w:bCs w:val="false"/>
          <w:i w:val="false"/>
          <w:iCs w:val="false"/>
        </w:rPr>
        <w:t xml:space="preserve">Equivalente a “invite-only” de IH Connect: DJANGO_REQUIRE_CORPORATE_AUTH + CORPORATE_ALLOWED_EMAIL_DOMAINS restringen el acceso a dominios de correo de IH (ihmexico.com, ihbogota.com, ihsantiago.cl, ihlima.com). No hay registro público.</w:t>
      </w:r>
    </w:p>
    <w:p>
      <w:pPr>
        <w:pStyle w:val="Heading2"/>
        <w:spacing w:after="120" w:before="240"/>
      </w:pPr>
      <w:r>
        <w:t xml:space="preserve">7.5 Modular por diseño</w:t>
      </w:r>
    </w:p>
    <w:p>
      <w:pPr>
        <w:spacing w:after="160"/>
      </w:pPr>
      <w:r>
        <w:rPr>
          <w:b w:val="false"/>
          <w:bCs w:val="false"/>
          <w:i w:val="false"/>
          <w:iCs w:val="false"/>
        </w:rPr>
        <w:t xml:space="preserve">Ya cumplido: apps Django independientes (branding, catalog, campaigns, briefs, designs, assets, validations, ai, security) en vez de un monolito sin separación. No son microservicios — correcto para este tamaño de equipo.</w:t>
      </w:r>
    </w:p>
    <w:p>
      <w:pPr>
        <w:pStyle w:val="Heading2"/>
        <w:spacing w:after="120" w:before="240"/>
      </w:pPr>
      <w:r>
        <w:t xml:space="preserve">7.6 Configurable, no hardcodeado</w:t>
      </w:r>
    </w:p>
    <w:p>
      <w:pPr>
        <w:spacing w:after="160"/>
      </w:pPr>
      <w:r>
        <w:rPr>
          <w:b w:val="false"/>
          <w:bCs w:val="false"/>
          <w:i w:val="false"/>
          <w:iCs w:val="false"/>
        </w:rPr>
        <w:t xml:space="preserve">Ya cumplido en brand/: colores, tipografía, espaciado y colores por producto son YAML fuente, nunca hardcodeados en código; se regeneran con generate_tokens.py --check. El mismo patrón se extendió a brand/knowledge/ (catálogo de productos y anotaciones visuales).</w:t>
      </w:r>
    </w:p>
    <w:p>
      <w:pPr>
        <w:pStyle w:val="Heading2"/>
        <w:spacing w:after="120" w:before="240"/>
      </w:pPr>
      <w:r>
        <w:t xml:space="preserve">7.7 Los permisos son infraestructura, no solo UI</w:t>
      </w:r>
    </w:p>
    <w:p>
      <w:pPr>
        <w:spacing w:after="160"/>
      </w:pPr>
      <w:r>
        <w:rPr>
          <w:b w:val="false"/>
          <w:bCs w:val="false"/>
          <w:i w:val="false"/>
          <w:iCs w:val="false"/>
        </w:rPr>
        <w:t xml:space="preserve">RolePermission y RoleAwareViewSet ya aplican reglas por rol a nivel de backend (no solo ocultan botones en el frontend). Roles definidos: platform_admin, marketing, designer, reviewer, viewer.</w:t>
      </w:r>
    </w:p>
    <w:p>
      <w:pPr>
        <w:pStyle w:val="Heading2"/>
        <w:spacing w:after="120" w:before="240"/>
      </w:pPr>
      <w:r>
        <w:t xml:space="preserve">7.8 Auditabilidad y procedencia (equivalente a “auditability”)</w:t>
      </w:r>
    </w:p>
    <w:p>
      <w:pPr>
        <w:spacing w:after="160"/>
      </w:pPr>
      <w:r>
        <w:rPr>
          <w:b w:val="false"/>
          <w:bCs w:val="false"/>
          <w:i w:val="false"/>
          <w:iCs w:val="false"/>
        </w:rPr>
        <w:t xml:space="preserve">Cada dato de marca cita su fuente exacta (documento, página, fecha de confirmación del cliente). Cada anotación visual tiene un campo annotation_source. DECISIONS.md registra cada decisión resuelta con su motivo. Falta: audit log formal a nivel de backend (creación de usuarios, cambios de rol, exportaciones) — hoy no existe, a diferencia de IH Connect.</w:t>
      </w:r>
    </w:p>
    <w:p>
      <w:pPr>
        <w:pStyle w:val="Heading2"/>
        <w:spacing w:after="120" w:before="240"/>
      </w:pPr>
      <w:r>
        <w:t xml:space="preserve">7.9 Listo para IA (equivalente a “future AI-readable”)</w:t>
      </w:r>
    </w:p>
    <w:p>
      <w:pPr>
        <w:spacing w:after="160"/>
      </w:pPr>
      <w:r>
        <w:rPr>
          <w:b w:val="false"/>
          <w:bCs w:val="false"/>
          <w:i w:val="false"/>
          <w:iCs w:val="false"/>
        </w:rPr>
        <w:t xml:space="preserve">Ya más avanzado que el equivalente de IH Connect: brand/knowledge/artwork-reference-knowledge.json estructura 454 referencias visuales con vocabulario controlado específicamente para que una IA las use como contexto, no solo para archivo.</w:t>
      </w:r>
    </w:p>
    <w:p>
      <w:pPr>
        <w:pStyle w:val="Heading2"/>
        <w:spacing w:after="120" w:before="240"/>
      </w:pPr>
      <w:r>
        <w:t xml:space="preserve">7.10 Seguro por defecto</w:t>
      </w:r>
    </w:p>
    <w:p>
      <w:pPr>
        <w:spacing w:after="160"/>
      </w:pPr>
      <w:r>
        <w:rPr>
          <w:b w:val="false"/>
          <w:bCs w:val="false"/>
          <w:i w:val="false"/>
          <w:iCs w:val="false"/>
        </w:rPr>
        <w:t xml:space="preserve">Existe el gate de dominio corporativo. Faltan, respecto al estándar de IH Connect: cabeceras de seguridad (Helmet o equivalente Django), rate limiting en endpoints sensibles, 2FA para roles administrativos, CORS estricto documentado — ninguno confirmado en el repo actual.</w:t>
      </w:r>
    </w:p>
    <w:p>
      <w:pPr>
        <w:pStyle w:val="Heading1"/>
        <w:spacing w:after="160" w:before="360"/>
      </w:pPr>
      <w:r>
        <w:t xml:space="preserve">8. Arquitectura y hosting</w:t>
      </w:r>
    </w:p>
    <w:p>
      <w:pPr>
        <w:pStyle w:val="Heading2"/>
        <w:spacing w:after="120" w:before="240"/>
      </w:pPr>
      <w:r>
        <w:t xml:space="preserve">8.1 Decisión de arquitectura</w:t>
      </w:r>
    </w:p>
    <w:p>
      <w:pPr>
        <w:spacing w:after="160"/>
      </w:pPr>
      <w:r>
        <w:rPr>
          <w:b w:val="false"/>
          <w:bCs w:val="false"/>
          <w:i w:val="false"/>
          <w:iCs w:val="false"/>
        </w:rPr>
        <w:t xml:space="preserve">Backend Django/DRF modular en un solo repositorio (no monorepo separado en apps/packages como IH Connect). Frontend actual: HTML/CSS/JavaScript vanilla estático (frontend/index.html, panel.html, admin.html) — no un framework como Next.js.</w:t>
      </w:r>
    </w:p>
    <w:p>
      <w:pPr>
        <w:spacing w:after="160"/>
      </w:pPr>
      <w:r>
        <w:rPr>
          <w:b w:val="false"/>
          <w:bCs w:val="false"/>
          <w:i w:val="false"/>
          <w:iCs w:val="false"/>
        </w:rPr>
        <w:t xml:space="preserve">Estructura real:</w:t>
      </w:r>
    </w:p>
    <w:p>
      <w:pPr>
        <w:pStyle w:val="ListParagraph"/>
        <w:numPr>
          <w:ilvl w:val="0"/>
          <w:numId w:val="2"/>
        </w:numPr>
        <w:spacing w:after="60"/>
      </w:pPr>
      <w:r>
        <w:t xml:space="preserve">backend/ — apps Django: ai, assets, branding, briefs, campaigns, catalog, common, config, designs, security, validations;</w:t>
      </w:r>
    </w:p>
    <w:p>
      <w:pPr>
        <w:pStyle w:val="ListParagraph"/>
        <w:numPr>
          <w:ilvl w:val="0"/>
          <w:numId w:val="2"/>
        </w:numPr>
        <w:spacing w:after="60"/>
      </w:pPr>
      <w:r>
        <w:t xml:space="preserve">brand/ — sistema de marca basado en archivos (tokens, colores por producto, activos, documentación, conocimiento);</w:t>
      </w:r>
    </w:p>
    <w:p>
      <w:pPr>
        <w:pStyle w:val="ListParagraph"/>
        <w:numPr>
          <w:ilvl w:val="0"/>
          <w:numId w:val="2"/>
        </w:numPr>
        <w:spacing w:after="60"/>
      </w:pPr>
      <w:r>
        <w:t xml:space="preserve">frontend/ — HTML/CSS/JS estático + plantillas de diseño HTML/SVG versionadas;</w:t>
      </w:r>
    </w:p>
    <w:p>
      <w:pPr>
        <w:pStyle w:val="ListParagraph"/>
        <w:numPr>
          <w:ilvl w:val="0"/>
          <w:numId w:val="2"/>
        </w:numPr>
        <w:spacing w:after="60"/>
      </w:pPr>
      <w:r>
        <w:t xml:space="preserve">contracts/ — JSON Schema del contrato de brief;</w:t>
      </w:r>
    </w:p>
    <w:p>
      <w:pPr>
        <w:pStyle w:val="ListParagraph"/>
        <w:numPr>
          <w:ilvl w:val="0"/>
          <w:numId w:val="2"/>
        </w:numPr>
        <w:spacing w:after="60"/>
      </w:pPr>
      <w:r>
        <w:t xml:space="preserve">infrastructure/ — Dockerfile y docker-compose.yml (solo para Postgres/Redis locales, no para despliegue);</w:t>
      </w:r>
    </w:p>
    <w:p>
      <w:pPr>
        <w:pStyle w:val="ListParagraph"/>
        <w:numPr>
          <w:ilvl w:val="0"/>
          <w:numId w:val="2"/>
        </w:numPr>
        <w:spacing w:after="60"/>
      </w:pPr>
      <w:r>
        <w:t xml:space="preserve">products/ — reservado para datos comerciales autorizados, hoy vacío (Marketing no ha entregado el catálogo piloto).</w:t>
      </w:r>
    </w:p>
    <w:p>
      <w:pPr>
        <w:pStyle w:val="Heading2"/>
        <w:spacing w:after="120" w:before="240"/>
      </w:pPr>
      <w:r>
        <w:t xml:space="preserve">8.2 Por qué no un editor visual completo desde el día uno</w:t>
      </w:r>
    </w:p>
    <w:p>
      <w:pPr>
        <w:spacing w:after="160"/>
      </w:pPr>
      <w:r>
        <w:rPr>
          <w:b w:val="false"/>
          <w:bCs w:val="false"/>
          <w:i w:val="false"/>
          <w:iCs w:val="false"/>
        </w:rPr>
        <w:t xml:space="preserve">Construir un editor visual completo (tipo Canva) antes de validar que el pipeline brief → plantilla controlada → revisión funciona sería repetir el error que IH Connect evita explícitamente en su Sección 8.2/8.3: sofisticación de producto antes de validar el mecanismo núcleo.</w:t>
      </w:r>
    </w:p>
    <w:p>
      <w:pPr>
        <w:pStyle w:val="Heading2"/>
        <w:spacing w:after="120" w:before="240"/>
      </w:pPr>
      <w:r>
        <w:t xml:space="preserve">8.3 Por qué no microservicios</w:t>
      </w:r>
    </w:p>
    <w:p>
      <w:pPr>
        <w:spacing w:after="160"/>
      </w:pPr>
      <w:r>
        <w:rPr>
          <w:b w:val="false"/>
          <w:bCs w:val="false"/>
          <w:i w:val="false"/>
          <w:iCs w:val="false"/>
        </w:rPr>
        <w:t xml:space="preserve">Igual que IH Connect: separar auth, catálogo, diseños, activos y validaciones en servicios desplegables distintos sería prematuro para un equipo de una persona + dos agentes de IA. Las apps Django modulares ya dan la separación necesaria sin la complejidad de un sistema distribuido.</w:t>
      </w:r>
    </w:p>
    <w:p>
      <w:pPr>
        <w:pStyle w:val="Heading2"/>
        <w:spacing w:after="120" w:before="240"/>
      </w:pPr>
      <w:r>
        <w:t xml:space="preserve">8.4 Hosting</w:t>
      </w:r>
    </w:p>
    <w:p>
      <w:pPr>
        <w:spacing w:after="160"/>
      </w:pPr>
      <w:r>
        <w:rPr>
          <w:b w:val="false"/>
          <w:bCs w:val="false"/>
          <w:i w:val="false"/>
          <w:iCs w:val="false"/>
        </w:rPr>
        <w:t xml:space="preserve">No decidido. A diferencia de IH Connect (Railway ya elegido, subdominio propuesto), IH Design Platform hoy solo corre en local con SQLite. infrastructure/docker-compose.yml levanta Postgres y Redis localmente, pero no hay ningún entorno de Development/Production desplegado. Ver pregunta abierta en Sección 35.</w:t>
      </w:r>
    </w:p>
    <w:p>
      <w:pPr>
        <w:pStyle w:val="Heading1"/>
        <w:spacing w:after="160" w:before="360"/>
      </w:pPr>
      <w:r>
        <w:t xml:space="preserve">9. Stack tecnológico detallado</w:t>
      </w:r>
    </w:p>
    <w:p>
      <w:pPr>
        <w:pStyle w:val="Heading2"/>
        <w:spacing w:after="120" w:before="240"/>
      </w:pPr>
      <w:r>
        <w:t xml:space="preserve">9.1 Backend</w:t>
      </w:r>
    </w:p>
    <w:p>
      <w:pPr>
        <w:pStyle w:val="ListParagraph"/>
        <w:numPr>
          <w:ilvl w:val="0"/>
          <w:numId w:val="2"/>
        </w:numPr>
        <w:spacing w:after="60"/>
      </w:pPr>
      <w:r>
        <w:t xml:space="preserve">Django 5.1+ y Django REST Framework;</w:t>
      </w:r>
    </w:p>
    <w:p>
      <w:pPr>
        <w:pStyle w:val="ListParagraph"/>
        <w:numPr>
          <w:ilvl w:val="0"/>
          <w:numId w:val="2"/>
        </w:numPr>
        <w:spacing w:after="60"/>
      </w:pPr>
      <w:r>
        <w:t xml:space="preserve">Celery 5.4 + Redis (preparado en requirements.txt, sin uso activo confirmado);</w:t>
      </w:r>
    </w:p>
    <w:p>
      <w:pPr>
        <w:pStyle w:val="ListParagraph"/>
        <w:numPr>
          <w:ilvl w:val="0"/>
          <w:numId w:val="2"/>
        </w:numPr>
        <w:spacing w:after="60"/>
      </w:pPr>
      <w:r>
        <w:t xml:space="preserve">psycopg[binary] 3.2 (driver Postgres, listo para cuando se migre de SQLite);</w:t>
      </w:r>
    </w:p>
    <w:p>
      <w:pPr>
        <w:pStyle w:val="ListParagraph"/>
        <w:numPr>
          <w:ilvl w:val="0"/>
          <w:numId w:val="2"/>
        </w:numPr>
        <w:spacing w:after="60"/>
      </w:pPr>
      <w:r>
        <w:t xml:space="preserve">boto3 + django-storages[s3] (preparado para S3, AWS_STORAGE_BUCKET_NAME vacío hoy);</w:t>
      </w:r>
    </w:p>
    <w:p>
      <w:pPr>
        <w:pStyle w:val="ListParagraph"/>
        <w:numPr>
          <w:ilvl w:val="0"/>
          <w:numId w:val="2"/>
        </w:numPr>
        <w:spacing w:after="60"/>
      </w:pPr>
      <w:r>
        <w:t xml:space="preserve">jsonschema (valida el contrato de brief contra contracts/design-brief.schema.json);</w:t>
      </w:r>
    </w:p>
    <w:p>
      <w:pPr>
        <w:pStyle w:val="ListParagraph"/>
        <w:numPr>
          <w:ilvl w:val="0"/>
          <w:numId w:val="2"/>
        </w:numPr>
        <w:spacing w:after="60"/>
      </w:pPr>
      <w:r>
        <w:t xml:space="preserve">PyYAML (lee brand/ y brand/knowledge/);</w:t>
      </w:r>
    </w:p>
    <w:p>
      <w:pPr>
        <w:pStyle w:val="ListParagraph"/>
        <w:numPr>
          <w:ilvl w:val="0"/>
          <w:numId w:val="2"/>
        </w:numPr>
        <w:spacing w:after="60"/>
      </w:pPr>
      <w:r>
        <w:t xml:space="preserve">Pillow (procesamiento de imagen);</w:t>
      </w:r>
    </w:p>
    <w:p>
      <w:pPr>
        <w:pStyle w:val="ListParagraph"/>
        <w:numPr>
          <w:ilvl w:val="0"/>
          <w:numId w:val="2"/>
        </w:numPr>
        <w:spacing w:after="60"/>
      </w:pPr>
      <w:r>
        <w:t xml:space="preserve">openai SDK (proveedor de IA inicial, modelo por defecto gpt-4.1-mini);</w:t>
      </w:r>
    </w:p>
    <w:p>
      <w:pPr>
        <w:pStyle w:val="ListParagraph"/>
        <w:numPr>
          <w:ilvl w:val="0"/>
          <w:numId w:val="2"/>
        </w:numPr>
        <w:spacing w:after="60"/>
      </w:pPr>
      <w:r>
        <w:t xml:space="preserve">gunicorn (servidor WSGI de producción, sin entorno de producción activo aún).</w:t>
      </w:r>
    </w:p>
    <w:p>
      <w:pPr>
        <w:pStyle w:val="Heading2"/>
        <w:spacing w:after="120" w:before="240"/>
      </w:pPr>
      <w:r>
        <w:t xml:space="preserve">9.2 Frontend</w:t>
      </w:r>
    </w:p>
    <w:p>
      <w:pPr>
        <w:pStyle w:val="ListParagraph"/>
        <w:numPr>
          <w:ilvl w:val="0"/>
          <w:numId w:val="2"/>
        </w:numPr>
        <w:spacing w:after="60"/>
      </w:pPr>
      <w:r>
        <w:t xml:space="preserve">HTML/CSS/JavaScript vanilla, sin build tooling ni framework (index.html, panel.html, admin.html);</w:t>
      </w:r>
    </w:p>
    <w:p>
      <w:pPr>
        <w:pStyle w:val="ListParagraph"/>
        <w:numPr>
          <w:ilvl w:val="0"/>
          <w:numId w:val="2"/>
        </w:numPr>
        <w:spacing w:after="60"/>
      </w:pPr>
      <w:r>
        <w:t xml:space="preserve">plantillas de pieza versionadas en HTML+SVG (frontend/templates/designs/square-v1.{html,svg}), con manifest.yaml propio;</w:t>
      </w:r>
    </w:p>
    <w:p>
      <w:pPr>
        <w:pStyle w:val="ListParagraph"/>
        <w:numPr>
          <w:ilvl w:val="0"/>
          <w:numId w:val="2"/>
        </w:numPr>
        <w:spacing w:after="60"/>
      </w:pPr>
      <w:r>
        <w:t xml:space="preserve">un solo template implementado (square-v1); story y portrait están en el roadmap de Fase 2 pero no construidos.</w:t>
      </w:r>
    </w:p>
    <w:p>
      <w:pPr>
        <w:pStyle w:val="Heading2"/>
        <w:spacing w:after="120" w:before="240"/>
      </w:pPr>
      <w:r>
        <w:t xml:space="preserve">9.3 Base de datos</w:t>
      </w:r>
    </w:p>
    <w:p>
      <w:pPr>
        <w:spacing w:after="160"/>
      </w:pPr>
      <w:r>
        <w:rPr>
          <w:b w:val="false"/>
          <w:bCs w:val="false"/>
          <w:i w:val="false"/>
          <w:iCs w:val="false"/>
        </w:rPr>
        <w:t xml:space="preserve">SQLite en desarrollo local; PostgreSQL “recomendada” para staging/producción según README.md, pero no aprovisionada en ningún entorno real todavía. Confirmado por Codex (2026-08-07): no hay evidencia de una migración real a Postgres en ningún entorno; la base local actual tiene 0 usuarios, 0 briefs, 0 diseños y 0 versiones — el sistema tiene código y pruebas, pero todavía no tiene operación real.</w:t>
      </w:r>
    </w:p>
    <w:p>
      <w:pPr>
        <w:pStyle w:val="Heading2"/>
        <w:spacing w:after="120" w:before="240"/>
      </w:pPr>
      <w:r>
        <w:t xml:space="preserve">9.4 IA y división de responsabilidad Codex/Claude</w:t>
      </w:r>
    </w:p>
    <w:p>
      <w:pPr>
        <w:spacing w:after="160"/>
      </w:pPr>
      <w:r>
        <w:rPr>
          <w:b w:val="false"/>
          <w:bCs w:val="false"/>
          <w:i w:val="false"/>
          <w:iCs w:val="false"/>
        </w:rPr>
        <w:t xml:space="preserve">Interfaz propia AIProvider con un adaptador OpenAI como único proveedor formal de generación en el backend. Responsabilidades acordadas, confirmadas por Codex (2026-08-07): Codex mantiene backend/, migraciones, endpoints, frontend y el renderizador; Claude mantiene la curación de brand/knowledge/ y realiza la revisión visual de las piezas (claude-review). Claude no está integrado como proveedor de generación dentro del backend — no reemplaza ni compite con AIProvider/OpenAI.</w:t>
      </w:r>
    </w:p>
    <w:p>
      <w:pPr>
        <w:spacing w:after="160"/>
      </w:pPr>
      <w:r>
        <w:rPr>
          <w:b w:val="false"/>
          <w:bCs w:val="false"/>
          <w:i w:val="false"/>
          <w:iCs w:val="false"/>
        </w:rPr>
        <w:t xml:space="preserve">PROJECT.md sigue diciendo “no se incorpora Claude en este MVP”, lo cual está desactualizado según el propio Codex — el texto correcto no es que Claude esté ausente, sino que Claude participa como curador de marca/conocimiento y revisor visual, no como proveedor de generación en backend/ai. Acción pendiente: actualizar PROJECT.md con esta distinción (Sección 37).</w:t>
      </w:r>
    </w:p>
    <w:p>
      <w:pPr>
        <w:pStyle w:val="Heading2"/>
        <w:spacing w:after="120" w:before="240"/>
      </w:pPr>
      <w:r>
        <w:t xml:space="preserve">9.5 Sistema de marca (brand/)</w:t>
      </w:r>
    </w:p>
    <w:p>
      <w:pPr>
        <w:spacing w:after="160"/>
      </w:pPr>
      <w:r>
        <w:rPr>
          <w:b w:val="false"/>
          <w:bCs w:val="false"/>
          <w:i w:val="false"/>
          <w:iCs w:val="false"/>
        </w:rPr>
        <w:t xml:space="preserve">Patrón “fuente YAML → generado, nunca editado a mano” aplicado dos veces: brand/tokens/ + brand/product-colors/ (colores, tipografía) y, más reciente, brand/knowledge/ (catálogo de productos + anotación de las 454 referencias visuales), cada uno con su propio script generador y bandera --check usada en pruebas.</w:t>
      </w:r>
    </w:p>
    <w:p>
      <w:pPr>
        <w:pStyle w:val="Heading1"/>
        <w:spacing w:after="160" w:before="360"/>
      </w:pPr>
      <w:r>
        <w:t xml:space="preserve">10. Ubicación de hosting y protección de datos</w:t>
      </w:r>
    </w:p>
    <w:p>
      <w:pPr>
        <w:spacing w:after="160"/>
      </w:pPr>
      <w:r>
        <w:rPr>
          <w:b w:val="false"/>
          <w:bCs w:val="false"/>
          <w:i w:val="false"/>
          <w:iCs w:val="false"/>
        </w:rPr>
        <w:t xml:space="preserve">No aplica una revisión de protección de datos como la de IH Connect (no hay datos de menores de edad ni una escuela externa registrando alumnos). Sí hay una pregunta real pendiente: ¿el sistema llega a manejar datos personales de terceros (contactos de campañas, leads capturados en piezas de conversión) que ameriten una política de retención? Hoy no hay evidencia de que se recolecte ese tipo de dato — se deja como pregunta abierta en vez de asumir que no aplica.</w:t>
      </w:r>
    </w:p>
    <w:p>
      <w:pPr>
        <w:pStyle w:val="Heading1"/>
        <w:spacing w:after="160" w:before="360"/>
      </w:pPr>
      <w:r>
        <w:t xml:space="preserve">11. Autenticación y cuentas</w:t>
      </w:r>
    </w:p>
    <w:p>
      <w:pPr>
        <w:spacing w:after="160"/>
      </w:pPr>
      <w:r>
        <w:rPr>
          <w:b w:val="false"/>
          <w:bCs w:val="false"/>
          <w:i w:val="false"/>
          <w:iCs w:val="false"/>
        </w:rPr>
        <w:t xml:space="preserve">Mecanismo real hoy:</w:t>
      </w:r>
    </w:p>
    <w:p>
      <w:pPr>
        <w:pStyle w:val="ListParagraph"/>
        <w:numPr>
          <w:ilvl w:val="0"/>
          <w:numId w:val="2"/>
        </w:numPr>
        <w:spacing w:after="60"/>
      </w:pPr>
      <w:r>
        <w:t xml:space="preserve">CorporateDomainPermission exige usuario autenticado con email de un dominio autorizado (CORPORATE_ALLOWED_EMAIL_DOMAINS);</w:t>
      </w:r>
    </w:p>
    <w:p>
      <w:pPr>
        <w:pStyle w:val="ListParagraph"/>
        <w:numPr>
          <w:ilvl w:val="0"/>
          <w:numId w:val="2"/>
        </w:numPr>
        <w:spacing w:after="60"/>
      </w:pPr>
      <w:r>
        <w:t xml:space="preserve">el comando sync_corporate_roles sincroniza roles corporativos;</w:t>
      </w:r>
    </w:p>
    <w:p>
      <w:pPr>
        <w:pStyle w:val="ListParagraph"/>
        <w:numPr>
          <w:ilvl w:val="0"/>
          <w:numId w:val="2"/>
        </w:numPr>
        <w:spacing w:after="60"/>
      </w:pPr>
      <w:r>
        <w:t xml:space="preserve">GET /api/v1/security/current-user/ (o equivalente) devuelve roles, permisos derivados (can_create_briefs, can_review, can_view_catalog) y paneles disponibles.</w:t>
      </w:r>
    </w:p>
    <w:p>
      <w:pPr>
        <w:spacing w:after="160"/>
      </w:pPr>
      <w:r>
        <w:rPr>
          <w:b w:val="false"/>
          <w:bCs w:val="false"/>
          <w:i w:val="false"/>
          <w:iCs w:val="false"/>
        </w:rPr>
        <w:t xml:space="preserve">Ausente frente al estándar de IH Connect: flujo de invitación explícito, reseteo de contraseña, verificación de email, límite de intentos de login (rate limiting), bloqueo tras fallos repetidos, 2FA para roles administrativos. Ninguno está confirmado en el código revisado.</w:t>
      </w:r>
    </w:p>
    <w:p>
      <w:pPr>
        <w:pStyle w:val="Heading1"/>
        <w:spacing w:after="160" w:before="360"/>
      </w:pPr>
      <w:r>
        <w:t xml:space="preserve">12. Roles y permisos</w:t>
      </w:r>
    </w:p>
    <w:p>
      <w:pPr>
        <w:spacing w:after="160"/>
      </w:pPr>
      <w:r>
        <w:rPr>
          <w:b w:val="false"/>
          <w:bCs w:val="false"/>
          <w:i w:val="false"/>
          <w:iCs w:val="false"/>
        </w:rPr>
        <w:t xml:space="preserve">Roles reales definidos en backend/security/permissions.py:</w:t>
      </w:r>
    </w:p>
    <w:p>
      <w:pPr>
        <w:pStyle w:val="ListParagraph"/>
        <w:numPr>
          <w:ilvl w:val="0"/>
          <w:numId w:val="2"/>
        </w:numPr>
        <w:spacing w:after="60"/>
      </w:pPr>
      <w:r>
        <w:t xml:space="preserve">platform_admin — acceso administrativo completo (equivalente a is_staff/is_superuser);</w:t>
      </w:r>
    </w:p>
    <w:p>
      <w:pPr>
        <w:pStyle w:val="ListParagraph"/>
        <w:numPr>
          <w:ilvl w:val="0"/>
          <w:numId w:val="2"/>
        </w:numPr>
        <w:spacing w:after="60"/>
      </w:pPr>
      <w:r>
        <w:t xml:space="preserve">marketing — puede crear briefs;</w:t>
      </w:r>
    </w:p>
    <w:p>
      <w:pPr>
        <w:pStyle w:val="ListParagraph"/>
        <w:numPr>
          <w:ilvl w:val="0"/>
          <w:numId w:val="2"/>
        </w:numPr>
        <w:spacing w:after="60"/>
      </w:pPr>
      <w:r>
        <w:t xml:space="preserve">designer — puede crear briefs;</w:t>
      </w:r>
    </w:p>
    <w:p>
      <w:pPr>
        <w:pStyle w:val="ListParagraph"/>
        <w:numPr>
          <w:ilvl w:val="0"/>
          <w:numId w:val="2"/>
        </w:numPr>
        <w:spacing w:after="60"/>
      </w:pPr>
      <w:r>
        <w:t xml:space="preserve">reviewer — puede revisar (can_review);</w:t>
      </w:r>
    </w:p>
    <w:p>
      <w:pPr>
        <w:pStyle w:val="ListParagraph"/>
        <w:numPr>
          <w:ilvl w:val="0"/>
          <w:numId w:val="2"/>
        </w:numPr>
        <w:spacing w:after="60"/>
      </w:pPr>
      <w:r>
        <w:t xml:space="preserve">viewer — solo puede ver el catálogo.</w:t>
      </w:r>
    </w:p>
    <w:p>
      <w:pPr>
        <w:spacing w:after="160"/>
      </w:pPr>
      <w:r>
        <w:rPr>
          <w:b w:val="false"/>
          <w:bCs w:val="false"/>
          <w:i w:val="false"/>
          <w:iCs w:val="false"/>
        </w:rPr>
        <w:t xml:space="preserve">RoleAwareViewSet ya aplica RolePermission por acción declarada (role_rules) a nivel de viewset — el mismo patrón que ArtworkReferenceViewSet usa para el endpoint de conocimiento visual. La arquitectura ya soporta permisos más finos sin rediseño.</w:t>
      </w:r>
    </w:p>
    <w:p>
      <w:pPr>
        <w:spacing w:after="160"/>
      </w:pPr>
      <w:r>
        <w:rPr>
          <w:b w:val="false"/>
          <w:bCs w:val="false"/>
          <w:i w:val="false"/>
          <w:iCs w:val="false"/>
        </w:rPr>
        <w:t xml:space="preserve">Confirmado por Codex (2026-08-07): los permisos se aplican en el backend, no solo se ocultan en la interfaz. Sin embargo, no están en uso productivo todavía — no existe ningún entorno desplegado y la base local no tiene usuarios reales (Sección 9.3).</w:t>
      </w:r>
    </w:p>
    <w:p>
      <w:pPr>
        <w:pStyle w:val="Heading1"/>
        <w:spacing w:after="160" w:before="360"/>
      </w:pPr>
      <w:r>
        <w:t xml:space="preserve">13. Fidelidad de marca como first-class concern</w:t>
      </w:r>
    </w:p>
    <w:p>
      <w:pPr>
        <w:spacing w:after="160"/>
      </w:pPr>
      <w:r>
        <w:rPr>
          <w:b w:val="false"/>
          <w:bCs w:val="false"/>
          <w:i w:val="false"/>
          <w:iCs w:val="false"/>
        </w:rPr>
        <w:t xml:space="preserve">Este es el equivalente directo a “time zones are first-class” o “safeguarding-first” de IH Connect: una propiedad que no se puede agregar después sin reescribir todo lo construido encima.</w:t>
      </w:r>
    </w:p>
    <w:p>
      <w:pPr>
        <w:pStyle w:val="ListParagraph"/>
        <w:numPr>
          <w:ilvl w:val="0"/>
          <w:numId w:val="2"/>
        </w:numPr>
        <w:spacing w:after="60"/>
      </w:pPr>
      <w:r>
        <w:t xml:space="preserve">cada color, tipografía, tamaño mínimo de logo y regla de composición debe citar su documento fuente exacto;</w:t>
      </w:r>
    </w:p>
    <w:p>
      <w:pPr>
        <w:pStyle w:val="ListParagraph"/>
        <w:numPr>
          <w:ilvl w:val="0"/>
          <w:numId w:val="2"/>
        </w:numPr>
        <w:spacing w:after="60"/>
      </w:pPr>
      <w:r>
        <w:t xml:space="preserve">donde no existe una fuente (p. ej. licencia de Aptos, tamaño mínimo oficial, tokens de motion), se marca explícitamente pendiente en vez de inferirse;</w:t>
      </w:r>
    </w:p>
    <w:p>
      <w:pPr>
        <w:pStyle w:val="ListParagraph"/>
        <w:numPr>
          <w:ilvl w:val="0"/>
          <w:numId w:val="2"/>
        </w:numPr>
        <w:spacing w:after="60"/>
      </w:pPr>
      <w:r>
        <w:t xml:space="preserve">ningún dato comercial crítico (precio, fecha, sede, CTA) se genera por IA — siempre viene de catalog/campaigns;</w:t>
      </w:r>
    </w:p>
    <w:p>
      <w:pPr>
        <w:pStyle w:val="ListParagraph"/>
        <w:numPr>
          <w:ilvl w:val="0"/>
          <w:numId w:val="2"/>
        </w:numPr>
        <w:spacing w:after="60"/>
      </w:pPr>
      <w:r>
        <w:t xml:space="preserve">brand/scripts/generate_tokens.py --check y el equivalente para brand/knowledge/ corren o deberían correr en CI para evitar que un archivo generado quede desactualizado respecto a su fuente.</w:t>
      </w:r>
    </w:p>
    <w:p>
      <w:pPr>
        <w:spacing w:after="200"/>
      </w:pPr>
      <w:r>
        <w:rPr>
          <w:i/>
          <w:iCs/>
          <w:color w:val="6B7280"/>
        </w:rPr>
        <w:t xml:space="preserve">Pendiente: confirmar si generate_tokens.py --check y generate_product_catalog.py --check ya están en el pipeline de CI (.github/workflows/ci.yml) — no se detectó ese paso en el archivo revisado.</w:t>
      </w:r>
    </w:p>
    <w:p>
      <w:pPr>
        <w:pStyle w:val="Heading1"/>
        <w:spacing w:after="160" w:before="360"/>
      </w:pPr>
      <w:r>
        <w:t xml:space="preserve">14. Modelo de contenido: Brief → Design → Version</w:t>
      </w:r>
    </w:p>
    <w:p>
      <w:pPr>
        <w:spacing w:after="160"/>
      </w:pPr>
      <w:r>
        <w:rPr>
          <w:b w:val="false"/>
          <w:bCs w:val="false"/>
          <w:i w:val="false"/>
          <w:iCs w:val="false"/>
        </w:rPr>
        <w:t xml:space="preserve">Equivalente al “event model” de IH Connect. Un DesignBrief (formato: square, story, portrait, reel, carousel, banner, html, svg) referencia un Product, una Branch y opcionalmente una Campaign autorizados. Un Design tiene exactamente un brief y avanza por estados: draft → in_review → self_review → test_ready → revision_requested → approved/rejected → archived. Cada DesignVersion numerada guarda render_data, asset_refs, validation_summary y claude_review_status (pending/pass/needs_changes).</w:t>
      </w:r>
    </w:p>
    <w:p>
      <w:pPr>
        <w:spacing w:after="200"/>
      </w:pPr>
      <w:r>
        <w:rPr>
          <w:i/>
          <w:iCs/>
          <w:color w:val="6B7280"/>
        </w:rPr>
        <w:t xml:space="preserve">Nota: el modelo ya soporta 8 formatos (incluyendo reel, carousel, banner), pero solo existe una plantilla real implementada (square-v1). El roadmap (Fase 2) contempla story y portrait — reel, carousel y banner no tienen fecha.</w:t>
      </w:r>
    </w:p>
    <w:p>
      <w:pPr>
        <w:pStyle w:val="Heading1"/>
        <w:spacing w:after="160" w:before="360"/>
      </w:pPr>
      <w:r>
        <w:t xml:space="preserve">15. Envío y revisión</w:t>
      </w:r>
    </w:p>
    <w:p>
      <w:pPr>
        <w:spacing w:after="160"/>
      </w:pPr>
      <w:r>
        <w:rPr>
          <w:b w:val="false"/>
          <w:bCs w:val="false"/>
          <w:i w:val="false"/>
          <w:iCs w:val="false"/>
        </w:rPr>
        <w:t xml:space="preserve">Flujo real hoy:</w:t>
      </w:r>
    </w:p>
    <w:p>
      <w:pPr>
        <w:pStyle w:val="ListParagraph"/>
        <w:numPr>
          <w:ilvl w:val="0"/>
          <w:numId w:val="2"/>
        </w:numPr>
        <w:spacing w:after="60"/>
      </w:pPr>
      <w:r>
        <w:t xml:space="preserve">1. se crea un DesignBrief con datos autorizados (producto, sede, campaña, audiencia, objetivo);</w:t>
      </w:r>
    </w:p>
    <w:p>
      <w:pPr>
        <w:pStyle w:val="ListParagraph"/>
        <w:numPr>
          <w:ilvl w:val="0"/>
          <w:numId w:val="2"/>
        </w:numPr>
        <w:spacing w:after="60"/>
      </w:pPr>
      <w:r>
        <w:t xml:space="preserve">2. POST /api/v1/designs/{id}/preview/ genera HTML y SVG con brand/ y un logo aprobado del catálogo LATAM, y crea una DesignVersion;</w:t>
      </w:r>
    </w:p>
    <w:p>
      <w:pPr>
        <w:pStyle w:val="ListParagraph"/>
        <w:numPr>
          <w:ilvl w:val="0"/>
          <w:numId w:val="2"/>
        </w:numPr>
        <w:spacing w:after="60"/>
      </w:pPr>
      <w:r>
        <w:t xml:space="preserve">3. si el brief pertenece a las primeras 50 pruebas (DESIGN_TEST_MODE), el Design pasa a self_review;</w:t>
      </w:r>
    </w:p>
    <w:p>
      <w:pPr>
        <w:pStyle w:val="ListParagraph"/>
        <w:numPr>
          <w:ilvl w:val="0"/>
          <w:numId w:val="2"/>
        </w:numPr>
        <w:spacing w:after="60"/>
      </w:pPr>
      <w:r>
        <w:t xml:space="preserve">4. POST /api/v1/designs/{id}/claude-review/ guarda un resultado pass|needs_changes — esto no es aprobación humana formal;</w:t>
      </w:r>
    </w:p>
    <w:p>
      <w:pPr>
        <w:pStyle w:val="ListParagraph"/>
        <w:numPr>
          <w:ilvl w:val="0"/>
          <w:numId w:val="2"/>
        </w:numPr>
        <w:spacing w:after="60"/>
      </w:pPr>
      <w:r>
        <w:t xml:space="preserve">5. el flujo de aprobación humana con comentarios persistidos está en el roadmap (Fase 3), no construido todavía.</w:t>
      </w:r>
    </w:p>
    <w:p>
      <w:pPr>
        <w:spacing w:after="160"/>
      </w:pPr>
      <w:r>
        <w:rPr>
          <w:b w:val="false"/>
          <w:bCs w:val="false"/>
          <w:i w:val="false"/>
          <w:iCs w:val="false"/>
        </w:rPr>
        <w:t xml:space="preserve">El renderizador ya rechaza: plantillas desconocidas, logos no aprobados, colores fuera de los tokens de marca, texto crítico vacío o demasiado largo, y aplica espaciado básico de dual-branding (confirmado por Codex, 2026-08-07) — validación real, no aspiracional.</w:t>
      </w:r>
    </w:p>
    <w:p>
      <w:pPr>
        <w:spacing w:after="160"/>
      </w:pPr>
      <w:r>
        <w:rPr>
          <w:b w:val="false"/>
          <w:bCs w:val="false"/>
          <w:i w:val="false"/>
          <w:iCs w:val="false"/>
        </w:rPr>
        <w:t xml:space="preserve">Confirmado por Codex (2026-08-07): la verificación automática de zona segura, legibilidad, contraste calculado por pieza y colisión/desbordamiento de texto todavía NO está implementada — sigue siendo trabajo de la Fase 2 del roadmap (Sección 24), no algo ya resuelto.</w:t>
      </w:r>
    </w:p>
    <w:p>
      <w:pPr>
        <w:pStyle w:val="Heading1"/>
        <w:spacing w:after="160" w:before="360"/>
      </w:pPr>
      <w:r>
        <w:t xml:space="preserve">16. Catálogo de productos y biblioteca de conocimiento visual</w:t>
      </w:r>
    </w:p>
    <w:p>
      <w:pPr>
        <w:spacing w:after="160"/>
      </w:pPr>
      <w:r>
        <w:rPr>
          <w:b/>
          <w:bCs/>
          <w:i w:val="false"/>
          <w:iCs w:val="false"/>
        </w:rPr>
        <w:t xml:space="preserve">Esta es la parte más desarrollada y novedosa del sistema hoy — sin equivalente directo en IH Connect — y merece el mismo protagonismo que el “modelo de registro” tuvo en ese documento, por ser el mecanismo núcleo que se está probando.</w:t>
      </w:r>
    </w:p>
    <w:p>
      <w:pPr>
        <w:pStyle w:val="Heading2"/>
        <w:spacing w:after="120" w:before="240"/>
      </w:pPr>
      <w:r>
        <w:t xml:space="preserve">16.1 Catálogo de productos</w:t>
      </w:r>
    </w:p>
    <w:p>
      <w:pPr>
        <w:spacing w:after="160"/>
      </w:pPr>
      <w:r>
        <w:rPr>
          <w:b w:val="false"/>
          <w:bCs w:val="false"/>
          <w:i w:val="false"/>
          <w:iCs w:val="false"/>
        </w:rPr>
        <w:t xml:space="preserve">brand/knowledge/product-catalog.yaml: 15 productos activos (10 confirmed, 2 inferred, 3 needs_confirmation) + 2 productos deprecados, cubriendo México, Chile, Colombia y Perú. Cada producto cita su fuente exacta (documento, confirmación del cliente con fecha) y su nivel de certeza. Se generan a brand/knowledge/product-catalog.json vía generate_product_catalog.py --check.</w:t>
      </w:r>
    </w:p>
    <w:p>
      <w:pPr>
        <w:pStyle w:val="Heading2"/>
        <w:spacing w:after="120" w:before="240"/>
      </w:pPr>
      <w:r>
        <w:t xml:space="preserve">16.2 Biblioteca de conocimiento visual</w:t>
      </w:r>
    </w:p>
    <w:p>
      <w:pPr>
        <w:spacing w:after="160"/>
      </w:pPr>
      <w:r>
        <w:rPr>
          <w:b w:val="false"/>
          <w:bCs w:val="false"/>
          <w:i w:val="false"/>
          <w:iCs w:val="false"/>
        </w:rPr>
        <w:t xml:space="preserve">brand/knowledge/artwork-reference-knowledge.json: 454 referencias visuales (314 imágenes locales + 140 videos enlazados a Drive) anotadas con vocabulario controlado (composición, layout, logo, tipografía, público, etapa del funnel). 40/454 tienen revisión visual humana real (annotation_status: human-reviewed); el resto queda en metadata-only con needs_review: true — nunca se infiere contenido visual sin evidencia real.</w:t>
      </w:r>
    </w:p>
    <w:p>
      <w:pPr>
        <w:pStyle w:val="Heading2"/>
        <w:spacing w:after="120" w:before="240"/>
      </w:pPr>
      <w:r>
        <w:t xml:space="preserve">16.3 Exposición vía API</w:t>
      </w:r>
    </w:p>
    <w:p>
      <w:pPr>
        <w:spacing w:after="160"/>
      </w:pPr>
      <w:r>
        <w:rPr>
          <w:b w:val="false"/>
          <w:bCs w:val="false"/>
          <w:i w:val="false"/>
          <w:iCs w:val="false"/>
        </w:rPr>
        <w:t xml:space="preserve">GET /api/v1/artwork-references/knowledge/ acepta filtros por product_slug, country, media_type, format, orientation, calendar.year, calendar.month, content_pillar, campaign_or_theme, tag y annotation_status — diseñado explícitamente para que una IA (Claude, Codex, o el proveedor OpenAI del backend) consuma contexto estructurado en vez de texto libre.</w:t>
      </w:r>
    </w:p>
    <w:p>
      <w:pPr>
        <w:pStyle w:val="Heading2"/>
        <w:spacing w:after="120" w:before="240"/>
      </w:pPr>
      <w:r>
        <w:t xml:space="preserve">16.4 Módulo materials/ — primera línea de la pista paralela LATAM (nuevo, 2026-08-07)</w:t>
      </w:r>
    </w:p>
    <w:p>
      <w:pPr>
        <w:spacing w:after="160"/>
      </w:pPr>
      <w:r>
        <w:rPr>
          <w:b w:val="false"/>
          <w:bCs w:val="false"/>
          <w:i w:val="false"/>
          <w:iCs w:val="false"/>
        </w:rPr>
        <w:t xml:space="preserve">Codex construyó backend/materials/ como base técnica de la paquetería de marketing para colegios (prioridad 1 de la Sección 2.1), reutilizando el catálogo de productos en vez de duplicar datos:</w:t>
      </w:r>
    </w:p>
    <w:p>
      <w:pPr>
        <w:pStyle w:val="ListParagraph"/>
        <w:numPr>
          <w:ilvl w:val="0"/>
          <w:numId w:val="2"/>
        </w:numPr>
        <w:spacing w:after="60"/>
      </w:pPr>
      <w:r>
        <w:t xml:space="preserve">nuevo tipo de material school-kit y template school-kit-v1, compatible con los formatos square, story y portrait ya existentes;</w:t>
      </w:r>
    </w:p>
    <w:p>
      <w:pPr>
        <w:pStyle w:val="ListParagraph"/>
        <w:numPr>
          <w:ilvl w:val="0"/>
          <w:numId w:val="2"/>
        </w:numPr>
        <w:spacing w:after="60"/>
      </w:pPr>
      <w:r>
        <w:t xml:space="preserve">modelos para paquetes (bundles), plantillas, productos y piezas individuales;</w:t>
      </w:r>
    </w:p>
    <w:p>
      <w:pPr>
        <w:pStyle w:val="ListParagraph"/>
        <w:numPr>
          <w:ilvl w:val="0"/>
          <w:numId w:val="2"/>
        </w:numPr>
        <w:spacing w:after="60"/>
      </w:pPr>
      <w:r>
        <w:t xml:space="preserve">endpoints GET /api/v1/material-types/, /api/v1/material-templates/, /api/v1/material-bundles/;</w:t>
      </w:r>
    </w:p>
    <w:p>
      <w:pPr>
        <w:pStyle w:val="ListParagraph"/>
        <w:numPr>
          <w:ilvl w:val="0"/>
          <w:numId w:val="2"/>
        </w:numPr>
        <w:spacing w:after="60"/>
      </w:pPr>
      <w:r>
        <w:t xml:space="preserve">la selección de productos reutiliza brand/knowledge/product-catalog.json, excluye productos deprecated, respeta needs_confirmation, y permite filtrar por país;</w:t>
      </w:r>
    </w:p>
    <w:p>
      <w:pPr>
        <w:pStyle w:val="ListParagraph"/>
        <w:numPr>
          <w:ilvl w:val="0"/>
          <w:numId w:val="2"/>
        </w:numPr>
        <w:spacing w:after="60"/>
      </w:pPr>
      <w:r>
        <w:t xml:space="preserve">backend/materials/services/catalog.py fija qc-2026 y teacher-training-certifications como productos prioritarios por defecto — esta fue una decisión técnica de Codex, no una confirmación explícita de Axel (ver riesgo/pregunta en Sección 31.7 y 35).</w:t>
      </w:r>
    </w:p>
    <w:p>
      <w:pPr>
        <w:spacing w:after="160"/>
      </w:pPr>
      <w:r>
        <w:rPr>
          <w:b/>
          <w:bCs/>
          <w:i w:val="false"/>
          <w:iCs w:val="false"/>
        </w:rPr>
        <w:t xml:space="preserve">Pendiente, según el propio reporte de Codex (2026-08-07):</w:t>
      </w:r>
    </w:p>
    <w:p>
      <w:pPr>
        <w:pStyle w:val="ListParagraph"/>
        <w:numPr>
          <w:ilvl w:val="0"/>
          <w:numId w:val="2"/>
        </w:numPr>
        <w:spacing w:after="60"/>
      </w:pPr>
      <w:r>
        <w:t xml:space="preserve">lógica que convierta un school-kit en múltiples briefs/piezas hijas;</w:t>
      </w:r>
    </w:p>
    <w:p>
      <w:pPr>
        <w:pStyle w:val="ListParagraph"/>
        <w:numPr>
          <w:ilvl w:val="0"/>
          <w:numId w:val="2"/>
        </w:numPr>
        <w:spacing w:after="60"/>
      </w:pPr>
      <w:r>
        <w:t xml:space="preserve">definir qué piezas incluye inicialmente cada paquete escolar;</w:t>
      </w:r>
    </w:p>
    <w:p>
      <w:pPr>
        <w:pStyle w:val="ListParagraph"/>
        <w:numPr>
          <w:ilvl w:val="0"/>
          <w:numId w:val="2"/>
        </w:numPr>
        <w:spacing w:after="60"/>
      </w:pPr>
      <w:r>
        <w:t xml:space="preserve">flujo de generación HTML/SVG por pieza;</w:t>
      </w:r>
    </w:p>
    <w:p>
      <w:pPr>
        <w:pStyle w:val="ListParagraph"/>
        <w:numPr>
          <w:ilvl w:val="0"/>
          <w:numId w:val="2"/>
        </w:numPr>
        <w:spacing w:after="60"/>
      </w:pPr>
      <w:r>
        <w:t xml:space="preserve">integración de la revisión visual de Claude por pieza;</w:t>
      </w:r>
    </w:p>
    <w:p>
      <w:pPr>
        <w:pStyle w:val="ListParagraph"/>
        <w:numPr>
          <w:ilvl w:val="0"/>
          <w:numId w:val="2"/>
        </w:numPr>
        <w:spacing w:after="60"/>
      </w:pPr>
      <w:r>
        <w:t xml:space="preserve">interfaz de usuario para crear, editar y revisar paquetes;</w:t>
      </w:r>
    </w:p>
    <w:p>
      <w:pPr>
        <w:pStyle w:val="ListParagraph"/>
        <w:numPr>
          <w:ilvl w:val="0"/>
          <w:numId w:val="2"/>
        </w:numPr>
        <w:spacing w:after="60"/>
      </w:pPr>
      <w:r>
        <w:t xml:space="preserve">mantener Cambridge/IELTS/MET/QC como logos adicionales de una pieza, no como el producto principal del brief.</w:t>
      </w:r>
    </w:p>
    <w:p>
      <w:pPr>
        <w:pStyle w:val="Heading1"/>
        <w:spacing w:after="160" w:before="360"/>
      </w:pPr>
      <w:r>
        <w:t xml:space="preserve">17. Protección de datos</w:t>
      </w:r>
    </w:p>
    <w:p>
      <w:pPr>
        <w:spacing w:after="160"/>
      </w:pPr>
      <w:r>
        <w:rPr>
          <w:b w:val="false"/>
          <w:bCs w:val="false"/>
          <w:i w:val="false"/>
          <w:iCs w:val="false"/>
        </w:rPr>
        <w:t xml:space="preserve">No hay requisitos de protección de datos de menores (a diferencia de IH Connect). El único control de acceso real es el gate de dominio corporativo (Sección 11). No existe todavía una política de retención documentada para los datos que sí se almacenan (briefs, versiones de diseño, usuarios) — ver pregunta abierta en Sección 35.</w:t>
      </w:r>
    </w:p>
    <w:p>
      <w:pPr>
        <w:pStyle w:val="Heading1"/>
        <w:spacing w:after="160" w:before="360"/>
      </w:pPr>
      <w:r>
        <w:t xml:space="preserve">18. Marca, plantillas y expectativas de producción</w:t>
      </w:r>
    </w:p>
    <w:p>
      <w:pPr>
        <w:pStyle w:val="ListParagraph"/>
        <w:numPr>
          <w:ilvl w:val="0"/>
          <w:numId w:val="2"/>
        </w:numPr>
        <w:spacing w:after="60"/>
      </w:pPr>
      <w:r>
        <w:t xml:space="preserve">78 logos catalogados en brand/assets/logos/manifest.yaml, organizados por scope (regional/global/sub-brand/partner), país y marca;</w:t>
      </w:r>
    </w:p>
    <w:p>
      <w:pPr>
        <w:pStyle w:val="ListParagraph"/>
        <w:numPr>
          <w:ilvl w:val="0"/>
          <w:numId w:val="2"/>
        </w:numPr>
        <w:spacing w:after="60"/>
      </w:pPr>
      <w:r>
        <w:t xml:space="preserve">variantes classic/black/white aprobadas para IH México;</w:t>
      </w:r>
    </w:p>
    <w:p>
      <w:pPr>
        <w:pStyle w:val="ListParagraph"/>
        <w:numPr>
          <w:ilvl w:val="0"/>
          <w:numId w:val="2"/>
        </w:numPr>
        <w:spacing w:after="60"/>
      </w:pPr>
      <w:r>
        <w:t xml:space="preserve">corrección de Codex (2026-08-07): la composición dual-branding YA está implementada mediante logos aprobados o logos aportados por el usuario — no está pendiente como decía la v2 de este documento; lo que sigue pendiente son los activos precompuestos white-reversed;</w:t>
      </w:r>
    </w:p>
    <w:p>
      <w:pPr>
        <w:pStyle w:val="ListParagraph"/>
        <w:numPr>
          <w:ilvl w:val="0"/>
          <w:numId w:val="2"/>
        </w:numPr>
        <w:spacing w:after="60"/>
      </w:pPr>
      <w:r>
        <w:t xml:space="preserve">tamaño mínimo de logo designado (mx_designated, no oficial): 24px/32px/48px según variante de lockup, pendiente de aprobación formal;</w:t>
      </w:r>
    </w:p>
    <w:p>
      <w:pPr>
        <w:pStyle w:val="ListParagraph"/>
        <w:numPr>
          <w:ilvl w:val="0"/>
          <w:numId w:val="2"/>
        </w:numPr>
        <w:spacing w:after="60"/>
      </w:pPr>
      <w:r>
        <w:t xml:space="preserve">Aptos no se redistribuye (licencia estándar de Microsoft no lo permite); Arial como fallback documentado;</w:t>
      </w:r>
    </w:p>
    <w:p>
      <w:pPr>
        <w:pStyle w:val="ListParagraph"/>
        <w:numPr>
          <w:ilvl w:val="0"/>
          <w:numId w:val="2"/>
        </w:numPr>
        <w:spacing w:after="60"/>
      </w:pPr>
      <w:r>
        <w:t xml:space="preserve">actualización 2026-08-07: ya existen tres templates implementados y registrados en frontend/templates/manifest.yaml — square-v1 (1080×1080), story-v1 (1080×1920) y portrait-v1 (1080×1350), los tres consumiendo brand/ y un logo aprobado del catálogo LATAM (PASO 5 del plan de ejecución, verificado);</w:t>
      </w:r>
    </w:p>
    <w:p>
      <w:pPr>
        <w:pStyle w:val="ListParagraph"/>
        <w:numPr>
          <w:ilvl w:val="0"/>
          <w:numId w:val="2"/>
        </w:numPr>
        <w:spacing w:after="60"/>
      </w:pPr>
      <w:r>
        <w:t xml:space="preserve">validación de contraste automática ya implementada en backend/designs/services/renderer.py (mínimo 4.5:1, PASO 4 parcial); verificación de zona segura y colisión/desbordamiento de texto no confirmada todavía.</w:t>
      </w:r>
    </w:p>
    <w:p>
      <w:pPr>
        <w:pStyle w:val="Heading1"/>
        <w:spacing w:after="160" w:before="360"/>
      </w:pPr>
      <w:r>
        <w:t xml:space="preserve">19. Páginas núcleo del MVP</w:t>
      </w:r>
    </w:p>
    <w:p>
      <w:pPr>
        <w:pStyle w:val="ListParagraph"/>
        <w:numPr>
          <w:ilvl w:val="0"/>
          <w:numId w:val="2"/>
        </w:numPr>
        <w:spacing w:after="60"/>
      </w:pPr>
      <w:r>
        <w:t xml:space="preserve">index.html — home responsive del workspace LATAM;</w:t>
      </w:r>
    </w:p>
    <w:p>
      <w:pPr>
        <w:pStyle w:val="ListParagraph"/>
        <w:numPr>
          <w:ilvl w:val="0"/>
          <w:numId w:val="2"/>
        </w:numPr>
        <w:spacing w:after="60"/>
      </w:pPr>
      <w:r>
        <w:t xml:space="preserve">panel.html — brief guiado (formulario de 20 preguntas) con carga de logos y paneles según rol, conectado a la API;</w:t>
      </w:r>
    </w:p>
    <w:p>
      <w:pPr>
        <w:pStyle w:val="ListParagraph"/>
        <w:numPr>
          <w:ilvl w:val="0"/>
          <w:numId w:val="2"/>
        </w:numPr>
        <w:spacing w:after="60"/>
      </w:pPr>
      <w:r>
        <w:t xml:space="preserve">admin.html — panel administrativo para consultar briefs, logos aportados, referencias visuales y estado del lote de pruebas; confirmado por Codex (2026-08-07): todavía NO es un panel completo de moderación o edición.</w:t>
      </w:r>
    </w:p>
    <w:p>
      <w:pPr>
        <w:pStyle w:val="Heading1"/>
        <w:spacing w:after="160" w:before="360"/>
      </w:pPr>
      <w:r>
        <w:t xml:space="preserve">20. Alcance MoSCoW propuesto</w:t>
      </w:r>
    </w:p>
    <w:p>
      <w:pPr>
        <w:spacing w:after="200"/>
      </w:pPr>
      <w:r>
        <w:rPr>
          <w:i/>
          <w:iCs/>
          <w:color w:val="6B7280"/>
        </w:rPr>
        <w:t xml:space="preserve">Propuesta a validar con Axel/Codex — no es un compromiso ya acordado.</w:t>
      </w:r>
    </w:p>
    <w:p>
      <w:pPr>
        <w:pStyle w:val="Heading2"/>
        <w:spacing w:after="120" w:before="240"/>
      </w:pPr>
      <w:r>
        <w:t xml:space="preserve">20.1 Must have</w:t>
      </w:r>
    </w:p>
    <w:p>
      <w:pPr>
        <w:pStyle w:val="ListParagraph"/>
        <w:numPr>
          <w:ilvl w:val="0"/>
          <w:numId w:val="2"/>
        </w:numPr>
        <w:spacing w:after="60"/>
      </w:pPr>
      <w:r>
        <w:t xml:space="preserve">brief → preview → self_review funcionando de extremo a extremo (ya existe);</w:t>
      </w:r>
    </w:p>
    <w:p>
      <w:pPr>
        <w:pStyle w:val="ListParagraph"/>
        <w:numPr>
          <w:ilvl w:val="0"/>
          <w:numId w:val="2"/>
        </w:numPr>
        <w:spacing w:after="60"/>
      </w:pPr>
      <w:r>
        <w:t xml:space="preserve">validación de marca bloqueante (colores, logos, texto crítico) antes de cualquier previsualización (ya existe);</w:t>
      </w:r>
    </w:p>
    <w:p>
      <w:pPr>
        <w:pStyle w:val="ListParagraph"/>
        <w:numPr>
          <w:ilvl w:val="0"/>
          <w:numId w:val="2"/>
        </w:numPr>
        <w:spacing w:after="60"/>
      </w:pPr>
      <w:r>
        <w:t xml:space="preserve">catálogo de productos y biblioteca de conocimiento visual con procedencia citada (ya existe, en expansión);</w:t>
      </w:r>
    </w:p>
    <w:p>
      <w:pPr>
        <w:pStyle w:val="ListParagraph"/>
        <w:numPr>
          <w:ilvl w:val="0"/>
          <w:numId w:val="2"/>
        </w:numPr>
        <w:spacing w:after="60"/>
      </w:pPr>
      <w:r>
        <w:t xml:space="preserve">CI verde en cada cambio (ya existe);</w:t>
      </w:r>
    </w:p>
    <w:p>
      <w:pPr>
        <w:pStyle w:val="ListParagraph"/>
        <w:numPr>
          <w:ilvl w:val="0"/>
          <w:numId w:val="2"/>
        </w:numPr>
        <w:spacing w:after="60"/>
      </w:pPr>
      <w:r>
        <w:t xml:space="preserve">modelo de datos genérico de “tipo de material” (no solo Design con formato social) — condición técnica previa para poder ampliar a colegios/sedes/ventas/mailings sin reescribir el pipeline (nuevo, por la decisión de la Sección 2.1).</w:t>
      </w:r>
    </w:p>
    <w:p>
      <w:pPr>
        <w:pStyle w:val="Heading2"/>
        <w:spacing w:after="120" w:before="240"/>
      </w:pPr>
      <w:r>
        <w:t xml:space="preserve">20.2 Should have</w:t>
      </w:r>
    </w:p>
    <w:p>
      <w:pPr>
        <w:pStyle w:val="ListParagraph"/>
        <w:numPr>
          <w:ilvl w:val="0"/>
          <w:numId w:val="2"/>
        </w:numPr>
        <w:spacing w:after="60"/>
      </w:pPr>
      <w:r>
        <w:t xml:space="preserve">flujo de aprobación humana formal con comentarios persistidos (Fase 3 del roadmap; diseño recomendado en docs/operations/approval-flow.md, no implementado);</w:t>
      </w:r>
    </w:p>
    <w:p>
      <w:pPr>
        <w:pStyle w:val="ListParagraph"/>
        <w:numPr>
          <w:ilvl w:val="0"/>
          <w:numId w:val="2"/>
        </w:numPr>
        <w:spacing w:after="60"/>
      </w:pPr>
      <w:r>
        <w:t xml:space="preserve">migración real a PostgreSQL en un entorno desplegado (documentación y variables listas en docs/operations/deployment.md; falta aprovisionar el proveedor);</w:t>
      </w:r>
    </w:p>
    <w:p>
      <w:pPr>
        <w:pStyle w:val="ListParagraph"/>
        <w:numPr>
          <w:ilvl w:val="0"/>
          <w:numId w:val="2"/>
        </w:numPr>
        <w:spacing w:after="60"/>
      </w:pPr>
      <w:r>
        <w:t xml:space="preserve">primer set de plantillas de paquetería de marketing para colegios (prioridad 1, Sección 2.1) — en progreso: backend/materials/ ya existe con modelos, template school-kit-v1 y selección de productos (qc-2026/teacher-training-certifications por defecto, pendiente de que Axel lo ratifique, ver Sección 31.7); falta la lógica que convierte un paquete en piezas reales;</w:t>
      </w:r>
    </w:p>
    <w:p>
      <w:pPr>
        <w:pStyle w:val="ListParagraph"/>
        <w:numPr>
          <w:ilvl w:val="0"/>
          <w:numId w:val="2"/>
        </w:numPr>
        <w:spacing w:after="60"/>
      </w:pPr>
      <w:r>
        <w:t xml:space="preserve">primer set de plantillas de paquetería de marketing para sedes (prioridad 2).</w:t>
      </w:r>
    </w:p>
    <w:p>
      <w:pPr>
        <w:spacing w:after="200"/>
      </w:pPr>
      <w:r>
        <w:rPr>
          <w:i/>
          <w:iCs/>
          <w:color w:val="6B7280"/>
        </w:rPr>
        <w:t xml:space="preserve">Movido de "should have" a "ya existe" el 2026-08-07: templates story y portrait (ver Sección 18).</w:t>
      </w:r>
    </w:p>
    <w:p>
      <w:pPr>
        <w:pStyle w:val="Heading2"/>
        <w:spacing w:after="120" w:before="240"/>
      </w:pPr>
      <w:r>
        <w:t xml:space="preserve">20.3 Could have</w:t>
      </w:r>
    </w:p>
    <w:p>
      <w:pPr>
        <w:pStyle w:val="ListParagraph"/>
        <w:numPr>
          <w:ilvl w:val="0"/>
          <w:numId w:val="2"/>
        </w:numPr>
        <w:spacing w:after="60"/>
      </w:pPr>
      <w:r>
        <w:t xml:space="preserve">plantillas reel, carousel, banner (ya modeladas en DesignBrief.Format, sin plantilla real);</w:t>
      </w:r>
    </w:p>
    <w:p>
      <w:pPr>
        <w:pStyle w:val="ListParagraph"/>
        <w:numPr>
          <w:ilvl w:val="0"/>
          <w:numId w:val="2"/>
        </w:numPr>
        <w:spacing w:after="60"/>
      </w:pPr>
      <w:r>
        <w:t xml:space="preserve">exportación directa a redes/WhatsApp;</w:t>
      </w:r>
    </w:p>
    <w:p>
      <w:pPr>
        <w:pStyle w:val="ListParagraph"/>
        <w:numPr>
          <w:ilvl w:val="0"/>
          <w:numId w:val="2"/>
        </w:numPr>
        <w:spacing w:after="60"/>
      </w:pPr>
      <w:r>
        <w:t xml:space="preserve">segundo proveedor de IA compatible con la interfaz AIProvider;</w:t>
      </w:r>
    </w:p>
    <w:p>
      <w:pPr>
        <w:pStyle w:val="ListParagraph"/>
        <w:numPr>
          <w:ilvl w:val="0"/>
          <w:numId w:val="2"/>
        </w:numPr>
        <w:spacing w:after="60"/>
      </w:pPr>
      <w:r>
        <w:t xml:space="preserve">paquetería de marketing para ventas (prioridad 3);</w:t>
      </w:r>
    </w:p>
    <w:p>
      <w:pPr>
        <w:pStyle w:val="ListParagraph"/>
        <w:numPr>
          <w:ilvl w:val="0"/>
          <w:numId w:val="2"/>
        </w:numPr>
        <w:spacing w:after="60"/>
      </w:pPr>
      <w:r>
        <w:t xml:space="preserve">mailings/correo electrónico (prioridad 4 — es el único de los cuatro tipos nuevos con un canal de entrega distinto a diseño estático, probablemente requiere su propio proveedor/plantilla HTML de email).</w:t>
      </w:r>
    </w:p>
    <w:p>
      <w:pPr>
        <w:pStyle w:val="Heading2"/>
        <w:spacing w:after="120" w:before="240"/>
      </w:pPr>
      <w:r>
        <w:t xml:space="preserve">20.4 Won’t have (por ahora)</w:t>
      </w:r>
    </w:p>
    <w:p>
      <w:pPr>
        <w:pStyle w:val="ListParagraph"/>
        <w:numPr>
          <w:ilvl w:val="0"/>
          <w:numId w:val="2"/>
        </w:numPr>
        <w:spacing w:after="60"/>
      </w:pPr>
      <w:r>
        <w:t xml:space="preserve">editor visual completo tipo Canva;</w:t>
      </w:r>
    </w:p>
    <w:p>
      <w:pPr>
        <w:pStyle w:val="ListParagraph"/>
        <w:numPr>
          <w:ilvl w:val="0"/>
          <w:numId w:val="2"/>
        </w:numPr>
        <w:spacing w:after="60"/>
      </w:pPr>
      <w:r>
        <w:t xml:space="preserve">generación de logos por IA;</w:t>
      </w:r>
    </w:p>
    <w:p>
      <w:pPr>
        <w:pStyle w:val="ListParagraph"/>
        <w:numPr>
          <w:ilvl w:val="0"/>
          <w:numId w:val="2"/>
        </w:numPr>
        <w:spacing w:after="60"/>
      </w:pPr>
      <w:r>
        <w:t xml:space="preserve">cualquier dato comercial (precio, fecha, sede) generado por IA sin fuente autorizada;</w:t>
      </w:r>
    </w:p>
    <w:p>
      <w:pPr>
        <w:pStyle w:val="ListParagraph"/>
        <w:numPr>
          <w:ilvl w:val="0"/>
          <w:numId w:val="2"/>
        </w:numPr>
        <w:spacing w:after="60"/>
      </w:pPr>
      <w:r>
        <w:t xml:space="preserve">cuentas de acceso público fuera de dominios corporativos de IH.</w:t>
      </w:r>
    </w:p>
    <w:p>
      <w:pPr>
        <w:pStyle w:val="Heading1"/>
        <w:spacing w:after="160" w:before="360"/>
      </w:pPr>
      <w:r>
        <w:t xml:space="preserve">21. Modelo de datos (versión actual)</w:t>
      </w:r>
    </w:p>
    <w:p>
      <w:pPr>
        <w:pStyle w:val="ListParagraph"/>
        <w:numPr>
          <w:ilvl w:val="0"/>
          <w:numId w:val="2"/>
        </w:numPr>
        <w:spacing w:after="60"/>
      </w:pPr>
      <w:r>
        <w:t xml:space="preserve">Product / Branch (catalog) — productos y sedes autorizados;</w:t>
      </w:r>
    </w:p>
    <w:p>
      <w:pPr>
        <w:pStyle w:val="ListParagraph"/>
        <w:numPr>
          <w:ilvl w:val="0"/>
          <w:numId w:val="2"/>
        </w:numPr>
        <w:spacing w:after="60"/>
      </w:pPr>
      <w:r>
        <w:t xml:space="preserve">Campaign (campaigns) — campañas con vigencia y copy aprobado;</w:t>
      </w:r>
    </w:p>
    <w:p>
      <w:pPr>
        <w:pStyle w:val="ListParagraph"/>
        <w:numPr>
          <w:ilvl w:val="0"/>
          <w:numId w:val="2"/>
        </w:numPr>
        <w:spacing w:after="60"/>
      </w:pPr>
      <w:r>
        <w:t xml:space="preserve">DesignBrief (briefs) — solicitud guiada, referencia a producto/sede/campaña;</w:t>
      </w:r>
    </w:p>
    <w:p>
      <w:pPr>
        <w:pStyle w:val="ListParagraph"/>
        <w:numPr>
          <w:ilvl w:val="0"/>
          <w:numId w:val="2"/>
        </w:numPr>
        <w:spacing w:after="60"/>
      </w:pPr>
      <w:r>
        <w:t xml:space="preserve">Design / DesignVersion (designs) — pieza y sus versiones numeradas inmutables;</w:t>
      </w:r>
    </w:p>
    <w:p>
      <w:pPr>
        <w:pStyle w:val="ListParagraph"/>
        <w:numPr>
          <w:ilvl w:val="0"/>
          <w:numId w:val="2"/>
        </w:numPr>
        <w:spacing w:after="60"/>
      </w:pPr>
      <w:r>
        <w:t xml:space="preserve">ValidationRun (validations) — corridas de validación por versión de diseño;</w:t>
      </w:r>
    </w:p>
    <w:p>
      <w:pPr>
        <w:pStyle w:val="ListParagraph"/>
        <w:numPr>
          <w:ilvl w:val="0"/>
          <w:numId w:val="2"/>
        </w:numPr>
        <w:spacing w:after="60"/>
      </w:pPr>
      <w:r>
        <w:t xml:space="preserve">OfficialAsset / UploadedLogo / ArtworkReference (assets) — activos oficiales, logos subidos pendientes de aprobación y referencias visuales de inspiración;</w:t>
      </w:r>
    </w:p>
    <w:p>
      <w:pPr>
        <w:pStyle w:val="ListParagraph"/>
        <w:numPr>
          <w:ilvl w:val="0"/>
          <w:numId w:val="2"/>
        </w:numPr>
        <w:spacing w:after="60"/>
      </w:pPr>
      <w:r>
        <w:t xml:space="preserve">BrandGuideline (branding, en base de datos) — sincronizada desde brand/ vía sync_brand_guideline, no es la fuente primaria.</w:t>
      </w:r>
    </w:p>
    <w:p>
      <w:pPr>
        <w:pStyle w:val="Heading1"/>
        <w:spacing w:after="160" w:before="360"/>
      </w:pPr>
      <w:r>
        <w:t xml:space="preserve">22. Ciclo de vida de una pieza</w:t>
      </w:r>
    </w:p>
    <w:p>
      <w:pPr>
        <w:spacing w:after="160"/>
      </w:pPr>
      <w:r>
        <w:rPr>
          <w:b w:val="false"/>
          <w:bCs w:val="false"/>
          <w:i w:val="false"/>
          <w:iCs w:val="false"/>
        </w:rPr>
        <w:t xml:space="preserve">Brief (draft → ready) → Design (draft) → preview genera DesignVersion #1 → self_review (si aplica) → claude-review (pass/needs_changes) → [pendiente: aprobación humana formal] → approved/rejected → archived.</w:t>
      </w:r>
    </w:p>
    <w:p>
      <w:pPr>
        <w:pStyle w:val="Heading1"/>
        <w:spacing w:after="160" w:before="360"/>
      </w:pPr>
      <w:r>
        <w:t xml:space="preserve">23. Testing y control de calidad</w:t>
      </w:r>
    </w:p>
    <w:p>
      <w:pPr>
        <w:spacing w:after="160"/>
      </w:pPr>
      <w:r>
        <w:rPr>
          <w:b w:val="false"/>
          <w:bCs w:val="false"/>
          <w:i w:val="false"/>
          <w:iCs w:val="false"/>
        </w:rPr>
        <w:t xml:space="preserve">Estado real verificado por Claude directamente el 2026-08-07 (no solo tomado del reporte de Codex): 103 pruebas pasando (89 en la v1/v2, 95 tras el primer reporte de Codex, 103 tras agregar el módulo materials/), ruff limpio, manage.py check limpio.</w:t>
      </w:r>
    </w:p>
    <w:p>
      <w:pPr>
        <w:spacing w:after="160"/>
      </w:pPr>
      <w:r>
        <w:rPr>
          <w:b w:val="false"/>
          <w:bCs w:val="false"/>
          <w:i w:val="false"/>
          <w:iCs w:val="false"/>
        </w:rPr>
        <w:t xml:space="preserve">Organizado por área de riesgo (igual que la Sección 25 de IH Connect):</w:t>
      </w:r>
    </w:p>
    <w:p>
      <w:pPr>
        <w:pStyle w:val="ListParagraph"/>
        <w:numPr>
          <w:ilvl w:val="0"/>
          <w:numId w:val="2"/>
        </w:numPr>
        <w:spacing w:after="60"/>
      </w:pPr>
      <w:r>
        <w:t xml:space="preserve">tokens y colores por producto — duplicados, conflictos entre fuentes, generación reproducible;</w:t>
      </w:r>
    </w:p>
    <w:p>
      <w:pPr>
        <w:pStyle w:val="ListParagraph"/>
        <w:numPr>
          <w:ilvl w:val="0"/>
          <w:numId w:val="2"/>
        </w:numPr>
        <w:spacing w:after="60"/>
      </w:pPr>
      <w:r>
        <w:t xml:space="preserve">catálogo de productos — slugs únicos, referencias cruzadas válidas a logos/pilares/países;</w:t>
      </w:r>
    </w:p>
    <w:p>
      <w:pPr>
        <w:pStyle w:val="ListParagraph"/>
        <w:numPr>
          <w:ilvl w:val="0"/>
          <w:numId w:val="2"/>
        </w:numPr>
        <w:spacing w:after="60"/>
      </w:pPr>
      <w:r>
        <w:t xml:space="preserve">conocimiento visual — 454 assets sin duplicados, enlaces de Drive preservados, reproducibilidad de la generación, overrides referencian ids reales;</w:t>
      </w:r>
    </w:p>
    <w:p>
      <w:pPr>
        <w:pStyle w:val="ListParagraph"/>
        <w:numPr>
          <w:ilvl w:val="0"/>
          <w:numId w:val="2"/>
        </w:numPr>
        <w:spacing w:after="60"/>
      </w:pPr>
      <w:r>
        <w:t xml:space="preserve">endpoint de conocimiento — filtros por producto, país, calendario, pilar, orientación, tag;</w:t>
      </w:r>
    </w:p>
    <w:p>
      <w:pPr>
        <w:pStyle w:val="ListParagraph"/>
        <w:numPr>
          <w:ilvl w:val="0"/>
          <w:numId w:val="2"/>
        </w:numPr>
        <w:spacing w:after="60"/>
      </w:pPr>
      <w:r>
        <w:t xml:space="preserve">backend consumidor — branding.services.loader y validators contra brand/.</w:t>
      </w:r>
    </w:p>
    <w:p>
      <w:pPr>
        <w:spacing w:after="160"/>
      </w:pPr>
      <w:r>
        <w:rPr>
          <w:b w:val="false"/>
          <w:bCs w:val="false"/>
          <w:i w:val="false"/>
          <w:iCs w:val="false"/>
        </w:rPr>
        <w:t xml:space="preserve">Ausente frente al estándar de IH Connect: pruebas de concurrencia (relevantes si en el futuro hay cupos/registro), pruebas de seguridad explícitas, checklist de accesibilidad/móvil.</w:t>
      </w:r>
    </w:p>
    <w:p>
      <w:pPr>
        <w:pStyle w:val="Heading1"/>
        <w:spacing w:after="160" w:before="360"/>
      </w:pPr>
      <w:r>
        <w:t xml:space="preserve">24. Roadmap de desarrollo por fases</w:t>
      </w:r>
    </w:p>
    <w:p>
      <w:pPr>
        <w:spacing w:after="160"/>
      </w:pPr>
      <w:r>
        <w:rPr>
          <w:b w:val="false"/>
          <w:bCs w:val="false"/>
          <w:i w:val="false"/>
          <w:iCs w:val="false"/>
        </w:rPr>
        <w:t xml:space="preserve">Reutiliza y detalla el ROADMAP.md existente:</w:t>
      </w:r>
    </w:p>
    <w:p>
      <w:pPr>
        <w:pStyle w:val="Heading2"/>
        <w:spacing w:after="120" w:before="240"/>
      </w:pPr>
      <w:r>
        <w:t xml:space="preserve">Fase 1 — Fundación (completada / en curso)</w:t>
      </w:r>
    </w:p>
    <w:p>
      <w:pPr>
        <w:pStyle w:val="ListParagraph"/>
        <w:numPr>
          <w:ilvl w:val="0"/>
          <w:numId w:val="2"/>
        </w:numPr>
        <w:spacing w:after="60"/>
      </w:pPr>
      <w:r>
        <w:t xml:space="preserve">API Django/DRF modular</w:t>
      </w:r>
    </w:p>
    <w:p>
      <w:pPr>
        <w:pStyle w:val="ListParagraph"/>
        <w:numPr>
          <w:ilvl w:val="0"/>
          <w:numId w:val="2"/>
        </w:numPr>
        <w:spacing w:after="60"/>
      </w:pPr>
      <w:r>
        <w:t xml:space="preserve">contrato JSON Schema para briefs</w:t>
      </w:r>
    </w:p>
    <w:p>
      <w:pPr>
        <w:pStyle w:val="ListParagraph"/>
        <w:numPr>
          <w:ilvl w:val="0"/>
          <w:numId w:val="2"/>
        </w:numPr>
        <w:spacing w:after="60"/>
      </w:pPr>
      <w:r>
        <w:t xml:space="preserve">modelos de catálogo, campañas, diseños, activos y validaciones</w:t>
      </w:r>
    </w:p>
    <w:p>
      <w:pPr>
        <w:pStyle w:val="ListParagraph"/>
        <w:numPr>
          <w:ilvl w:val="0"/>
          <w:numId w:val="2"/>
        </w:numPr>
        <w:spacing w:after="60"/>
      </w:pPr>
      <w:r>
        <w:t xml:space="preserve">interfaz de proveedor IA con adaptador OpenAI</w:t>
      </w:r>
    </w:p>
    <w:p>
      <w:pPr>
        <w:pStyle w:val="ListParagraph"/>
        <w:numPr>
          <w:ilvl w:val="0"/>
          <w:numId w:val="2"/>
        </w:numPr>
        <w:spacing w:after="60"/>
      </w:pPr>
      <w:r>
        <w:t xml:space="preserve">health check, pruebas y CI</w:t>
      </w:r>
    </w:p>
    <w:p>
      <w:pPr>
        <w:pStyle w:val="Heading2"/>
        <w:spacing w:after="120" w:before="240"/>
      </w:pPr>
      <w:r>
        <w:t xml:space="preserve">Fase 2 — Composición controlada (en curso)</w:t>
      </w:r>
    </w:p>
    <w:p>
      <w:pPr>
        <w:pStyle w:val="ListParagraph"/>
        <w:numPr>
          <w:ilvl w:val="0"/>
          <w:numId w:val="2"/>
        </w:numPr>
        <w:spacing w:after="60"/>
      </w:pPr>
      <w:r>
        <w:t xml:space="preserve">biblioteca de plantillas HTML/SVG versionadas (square-v1 implementado)</w:t>
      </w:r>
    </w:p>
    <w:p>
      <w:pPr>
        <w:pStyle w:val="ListParagraph"/>
        <w:numPr>
          <w:ilvl w:val="0"/>
          <w:numId w:val="2"/>
        </w:numPr>
        <w:spacing w:after="60"/>
      </w:pPr>
      <w:r>
        <w:t xml:space="preserve">renderizador de formatos 1080px y previsualización (implementado)</w:t>
      </w:r>
    </w:p>
    <w:p>
      <w:pPr>
        <w:pStyle w:val="ListParagraph"/>
        <w:numPr>
          <w:ilvl w:val="0"/>
          <w:numId w:val="2"/>
        </w:numPr>
        <w:spacing w:after="60"/>
      </w:pPr>
      <w:r>
        <w:t xml:space="preserve">verificación automática de zona de seguridad, legibilidad y campos críticos</w:t>
      </w:r>
    </w:p>
    <w:p>
      <w:pPr>
        <w:pStyle w:val="ListParagraph"/>
        <w:numPr>
          <w:ilvl w:val="0"/>
          <w:numId w:val="2"/>
        </w:numPr>
        <w:spacing w:after="60"/>
      </w:pPr>
      <w:r>
        <w:t xml:space="preserve">templates adicionales para story y portrait (pendiente)</w:t>
      </w:r>
    </w:p>
    <w:p>
      <w:pPr>
        <w:pStyle w:val="Heading2"/>
        <w:spacing w:after="120" w:before="240"/>
      </w:pPr>
      <w:r>
        <w:t xml:space="preserve">Fase 3 — Revisión y operación (pendiente)</w:t>
      </w:r>
    </w:p>
    <w:p>
      <w:pPr>
        <w:pStyle w:val="ListParagraph"/>
        <w:numPr>
          <w:ilvl w:val="0"/>
          <w:numId w:val="2"/>
        </w:numPr>
        <w:spacing w:after="60"/>
      </w:pPr>
      <w:r>
        <w:t xml:space="preserve">autenticación corporativa y roles (parcialmente implementado)</w:t>
      </w:r>
    </w:p>
    <w:p>
      <w:pPr>
        <w:pStyle w:val="ListParagraph"/>
        <w:numPr>
          <w:ilvl w:val="0"/>
          <w:numId w:val="2"/>
        </w:numPr>
        <w:spacing w:after="60"/>
      </w:pPr>
      <w:r>
        <w:t xml:space="preserve">flujo de revisión/aprobación con comentarios persistidos (pendiente)</w:t>
      </w:r>
    </w:p>
    <w:p>
      <w:pPr>
        <w:pStyle w:val="ListParagraph"/>
        <w:numPr>
          <w:ilvl w:val="0"/>
          <w:numId w:val="2"/>
        </w:numPr>
        <w:spacing w:after="60"/>
      </w:pPr>
      <w:r>
        <w:t xml:space="preserve">historial visible y exportación para redes/WhatsApp (pendiente)</w:t>
      </w:r>
    </w:p>
    <w:p>
      <w:pPr>
        <w:pStyle w:val="Heading2"/>
        <w:spacing w:after="120" w:before="240"/>
      </w:pPr>
      <w:r>
        <w:t xml:space="preserve">Fase 4 — Inteligencia aplicada (pendiente)</w:t>
      </w:r>
    </w:p>
    <w:p>
      <w:pPr>
        <w:pStyle w:val="ListParagraph"/>
        <w:numPr>
          <w:ilvl w:val="0"/>
          <w:numId w:val="2"/>
        </w:numPr>
        <w:spacing w:after="60"/>
      </w:pPr>
      <w:r>
        <w:t xml:space="preserve">generación de copy basada exclusivamente en datos autorizados</w:t>
      </w:r>
    </w:p>
    <w:p>
      <w:pPr>
        <w:pStyle w:val="ListParagraph"/>
        <w:numPr>
          <w:ilvl w:val="0"/>
          <w:numId w:val="2"/>
        </w:numPr>
        <w:spacing w:after="60"/>
      </w:pPr>
      <w:r>
        <w:t xml:space="preserve">evaluación de calidad y trazabilidad de prompts/respuestas</w:t>
      </w:r>
    </w:p>
    <w:p>
      <w:pPr>
        <w:pStyle w:val="ListParagraph"/>
        <w:numPr>
          <w:ilvl w:val="0"/>
          <w:numId w:val="2"/>
        </w:numPr>
        <w:spacing w:after="60"/>
      </w:pPr>
      <w:r>
        <w:t xml:space="preserve">segundo proveedor compatible con la interfaz, solo después de validar necesidad</w:t>
      </w:r>
    </w:p>
    <w:p>
      <w:pPr>
        <w:pStyle w:val="Heading2"/>
        <w:spacing w:after="120" w:before="240"/>
      </w:pPr>
      <w:r>
        <w:t xml:space="preserve">Pista paralela — Expansión de materiales LATAM (nueva, decisión 2026-08-07)</w:t>
      </w:r>
    </w:p>
    <w:p>
      <w:pPr>
        <w:spacing w:after="160"/>
      </w:pPr>
      <w:r>
        <w:rPr>
          <w:b w:val="false"/>
          <w:bCs w:val="false"/>
          <w:i w:val="false"/>
          <w:iCs w:val="false"/>
        </w:rPr>
        <w:t xml:space="preserve">Corre en paralelo a las Fases 2-4, no después de ellas — por decisión explícita de Axel (Sección 2.1). Orden de prioridad confirmado:</w:t>
      </w:r>
    </w:p>
    <w:p>
      <w:pPr>
        <w:pStyle w:val="ListParagraph"/>
        <w:numPr>
          <w:ilvl w:val="0"/>
          <w:numId w:val="2"/>
        </w:numPr>
        <w:spacing w:after="60"/>
      </w:pPr>
      <w:r>
        <w:t xml:space="preserve">1. Paquetería de marketing para colegios — probablemente reutiliza brand/knowledge/product-catalog.yaml#qc-2026 y #teacher-training-certifications (a confirmar con Axel/Codex, ver Sección 35);</w:t>
      </w:r>
    </w:p>
    <w:p>
      <w:pPr>
        <w:pStyle w:val="ListParagraph"/>
        <w:numPr>
          <w:ilvl w:val="0"/>
          <w:numId w:val="2"/>
        </w:numPr>
        <w:spacing w:after="60"/>
      </w:pPr>
      <w:r>
        <w:t xml:space="preserve">2. Paquetería de marketing para sedes;</w:t>
      </w:r>
    </w:p>
    <w:p>
      <w:pPr>
        <w:pStyle w:val="ListParagraph"/>
        <w:numPr>
          <w:ilvl w:val="0"/>
          <w:numId w:val="2"/>
        </w:numPr>
        <w:spacing w:after="60"/>
      </w:pPr>
      <w:r>
        <w:t xml:space="preserve">3. Paquetería de marketing para ventas;</w:t>
      </w:r>
    </w:p>
    <w:p>
      <w:pPr>
        <w:pStyle w:val="ListParagraph"/>
        <w:numPr>
          <w:ilvl w:val="0"/>
          <w:numId w:val="2"/>
        </w:numPr>
        <w:spacing w:after="60"/>
      </w:pPr>
      <w:r>
        <w:t xml:space="preserve">4. Mailings / correo electrónico — requiere su propia plantilla HTML de email y probablemente un proveedor de envío distinto al renderizador actual de piezas estáticas.</w:t>
      </w:r>
    </w:p>
    <w:p>
      <w:pPr>
        <w:spacing w:after="200"/>
      </w:pPr>
      <w:r>
        <w:rPr>
          <w:i/>
          <w:iCs/>
          <w:color w:val="6B7280"/>
        </w:rPr>
        <w:t xml:space="preserve">Prerrequisito técnico común a los cuatro: generalizar el modelo Design/DesignVersion (hoy pensado para piezas sociales 1080px) a un concepto de “tipo de material” configurable, siguiendo el mismo principio de “configurable, no hardcodeado” ya aplicado en brand/ (Sección 7.6) — evita reescribir el pipeline por cada tipo de material nuevo.</w:t>
      </w:r>
    </w:p>
    <w:p>
      <w:pPr>
        <w:pStyle w:val="Heading1"/>
        <w:spacing w:after="160" w:before="360"/>
      </w:pPr>
      <w:r>
        <w:t xml:space="preserve">25. Cronograma de etapas detallado (propuesto) y checkpoint go/no-go</w:t>
      </w:r>
    </w:p>
    <w:p>
      <w:pPr>
        <w:spacing w:after="200"/>
      </w:pPr>
      <w:r>
        <w:rPr>
          <w:i/>
          <w:iCs/>
          <w:color w:val="6B7280"/>
        </w:rPr>
        <w:t xml:space="preserve">Propuesta — IH Connect fija fechas de calendario reales porque tiene un piloto con escuelas externas y una fecha límite (octubre 2026). IH Design Platform no tiene esa presión externa, así que aquí se proponen etapas por dependencia lógica, no por fecha, salvo que Axel prefiera fijar fechas.</w:t>
      </w:r>
    </w:p>
    <w:p>
      <w:pPr>
        <w:pStyle w:val="ListParagraph"/>
        <w:numPr>
          <w:ilvl w:val="0"/>
          <w:numId w:val="2"/>
        </w:numPr>
        <w:spacing w:after="60"/>
      </w:pPr>
      <w:r>
        <w:t xml:space="preserve">Etapa A — cerrar Fase 2: templates story/portrait, verificación automática de zona de seguridad y legibilidad;</w:t>
      </w:r>
    </w:p>
    <w:p>
      <w:pPr>
        <w:pStyle w:val="ListParagraph"/>
        <w:numPr>
          <w:ilvl w:val="0"/>
          <w:numId w:val="2"/>
        </w:numPr>
        <w:spacing w:after="60"/>
      </w:pPr>
      <w:r>
        <w:t xml:space="preserve">Etapa B — activar Postgres/Redis reales en un entorno desplegado (hoy solo local);</w:t>
      </w:r>
    </w:p>
    <w:p>
      <w:pPr>
        <w:pStyle w:val="ListParagraph"/>
        <w:numPr>
          <w:ilvl w:val="0"/>
          <w:numId w:val="2"/>
        </w:numPr>
        <w:spacing w:after="60"/>
      </w:pPr>
      <w:r>
        <w:t xml:space="preserve">Etapa C — flujo de aprobación humana formal con comentarios persistidos, reemplazando la dependencia del lote de 50 self_review;</w:t>
      </w:r>
    </w:p>
    <w:p>
      <w:pPr>
        <w:pStyle w:val="ListParagraph"/>
        <w:numPr>
          <w:ilvl w:val="0"/>
          <w:numId w:val="2"/>
        </w:numPr>
        <w:spacing w:after="60"/>
      </w:pPr>
      <w:r>
        <w:t xml:space="preserve">Etapa D — exportación a redes/WhatsApp;</w:t>
      </w:r>
    </w:p>
    <w:p>
      <w:pPr>
        <w:pStyle w:val="ListParagraph"/>
        <w:numPr>
          <w:ilvl w:val="0"/>
          <w:numId w:val="2"/>
        </w:numPr>
        <w:spacing w:after="60"/>
      </w:pPr>
      <w:r>
        <w:t xml:space="preserve">Checkpoint go/no-go recomendado: al completar el lote de 50 piezas de prueba (DESIGN_TEST_LIMIT), decidir explícitamente si se activa el flujo de aprobación formal o si se amplía el lote de auto-revisión — decisión pre-acordada, no tomada bajo presión.</w:t>
      </w:r>
    </w:p>
    <w:p>
      <w:pPr>
        <w:pStyle w:val="Heading1"/>
        <w:spacing w:after="160" w:before="360"/>
      </w:pPr>
      <w:r>
        <w:t xml:space="preserve">26. Criterios de aceptación por milestone (propuestos)</w:t>
      </w:r>
    </w:p>
    <w:p>
      <w:pPr>
        <w:pStyle w:val="Heading2"/>
        <w:spacing w:after="120" w:before="240"/>
      </w:pPr>
      <w:r>
        <w:t xml:space="preserve">M1 — Composición controlada</w:t>
      </w:r>
    </w:p>
    <w:p>
      <w:pPr>
        <w:pStyle w:val="ListParagraph"/>
        <w:numPr>
          <w:ilvl w:val="0"/>
          <w:numId w:val="2"/>
        </w:numPr>
        <w:spacing w:after="60"/>
      </w:pPr>
      <w:r>
        <w:t xml:space="preserve">brief válido genera preview HTML+SVG sin intervención manual</w:t>
      </w:r>
    </w:p>
    <w:p>
      <w:pPr>
        <w:pStyle w:val="ListParagraph"/>
        <w:numPr>
          <w:ilvl w:val="0"/>
          <w:numId w:val="2"/>
        </w:numPr>
        <w:spacing w:after="60"/>
      </w:pPr>
      <w:r>
        <w:t xml:space="preserve">colores/logos/texto crítico fuera de tokens son rechazados automáticamente</w:t>
      </w:r>
    </w:p>
    <w:p>
      <w:pPr>
        <w:pStyle w:val="ListParagraph"/>
        <w:numPr>
          <w:ilvl w:val="0"/>
          <w:numId w:val="2"/>
        </w:numPr>
        <w:spacing w:after="60"/>
      </w:pPr>
      <w:r>
        <w:t xml:space="preserve">story y portrait renderizan igual de bien que square-v1</w:t>
      </w:r>
    </w:p>
    <w:p>
      <w:pPr>
        <w:pStyle w:val="Heading2"/>
        <w:spacing w:after="120" w:before="240"/>
      </w:pPr>
      <w:r>
        <w:t xml:space="preserve">M2 — Conocimiento de marca</w:t>
      </w:r>
    </w:p>
    <w:p>
      <w:pPr>
        <w:pStyle w:val="ListParagraph"/>
        <w:numPr>
          <w:ilvl w:val="0"/>
          <w:numId w:val="2"/>
        </w:numPr>
        <w:spacing w:after="60"/>
      </w:pPr>
      <w:r>
        <w:t xml:space="preserve">catálogo de productos y conocimiento visual reproducibles desde sus fuentes YAML (--check en verde)</w:t>
      </w:r>
    </w:p>
    <w:p>
      <w:pPr>
        <w:pStyle w:val="ListParagraph"/>
        <w:numPr>
          <w:ilvl w:val="0"/>
          <w:numId w:val="2"/>
        </w:numPr>
        <w:spacing w:after="60"/>
      </w:pPr>
      <w:r>
        <w:t xml:space="preserve">ningún dato de marca sin fuente citada o marcado pendiente explícitamente</w:t>
      </w:r>
    </w:p>
    <w:p>
      <w:pPr>
        <w:pStyle w:val="Heading2"/>
        <w:spacing w:after="120" w:before="240"/>
      </w:pPr>
      <w:r>
        <w:t xml:space="preserve">M3 — Revisión y operación</w:t>
      </w:r>
    </w:p>
    <w:p>
      <w:pPr>
        <w:pStyle w:val="ListParagraph"/>
        <w:numPr>
          <w:ilvl w:val="0"/>
          <w:numId w:val="2"/>
        </w:numPr>
        <w:spacing w:after="60"/>
      </w:pPr>
      <w:r>
        <w:t xml:space="preserve">flujo de aprobación humana con comentarios persistidos reemplaza self_review</w:t>
      </w:r>
    </w:p>
    <w:p>
      <w:pPr>
        <w:pStyle w:val="ListParagraph"/>
        <w:numPr>
          <w:ilvl w:val="0"/>
          <w:numId w:val="2"/>
        </w:numPr>
        <w:spacing w:after="60"/>
      </w:pPr>
      <w:r>
        <w:t xml:space="preserve">historial de versiones visible y exportable</w:t>
      </w:r>
    </w:p>
    <w:p>
      <w:pPr>
        <w:pStyle w:val="Heading1"/>
        <w:spacing w:after="160" w:before="360"/>
      </w:pPr>
      <w:r>
        <w:t xml:space="preserve">27. Lecciones ya aplicadas en este proyecto</w:t>
      </w:r>
    </w:p>
    <w:p>
      <w:pPr>
        <w:spacing w:after="160"/>
      </w:pPr>
      <w:r>
        <w:rPr>
          <w:b w:val="false"/>
          <w:bCs w:val="false"/>
          <w:i w:val="false"/>
          <w:iCs w:val="false"/>
        </w:rPr>
        <w:t xml:space="preserve">Equivalente a la Sección 29 de IH Connect, pero con lecciones reales de esta misma construcción, no importadas de otro proyecto:</w:t>
      </w:r>
    </w:p>
    <w:p>
      <w:pPr>
        <w:pStyle w:val="ListParagraph"/>
        <w:numPr>
          <w:ilvl w:val="0"/>
          <w:numId w:val="2"/>
        </w:numPr>
        <w:spacing w:after="60"/>
      </w:pPr>
      <w:r>
        <w:t xml:space="preserve">no inventar reglas de marca: cada color/regla cita su documento fuente o se marca pendiente (aplicado en cada archivo de brand/);</w:t>
      </w:r>
    </w:p>
    <w:p>
      <w:pPr>
        <w:pStyle w:val="ListParagraph"/>
        <w:numPr>
          <w:ilvl w:val="0"/>
          <w:numId w:val="2"/>
        </w:numPr>
        <w:spacing w:after="60"/>
      </w:pPr>
      <w:r>
        <w:t xml:space="preserve">separar hechos crawleados de anotaciones curadas: manifest.yaml (hechos técnicos) vs. artwork-annotations.yaml (juicio humano/curado), fusionados solo al generar (evita que una corrección se pierda al re-crawlear Drive);</w:t>
      </w:r>
    </w:p>
    <w:p>
      <w:pPr>
        <w:pStyle w:val="ListParagraph"/>
        <w:numPr>
          <w:ilvl w:val="0"/>
          <w:numId w:val="2"/>
        </w:numPr>
        <w:spacing w:after="60"/>
      </w:pPr>
      <w:r>
        <w:t xml:space="preserve">nunca editar a mano un archivo generado: todo JSON generado se regenera desde su YAML fuente vía script con bandera --check;</w:t>
      </w:r>
    </w:p>
    <w:p>
      <w:pPr>
        <w:pStyle w:val="ListParagraph"/>
        <w:numPr>
          <w:ilvl w:val="0"/>
          <w:numId w:val="2"/>
        </w:numPr>
        <w:spacing w:after="60"/>
      </w:pPr>
      <w:r>
        <w:t xml:space="preserve">tratar el lenguaje del cliente con precisión: cuando el cliente dice “seguramente” en vez de confirmar, needs_review se mantiene en true — no se trata como confirmación cerrada;</w:t>
      </w:r>
    </w:p>
    <w:p>
      <w:pPr>
        <w:pStyle w:val="ListParagraph"/>
        <w:numPr>
          <w:ilvl w:val="0"/>
          <w:numId w:val="2"/>
        </w:numPr>
        <w:spacing w:after="60"/>
      </w:pPr>
      <w:r>
        <w:t xml:space="preserve">revisar la salida de IA (Codex y Claude) como cualquier otro cambio: ejecutar ruff, manage.py check y pytest antes de cada cambio estructural, ya mandatado en AGENTS.md.</w:t>
      </w:r>
    </w:p>
    <w:p>
      <w:pPr>
        <w:pStyle w:val="Heading1"/>
        <w:spacing w:after="160" w:before="360"/>
      </w:pPr>
      <w:r>
        <w:t xml:space="preserve">28. Estructura de documentación</w:t>
      </w:r>
    </w:p>
    <w:p>
      <w:pPr>
        <w:spacing w:after="160"/>
      </w:pPr>
      <w:r>
        <w:rPr>
          <w:b w:val="false"/>
          <w:bCs w:val="false"/>
          <w:i w:val="false"/>
          <w:iCs w:val="false"/>
        </w:rPr>
        <w:t xml:space="preserve">Ya existente:</w:t>
      </w:r>
    </w:p>
    <w:p>
      <w:pPr>
        <w:pStyle w:val="ListParagraph"/>
        <w:numPr>
          <w:ilvl w:val="0"/>
          <w:numId w:val="2"/>
        </w:numPr>
        <w:spacing w:after="60"/>
      </w:pPr>
      <w:r>
        <w:t xml:space="preserve">README.md, PROJECT.md, ROADMAP.md, TASKS.md, DECISIONS.md, AGENTS.md (raíz)</w:t>
      </w:r>
    </w:p>
    <w:p>
      <w:pPr>
        <w:pStyle w:val="ListParagraph"/>
        <w:numPr>
          <w:ilvl w:val="0"/>
          <w:numId w:val="2"/>
        </w:numPr>
        <w:spacing w:after="60"/>
      </w:pPr>
      <w:r>
        <w:t xml:space="preserve">docs/architecture.md</w:t>
      </w:r>
    </w:p>
    <w:p>
      <w:pPr>
        <w:pStyle w:val="ListParagraph"/>
        <w:numPr>
          <w:ilvl w:val="0"/>
          <w:numId w:val="2"/>
        </w:numPr>
        <w:spacing w:after="60"/>
      </w:pPr>
      <w:r>
        <w:t xml:space="preserve">brand/README.md, brand/knowledge/README.md, brand/assets/logos/README.md, brand/assets/fonts/README.md</w:t>
      </w:r>
    </w:p>
    <w:p>
      <w:pPr>
        <w:pStyle w:val="ListParagraph"/>
        <w:numPr>
          <w:ilvl w:val="0"/>
          <w:numId w:val="2"/>
        </w:numPr>
        <w:spacing w:after="60"/>
      </w:pPr>
      <w:r>
        <w:t xml:space="preserve">frontend/README.md</w:t>
      </w:r>
    </w:p>
    <w:p>
      <w:pPr>
        <w:pStyle w:val="ListParagraph"/>
        <w:numPr>
          <w:ilvl w:val="0"/>
          <w:numId w:val="2"/>
        </w:numPr>
        <w:spacing w:after="60"/>
      </w:pPr>
      <w:r>
        <w:t xml:space="preserve">HANDOFF_BRAND_SYSTEM.md (para sincronizar contexto entre Claude y Codex)</w:t>
      </w:r>
    </w:p>
    <w:p>
      <w:pPr>
        <w:spacing w:after="160"/>
      </w:pPr>
      <w:r>
        <w:rPr>
          <w:b w:val="false"/>
          <w:bCs w:val="false"/>
          <w:i w:val="false"/>
          <w:iCs w:val="false"/>
        </w:rPr>
        <w:t xml:space="preserve">Ausente frente a la estructura de IH Connect (Sección 30): docs/security/, docs/operations/, docs/testing/ — hoy la documentación de seguridad y operación vive dispersa en README/AGENTS.md en vez de en su propia carpeta.</w:t>
      </w:r>
    </w:p>
    <w:p>
      <w:pPr>
        <w:pStyle w:val="Heading1"/>
        <w:spacing w:after="160" w:before="360"/>
      </w:pPr>
      <w:r>
        <w:t xml:space="preserve">29. Método de trabajo con Codex y Claude</w:t>
      </w:r>
    </w:p>
    <w:p>
      <w:pPr>
        <w:spacing w:after="160"/>
      </w:pPr>
      <w:r>
        <w:rPr>
          <w:b/>
          <w:bCs/>
          <w:i w:val="false"/>
          <w:iCs w:val="false"/>
        </w:rPr>
        <w:t xml:space="preserve">Adoptando explícitamente el método de la Sección 31 de IH Connect, adaptado a dos agentes en vez de uno. División de responsabilidad confirmada por Codex el 2026-08-07 (ya no es una recomendación pendiente de confirmar):</w:t>
      </w:r>
    </w:p>
    <w:p>
      <w:pPr>
        <w:pStyle w:val="ListParagraph"/>
        <w:numPr>
          <w:ilvl w:val="0"/>
          <w:numId w:val="2"/>
        </w:numPr>
        <w:spacing w:after="60"/>
      </w:pPr>
      <w:r>
        <w:t xml:space="preserve">cada tarea para Codex o Claude debe ser un corte vertical acotado, nunca “construye el sistema de aprobación”;</w:t>
      </w:r>
    </w:p>
    <w:p>
      <w:pPr>
        <w:pStyle w:val="ListParagraph"/>
        <w:numPr>
          <w:ilvl w:val="0"/>
          <w:numId w:val="2"/>
        </w:numPr>
        <w:spacing w:after="60"/>
      </w:pPr>
      <w:r>
        <w:t xml:space="preserve">cada tarea debe declarar: objetivo, alcance, archivos/módulos probablemente involucrados, cambios de modelo de datos, permisos requeridos, pruebas requeridas, actualizaciones de documentación requeridas, exclusiones explícitas;</w:t>
      </w:r>
    </w:p>
    <w:p>
      <w:pPr>
        <w:pStyle w:val="ListParagraph"/>
        <w:numPr>
          <w:ilvl w:val="0"/>
          <w:numId w:val="2"/>
        </w:numPr>
        <w:spacing w:after="60"/>
      </w:pPr>
      <w:r>
        <w:t xml:space="preserve">cada entrega debe terminar con: resumen de cambios, migraciones agregadas, pruebas corridas, limitaciones conocidas, archivos modificados;</w:t>
      </w:r>
    </w:p>
    <w:p>
      <w:pPr>
        <w:pStyle w:val="ListParagraph"/>
        <w:numPr>
          <w:ilvl w:val="0"/>
          <w:numId w:val="2"/>
        </w:numPr>
        <w:spacing w:after="60"/>
      </w:pPr>
      <w:r>
        <w:t xml:space="preserve">Codex: backend/, migraciones, APIs y permisos, renderizador, templates HTML/SVG, frontend funcional, pruebas y configuración técnica;</w:t>
      </w:r>
    </w:p>
    <w:p>
      <w:pPr>
        <w:pStyle w:val="ListParagraph"/>
        <w:numPr>
          <w:ilvl w:val="0"/>
          <w:numId w:val="2"/>
        </w:numPr>
        <w:spacing w:after="60"/>
      </w:pPr>
      <w:r>
        <w:t xml:space="preserve">Claude: brand/knowledge/, curación de referencias visuales, catálogo de productos, documentación y curación de marca, revisión visual de los diseños generados;</w:t>
      </w:r>
    </w:p>
    <w:p>
      <w:pPr>
        <w:pStyle w:val="ListParagraph"/>
        <w:numPr>
          <w:ilvl w:val="0"/>
          <w:numId w:val="2"/>
        </w:numPr>
        <w:spacing w:after="60"/>
      </w:pPr>
      <w:r>
        <w:t xml:space="preserve">archivos compartidos que requieren coordinación explícita antes de tocarlos (confirmado por Codex): backend/assets/, backend/briefs/services/options.py, el manifest de logos, y cualquier integración que consuma brand/ — nadie edita estos sin avisar al otro agente primero;</w:t>
      </w:r>
    </w:p>
    <w:p>
      <w:pPr>
        <w:pStyle w:val="ListParagraph"/>
        <w:numPr>
          <w:ilvl w:val="0"/>
          <w:numId w:val="2"/>
        </w:numPr>
        <w:spacing w:after="60"/>
      </w:pPr>
      <w:r>
        <w:t xml:space="preserve">nunca editar a mano: brand/tokens/colors.json, brand/generated/*, y cualquier JSON generado desde YAML — siempre regenerar con su script correspondiente.</w:t>
      </w:r>
    </w:p>
    <w:p>
      <w:pPr>
        <w:pStyle w:val="Heading1"/>
        <w:spacing w:after="160" w:before="360"/>
      </w:pPr>
      <w:r>
        <w:t xml:space="preserve">30. Definición de “terminado” por fase</w:t>
      </w:r>
    </w:p>
    <w:p>
      <w:pPr>
        <w:spacing w:after="160"/>
      </w:pPr>
      <w:r>
        <w:rPr>
          <w:b w:val="false"/>
          <w:bCs w:val="false"/>
          <w:i w:val="false"/>
          <w:iCs w:val="false"/>
        </w:rPr>
        <w:t xml:space="preserve">Una fase no está terminada a menos que:</w:t>
      </w:r>
    </w:p>
    <w:p>
      <w:pPr>
        <w:pStyle w:val="ListParagraph"/>
        <w:numPr>
          <w:ilvl w:val="0"/>
          <w:numId w:val="2"/>
        </w:numPr>
        <w:spacing w:after="60"/>
      </w:pPr>
      <w:r>
        <w:t xml:space="preserve">existe validación de backend (no solo frontend);</w:t>
      </w:r>
    </w:p>
    <w:p>
      <w:pPr>
        <w:pStyle w:val="ListParagraph"/>
        <w:numPr>
          <w:ilvl w:val="0"/>
          <w:numId w:val="2"/>
        </w:numPr>
        <w:spacing w:after="60"/>
      </w:pPr>
      <w:r>
        <w:t xml:space="preserve">los permisos se aplican en el backend, no solo se ocultan en la UI;</w:t>
      </w:r>
    </w:p>
    <w:p>
      <w:pPr>
        <w:pStyle w:val="ListParagraph"/>
        <w:numPr>
          <w:ilvl w:val="0"/>
          <w:numId w:val="2"/>
        </w:numPr>
        <w:spacing w:after="60"/>
      </w:pPr>
      <w:r>
        <w:t xml:space="preserve">hay pruebas nuevas o actualizadas y todas pasan;</w:t>
      </w:r>
    </w:p>
    <w:p>
      <w:pPr>
        <w:pStyle w:val="ListParagraph"/>
        <w:numPr>
          <w:ilvl w:val="0"/>
          <w:numId w:val="2"/>
        </w:numPr>
        <w:spacing w:after="60"/>
      </w:pPr>
      <w:r>
        <w:t xml:space="preserve">ruff check ., manage.py check y makemigrations --check están en verde;</w:t>
      </w:r>
    </w:p>
    <w:p>
      <w:pPr>
        <w:pStyle w:val="ListParagraph"/>
        <w:numPr>
          <w:ilvl w:val="0"/>
          <w:numId w:val="2"/>
        </w:numPr>
        <w:spacing w:after="60"/>
      </w:pPr>
      <w:r>
        <w:t xml:space="preserve">no se introdujo ningún dato comercial inventado (precio, fecha, sede, CTA);</w:t>
      </w:r>
    </w:p>
    <w:p>
      <w:pPr>
        <w:pStyle w:val="ListParagraph"/>
        <w:numPr>
          <w:ilvl w:val="0"/>
          <w:numId w:val="2"/>
        </w:numPr>
        <w:spacing w:after="60"/>
      </w:pPr>
      <w:r>
        <w:t xml:space="preserve">ninguna regla de marca se infirió sin fuente — lo no confirmado quedó marcado como tal;</w:t>
      </w:r>
    </w:p>
    <w:p>
      <w:pPr>
        <w:pStyle w:val="ListParagraph"/>
        <w:numPr>
          <w:ilvl w:val="0"/>
          <w:numId w:val="2"/>
        </w:numPr>
        <w:spacing w:after="60"/>
      </w:pPr>
      <w:r>
        <w:t xml:space="preserve">TASKS.md y DECISIONS.md se actualizaron si cambió el alcance o la arquitectura (ya mandatado en AGENTS.md);</w:t>
      </w:r>
    </w:p>
    <w:p>
      <w:pPr>
        <w:pStyle w:val="ListParagraph"/>
        <w:numPr>
          <w:ilvl w:val="0"/>
          <w:numId w:val="2"/>
        </w:numPr>
        <w:spacing w:after="60"/>
      </w:pPr>
      <w:r>
        <w:t xml:space="preserve">la documentación relevante se actualizó;</w:t>
      </w:r>
    </w:p>
    <w:p>
      <w:pPr>
        <w:pStyle w:val="ListParagraph"/>
        <w:numPr>
          <w:ilvl w:val="0"/>
          <w:numId w:val="2"/>
        </w:numPr>
        <w:spacing w:after="60"/>
      </w:pPr>
      <w:r>
        <w:t xml:space="preserve">no se expusieron secretos ni credenciales.</w:t>
      </w:r>
    </w:p>
    <w:p>
      <w:pPr>
        <w:pStyle w:val="Heading1"/>
        <w:spacing w:after="160" w:before="360"/>
      </w:pPr>
      <w:r>
        <w:t xml:space="preserve">31. Riesgos probables</w:t>
      </w:r>
    </w:p>
    <w:p>
      <w:pPr>
        <w:pStyle w:val="Heading2"/>
        <w:spacing w:after="120" w:before="240"/>
      </w:pPr>
      <w:r>
        <w:t xml:space="preserve">31.1 Propiedad del repositorio (riesgo de continuidad)</w:t>
      </w:r>
    </w:p>
    <w:p>
      <w:pPr>
        <w:spacing w:after="160"/>
      </w:pPr>
      <w:r>
        <w:rPr>
          <w:b w:val="false"/>
          <w:bCs w:val="false"/>
          <w:i w:val="false"/>
          <w:iCs w:val="false"/>
        </w:rPr>
        <w:t xml:space="preserve">El repositorio vive bajo la cuenta personal de GitHub axelest10, no bajo una organización de IH México — el mismo riesgo de “key-person and continuity” que IH Connect nombra explícitamente en su Sección 33.9. Mitigación: transferir a una organización institucional cuando exista.</w:t>
      </w:r>
    </w:p>
    <w:p>
      <w:pPr>
        <w:pStyle w:val="Heading2"/>
        <w:spacing w:after="120" w:before="240"/>
      </w:pPr>
      <w:r>
        <w:t xml:space="preserve">31.2 Coordinación entre dos agentes de IA</w:t>
      </w:r>
    </w:p>
    <w:p>
      <w:pPr>
        <w:spacing w:after="160"/>
      </w:pPr>
      <w:r>
        <w:rPr>
          <w:b w:val="false"/>
          <w:bCs w:val="false"/>
          <w:i w:val="false"/>
          <w:iCs w:val="false"/>
        </w:rPr>
        <w:t xml:space="preserve">Codex y Claude ya trabajan en paralelo sobre el mismo repositorio sin un protocolo explícito de qué archivos toca cada uno. Mitigación: la división de responsabilidad propuesta en la Sección 29, más HANDOFF_BRAND_SYSTEM.md como canal de sincronización.</w:t>
      </w:r>
    </w:p>
    <w:p>
      <w:pPr>
        <w:pStyle w:val="Heading2"/>
        <w:spacing w:after="120" w:before="240"/>
      </w:pPr>
      <w:r>
        <w:t xml:space="preserve">31.3 Reglas de marca aún incompletas</w:t>
      </w:r>
    </w:p>
    <w:p>
      <w:pPr>
        <w:spacing w:after="160"/>
      </w:pPr>
      <w:r>
        <w:rPr>
          <w:b w:val="false"/>
          <w:bCs w:val="false"/>
          <w:i w:val="false"/>
          <w:iCs w:val="false"/>
        </w:rPr>
        <w:t xml:space="preserve">Licencia de Aptos, tamaño mínimo de logo formal, variantes de logo faltantes (white-reversed, dual-branding), y el alcance real de productos como QC y TEA siguen pendientes de confirmación del cliente. Mitigación: cada uno queda marcado needs_confirmation en vez de asumirse resuelto.</w:t>
      </w:r>
    </w:p>
    <w:p>
      <w:pPr>
        <w:pStyle w:val="Heading2"/>
        <w:spacing w:after="120" w:before="240"/>
      </w:pPr>
      <w:r>
        <w:t xml:space="preserve">31.4 Ausencia de decisión de hosting</w:t>
      </w:r>
    </w:p>
    <w:p>
      <w:pPr>
        <w:spacing w:after="160"/>
      </w:pPr>
      <w:r>
        <w:rPr>
          <w:b w:val="false"/>
          <w:bCs w:val="false"/>
          <w:i w:val="false"/>
          <w:iCs w:val="false"/>
        </w:rPr>
        <w:t xml:space="preserve">No hay entorno de producción, solo desarrollo local. Mitigación: decidir hosting antes de que el lote de 50 piezas de prueba se considere “listo para producción”.</w:t>
      </w:r>
    </w:p>
    <w:p>
      <w:pPr>
        <w:pStyle w:val="Heading2"/>
        <w:spacing w:after="120" w:before="240"/>
      </w:pPr>
      <w:r>
        <w:t xml:space="preserve">31.5 Sobreingeniería (equivalente a “overengineering”)</w:t>
      </w:r>
    </w:p>
    <w:p>
      <w:pPr>
        <w:spacing w:after="160"/>
      </w:pPr>
      <w:r>
        <w:rPr>
          <w:b w:val="false"/>
          <w:bCs w:val="false"/>
          <w:i w:val="false"/>
          <w:iCs w:val="false"/>
        </w:rPr>
        <w:t xml:space="preserve">El modelo ya soporta 8 formatos de pieza y un sistema de conocimiento visual con vocabulario controlado extenso — riesgo real de construir más estructura de la que el volumen actual de uso justifica. Mitigación: priorizar que el flujo square-v1 funcione de extremo a extremo con aprobación humana real antes de construir los formatos restantes.</w:t>
      </w:r>
    </w:p>
    <w:p>
      <w:pPr>
        <w:pStyle w:val="Heading2"/>
        <w:spacing w:after="120" w:before="240"/>
      </w:pPr>
      <w:r>
        <w:t xml:space="preserve">31.6 Alcance ampliado en paralelo (riesgo aceptado conscientemente)</w:t>
      </w:r>
    </w:p>
    <w:p>
      <w:pPr>
        <w:spacing w:after="160"/>
      </w:pPr>
      <w:r>
        <w:rPr>
          <w:b w:val="false"/>
          <w:bCs w:val="false"/>
          <w:i w:val="false"/>
          <w:iCs w:val="false"/>
        </w:rPr>
        <w:t xml:space="preserve">Axel decidió (Sección 2.1) construir la expansión LATAM/multi-material en paralelo al MVP, en vez de esperar a validarlo — la opción contraria a la que recomienda el propio documento IH Connect que sirvió de modelo (“el primer release debe ser deliberadamente angosto”). Esto no es un error a corregir, es una decisión de negocio tomada con la información disponible; se documenta como riesgo para que se gestione activamente, no para revertirla.</w:t>
      </w:r>
    </w:p>
    <w:p>
      <w:pPr>
        <w:pStyle w:val="ListParagraph"/>
        <w:numPr>
          <w:ilvl w:val="0"/>
          <w:numId w:val="2"/>
        </w:numPr>
        <w:spacing w:after="60"/>
      </w:pPr>
      <w:r>
        <w:t xml:space="preserve">riesgo concreto: un desarrollador (Axel) + dos agentes de IA (Codex, Claude) sosteniendo simultáneamente el MVP actual y cuatro líneas de material nuevas — capacidad real no confirmada (ver pregunta abierta, Sección 35);</w:t>
      </w:r>
    </w:p>
    <w:p>
      <w:pPr>
        <w:pStyle w:val="ListParagraph"/>
        <w:numPr>
          <w:ilvl w:val="0"/>
          <w:numId w:val="2"/>
        </w:numPr>
        <w:spacing w:after="60"/>
      </w:pPr>
      <w:r>
        <w:t xml:space="preserve">mitigación propuesta: el prerrequisito técnico común (modelo de “tipo de material” genérico, ver roadmap Sección 24) se construye una sola vez y evita que cada línea nueva sea un proyecto aparte desde cero;</w:t>
      </w:r>
    </w:p>
    <w:p>
      <w:pPr>
        <w:pStyle w:val="ListParagraph"/>
        <w:numPr>
          <w:ilvl w:val="0"/>
          <w:numId w:val="2"/>
        </w:numPr>
        <w:spacing w:after="60"/>
      </w:pPr>
      <w:r>
        <w:t xml:space="preserve">mitigación propuesta: mantener el orden de prioridad ya decidido (colegios → sedes → ventas → mailings) en vez de abrir las cuatro líneas a la vez.</w:t>
      </w:r>
    </w:p>
    <w:p>
      <w:pPr>
        <w:pStyle w:val="Heading2"/>
        <w:spacing w:after="120" w:before="240"/>
      </w:pPr>
      <w:r>
        <w:t xml:space="preserve">31.7 Desviaciones del proceso acordado detectadas el 2026-08-07</w:t>
      </w:r>
    </w:p>
    <w:p>
      <w:pPr>
        <w:spacing w:after="160"/>
      </w:pPr>
      <w:r>
        <w:rPr>
          <w:b w:val="false"/>
          <w:bCs w:val="false"/>
          <w:i w:val="false"/>
          <w:iCs w:val="false"/>
        </w:rPr>
        <w:t xml:space="preserve">Al revisar el primer reporte de avance de Codex contra el repositorio real, se detectaron dos desviaciones respecto al método de trabajo definido en la Sección 29 — no son errores graves, pero se documentan para no repetirlas sin decidirlo conscientemente:</w:t>
      </w:r>
    </w:p>
    <w:p>
      <w:pPr>
        <w:pStyle w:val="ListParagraph"/>
        <w:numPr>
          <w:ilvl w:val="0"/>
          <w:numId w:val="2"/>
        </w:numPr>
        <w:spacing w:after="60"/>
      </w:pPr>
      <w:r>
        <w:t xml:space="preserve">el plan de ejecución (prompt paso a paso) indicaba explícitamente no empezar el PASO 8 (paquetería de colegios) sin que Axel confirmara si reutiliza qc-2026/teacher-training-certifications; Codex avanzó de todas formas y fijó esos dos productos como default en backend/materials/services/catalog.py. El resultado técnico es razonable (respeta needs_confirmation, no inventa datos), pero la decisión de negocio se tomó sin la confirmación explícita que se había pedido;</w:t>
      </w:r>
    </w:p>
    <w:p>
      <w:pPr>
        <w:pStyle w:val="ListParagraph"/>
        <w:numPr>
          <w:ilvl w:val="0"/>
          <w:numId w:val="2"/>
        </w:numPr>
        <w:spacing w:after="60"/>
      </w:pPr>
      <w:r>
        <w:t xml:space="preserve">Codex reportó solo el trabajo de PASO 8, sin mencionar que también había completado PASO 0, PASO 1 (documentación), PASO 2, PASO 5 y el diseño de PASO 6 — se descubrieron revisando el repositorio directamente, no por el reporte. Recomendación: pedir a Codex que confirme explícitamente el estado de cada paso del plan en cada reporte, no solo el paso en el que trabajó.</w:t>
      </w:r>
    </w:p>
    <w:p>
      <w:pPr>
        <w:spacing w:after="200"/>
      </w:pPr>
      <w:r>
        <w:rPr>
          <w:i/>
          <w:iCs/>
          <w:color w:val="6B7280"/>
        </w:rPr>
        <w:t xml:space="preserve">Hallazgo adicional, no relacionado con Codex: hay 95 archivos modificados o nuevos sin commitear desde el commit inicial del repositorio (13d4a2b, 2026-08-04) — incluyendo todo brand/, backend/security/, backend/materials/, tests/ y los templates story/portrait. Es un volumen de trabajo real considerable sin respaldo en control de versiones; ver acción en la Sección 37. También hay archivos temporales sueltos en la raíz del repo (_tmp_v3/, _tmp_v3.zip, _tmp_v3.txt, _tmp_scoping.zip) que deberían limpiarse antes de cualquier commit.</w:t>
      </w:r>
    </w:p>
    <w:p>
      <w:pPr>
        <w:pStyle w:val="Heading1"/>
        <w:spacing w:after="160" w:before="360"/>
      </w:pPr>
      <w:r>
        <w:t xml:space="preserve">32. Costos esperados</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100"/>
      </w:tblGrid>
      <w:tr>
        <w:trPr>
          <w:tblHeader/>
        </w:trPr>
        <w:tc>
          <w:tcPr>
            <w:tcW w:type="dxa" w:w="3000"/>
            <w:shd w:fill="1F2A44" w:val="clear"/>
          </w:tcPr>
          <w:p>
            <w:r>
              <w:rPr>
                <w:b/>
                <w:bCs/>
                <w:color w:val="FFFFFF"/>
                <w:sz w:val="18"/>
                <w:szCs w:val="18"/>
              </w:rPr>
              <w:t xml:space="preserve">Concepto</w:t>
            </w:r>
          </w:p>
        </w:tc>
        <w:tc>
          <w:tcPr>
            <w:tcW w:type="dxa" w:w="2400"/>
            <w:shd w:fill="1F2A44" w:val="clear"/>
          </w:tcPr>
          <w:p>
            <w:r>
              <w:rPr>
                <w:b/>
                <w:bCs/>
                <w:color w:val="FFFFFF"/>
                <w:sz w:val="18"/>
                <w:szCs w:val="18"/>
              </w:rPr>
              <w:t xml:space="preserve">Costo indicativo</w:t>
            </w:r>
          </w:p>
        </w:tc>
        <w:tc>
          <w:tcPr>
            <w:tcW w:type="dxa" w:w="3100"/>
            <w:shd w:fill="1F2A44" w:val="clear"/>
          </w:tcPr>
          <w:p>
            <w:r>
              <w:rPr>
                <w:b/>
                <w:bCs/>
                <w:color w:val="FFFFFF"/>
                <w:sz w:val="18"/>
                <w:szCs w:val="18"/>
              </w:rPr>
              <w:t xml:space="preserve">Nota</w:t>
            </w:r>
          </w:p>
        </w:tc>
      </w:tr>
      <w:tr>
        <w:tc>
          <w:tcPr>
            <w:tcW w:type="dxa" w:w="3000"/>
          </w:tcPr>
          <w:p>
            <w:r>
              <w:rPr>
                <w:b w:val="false"/>
                <w:bCs w:val="false"/>
                <w:color w:val="000000"/>
                <w:sz w:val="17"/>
                <w:szCs w:val="17"/>
              </w:rPr>
              <w:t xml:space="preserve">Hosting de producción</w:t>
            </w:r>
          </w:p>
        </w:tc>
        <w:tc>
          <w:tcPr>
            <w:tcW w:type="dxa" w:w="2400"/>
          </w:tcPr>
          <w:p>
            <w:r>
              <w:rPr>
                <w:b w:val="false"/>
                <w:bCs w:val="false"/>
                <w:color w:val="000000"/>
                <w:sz w:val="17"/>
                <w:szCs w:val="17"/>
              </w:rPr>
              <w:t xml:space="preserve">No determinado</w:t>
            </w:r>
          </w:p>
        </w:tc>
        <w:tc>
          <w:tcPr>
            <w:tcW w:type="dxa" w:w="3100"/>
          </w:tcPr>
          <w:p>
            <w:r>
              <w:rPr>
                <w:b w:val="false"/>
                <w:bCs w:val="false"/>
                <w:color w:val="000000"/>
                <w:sz w:val="17"/>
                <w:szCs w:val="17"/>
              </w:rPr>
              <w:t xml:space="preserve">Sin decisión tomada; hoy solo hay entorno local (SQLite + Docker Compose para Postgres/Redis)</w:t>
            </w:r>
          </w:p>
        </w:tc>
      </w:tr>
      <w:tr>
        <w:tc>
          <w:tcPr>
            <w:tcW w:type="dxa" w:w="3000"/>
          </w:tcPr>
          <w:p>
            <w:r>
              <w:rPr>
                <w:b w:val="false"/>
                <w:bCs w:val="false"/>
                <w:color w:val="000000"/>
                <w:sz w:val="17"/>
                <w:szCs w:val="17"/>
              </w:rPr>
              <w:t xml:space="preserve">Control de versiones: GitHub</w:t>
            </w:r>
          </w:p>
        </w:tc>
        <w:tc>
          <w:tcPr>
            <w:tcW w:type="dxa" w:w="2400"/>
          </w:tcPr>
          <w:p>
            <w:r>
              <w:rPr>
                <w:b w:val="false"/>
                <w:bCs w:val="false"/>
                <w:color w:val="000000"/>
                <w:sz w:val="17"/>
                <w:szCs w:val="17"/>
              </w:rPr>
              <w:t xml:space="preserve">Gratuito (por ahora)</w:t>
            </w:r>
          </w:p>
        </w:tc>
        <w:tc>
          <w:tcPr>
            <w:tcW w:type="dxa" w:w="3100"/>
          </w:tcPr>
          <w:p>
            <w:r>
              <w:rPr>
                <w:b w:val="false"/>
                <w:bCs w:val="false"/>
                <w:color w:val="000000"/>
                <w:sz w:val="17"/>
                <w:szCs w:val="17"/>
              </w:rPr>
              <w:t xml:space="preserve">Cuenta personal axelest10; considerar organización institucional</w:t>
            </w:r>
          </w:p>
        </w:tc>
      </w:tr>
      <w:tr>
        <w:tc>
          <w:tcPr>
            <w:tcW w:type="dxa" w:w="3000"/>
          </w:tcPr>
          <w:p>
            <w:r>
              <w:rPr>
                <w:b w:val="false"/>
                <w:bCs w:val="false"/>
                <w:color w:val="000000"/>
                <w:sz w:val="17"/>
                <w:szCs w:val="17"/>
              </w:rPr>
              <w:t xml:space="preserve">Proveedor de IA: OpenAI</w:t>
            </w:r>
          </w:p>
        </w:tc>
        <w:tc>
          <w:tcPr>
            <w:tcW w:type="dxa" w:w="2400"/>
          </w:tcPr>
          <w:p>
            <w:r>
              <w:rPr>
                <w:b w:val="false"/>
                <w:bCs w:val="false"/>
                <w:color w:val="000000"/>
                <w:sz w:val="17"/>
                <w:szCs w:val="17"/>
              </w:rPr>
              <w:t xml:space="preserve">Variable según uso</w:t>
            </w:r>
          </w:p>
        </w:tc>
        <w:tc>
          <w:tcPr>
            <w:tcW w:type="dxa" w:w="3100"/>
          </w:tcPr>
          <w:p>
            <w:r>
              <w:rPr>
                <w:b w:val="false"/>
                <w:bCs w:val="false"/>
                <w:color w:val="000000"/>
                <w:sz w:val="17"/>
                <w:szCs w:val="17"/>
              </w:rPr>
              <w:t xml:space="preserve">OPENAI_MODEL=gpt-4.1-mini en .env.example; sin tope de gasto documentado</w:t>
            </w:r>
          </w:p>
        </w:tc>
      </w:tr>
      <w:tr>
        <w:tc>
          <w:tcPr>
            <w:tcW w:type="dxa" w:w="3000"/>
          </w:tcPr>
          <w:p>
            <w:r>
              <w:rPr>
                <w:b w:val="false"/>
                <w:bCs w:val="false"/>
                <w:color w:val="000000"/>
                <w:sz w:val="17"/>
                <w:szCs w:val="17"/>
              </w:rPr>
              <w:t xml:space="preserve">Almacenamiento S3 (activos oficiales)</w:t>
            </w:r>
          </w:p>
        </w:tc>
        <w:tc>
          <w:tcPr>
            <w:tcW w:type="dxa" w:w="2400"/>
          </w:tcPr>
          <w:p>
            <w:r>
              <w:rPr>
                <w:b w:val="false"/>
                <w:bCs w:val="false"/>
                <w:color w:val="000000"/>
                <w:sz w:val="17"/>
                <w:szCs w:val="17"/>
              </w:rPr>
              <w:t xml:space="preserve">No determinado</w:t>
            </w:r>
          </w:p>
        </w:tc>
        <w:tc>
          <w:tcPr>
            <w:tcW w:type="dxa" w:w="3100"/>
          </w:tcPr>
          <w:p>
            <w:r>
              <w:rPr>
                <w:b w:val="false"/>
                <w:bCs w:val="false"/>
                <w:color w:val="000000"/>
                <w:sz w:val="17"/>
                <w:szCs w:val="17"/>
              </w:rPr>
              <w:t xml:space="preserve">django-storages preparado (AWS_STORAGE_BUCKET_NAME vacío); no aprovisionado</w:t>
            </w:r>
          </w:p>
        </w:tc>
      </w:tr>
      <w:tr>
        <w:tc>
          <w:tcPr>
            <w:tcW w:type="dxa" w:w="3000"/>
          </w:tcPr>
          <w:p>
            <w:r>
              <w:rPr>
                <w:b w:val="false"/>
                <w:bCs w:val="false"/>
                <w:color w:val="000000"/>
                <w:sz w:val="17"/>
                <w:szCs w:val="17"/>
              </w:rPr>
              <w:t xml:space="preserve">Desarrollo</w:t>
            </w:r>
          </w:p>
        </w:tc>
        <w:tc>
          <w:tcPr>
            <w:tcW w:type="dxa" w:w="2400"/>
          </w:tcPr>
          <w:p>
            <w:r>
              <w:rPr>
                <w:b w:val="false"/>
                <w:bCs w:val="false"/>
                <w:color w:val="000000"/>
                <w:sz w:val="17"/>
                <w:szCs w:val="17"/>
              </w:rPr>
              <w:t xml:space="preserve">Interno</w:t>
            </w:r>
          </w:p>
        </w:tc>
        <w:tc>
          <w:tcPr>
            <w:tcW w:type="dxa" w:w="3100"/>
          </w:tcPr>
          <w:p>
            <w:r>
              <w:rPr>
                <w:b w:val="false"/>
                <w:bCs w:val="false"/>
                <w:color w:val="000000"/>
                <w:sz w:val="17"/>
                <w:szCs w:val="17"/>
              </w:rPr>
              <w:t xml:space="preserve">Axel + Codex (asistido por IA); Claude en paralelo sobre brand/knowledge/</w:t>
            </w:r>
          </w:p>
        </w:tc>
      </w:tr>
    </w:tbl>
    <w:p>
      <w:pPr>
        <w:pStyle w:val="Heading1"/>
        <w:spacing w:after="160" w:before="360"/>
      </w:pPr>
      <w:r>
        <w:t xml:space="preserve">33. Mantenimiento continuo</w:t>
      </w:r>
    </w:p>
    <w:p>
      <w:pPr>
        <w:pStyle w:val="Heading2"/>
        <w:spacing w:after="120" w:before="240"/>
      </w:pPr>
      <w:r>
        <w:t xml:space="preserve">33.1 Mantenimiento operativo</w:t>
      </w:r>
    </w:p>
    <w:p>
      <w:pPr>
        <w:pStyle w:val="ListParagraph"/>
        <w:numPr>
          <w:ilvl w:val="0"/>
          <w:numId w:val="2"/>
        </w:numPr>
        <w:spacing w:after="60"/>
      </w:pPr>
      <w:r>
        <w:t xml:space="preserve">actualizar reglas de marca cuando el cliente envíe correcciones (ya ocurrió varias veces: contraste, Aptos, alias Hello!/Live!, QC, IELTS LATAM, TEA);</w:t>
      </w:r>
    </w:p>
    <w:p>
      <w:pPr>
        <w:pStyle w:val="ListParagraph"/>
        <w:numPr>
          <w:ilvl w:val="0"/>
          <w:numId w:val="2"/>
        </w:numPr>
        <w:spacing w:after="60"/>
      </w:pPr>
      <w:r>
        <w:t xml:space="preserve">ampliar la muestra de revisión humana de las 454 referencias visuales (hoy 40/454) de forma incremental;</w:t>
      </w:r>
    </w:p>
    <w:p>
      <w:pPr>
        <w:pStyle w:val="ListParagraph"/>
        <w:numPr>
          <w:ilvl w:val="0"/>
          <w:numId w:val="2"/>
        </w:numPr>
        <w:spacing w:after="60"/>
      </w:pPr>
      <w:r>
        <w:t xml:space="preserve">revisar el lote de 50 piezas de prueba y decidir cuándo activar la aprobación formal.</w:t>
      </w:r>
    </w:p>
    <w:p>
      <w:pPr>
        <w:pStyle w:val="Heading2"/>
        <w:spacing w:after="120" w:before="240"/>
      </w:pPr>
      <w:r>
        <w:t xml:space="preserve">33.2 Mantenimiento técnico</w:t>
      </w:r>
    </w:p>
    <w:p>
      <w:pPr>
        <w:pStyle w:val="ListParagraph"/>
        <w:numPr>
          <w:ilvl w:val="0"/>
          <w:numId w:val="2"/>
        </w:numPr>
        <w:spacing w:after="60"/>
      </w:pPr>
      <w:r>
        <w:t xml:space="preserve">mantener dependencias (requirements.txt, requirements-dev.txt) actualizadas;</w:t>
      </w:r>
    </w:p>
    <w:p>
      <w:pPr>
        <w:pStyle w:val="ListParagraph"/>
        <w:numPr>
          <w:ilvl w:val="0"/>
          <w:numId w:val="2"/>
        </w:numPr>
        <w:spacing w:after="60"/>
      </w:pPr>
      <w:r>
        <w:t xml:space="preserve">vigilar que ruff/pytest/manage.py check se mantengan en verde en cada PR;</w:t>
      </w:r>
    </w:p>
    <w:p>
      <w:pPr>
        <w:pStyle w:val="ListParagraph"/>
        <w:numPr>
          <w:ilvl w:val="0"/>
          <w:numId w:val="2"/>
        </w:numPr>
        <w:spacing w:after="60"/>
      </w:pPr>
      <w:r>
        <w:t xml:space="preserve">regenerar brand/generated/, brand/knowledge/*.json cuando cambien sus fuentes YAML;</w:t>
      </w:r>
    </w:p>
    <w:p>
      <w:pPr>
        <w:pStyle w:val="ListParagraph"/>
        <w:numPr>
          <w:ilvl w:val="0"/>
          <w:numId w:val="2"/>
        </w:numPr>
        <w:spacing w:after="60"/>
      </w:pPr>
      <w:r>
        <w:t xml:space="preserve">revisar logs y, cuando exista un entorno desplegado, monitoreo de errores/uptime.</w:t>
      </w:r>
    </w:p>
    <w:p>
      <w:pPr>
        <w:pStyle w:val="Heading1"/>
        <w:spacing w:after="160" w:before="360"/>
      </w:pPr>
      <w:r>
        <w:t xml:space="preserve">34. Roadmap post-MVP</w:t>
      </w:r>
    </w:p>
    <w:p>
      <w:pPr>
        <w:spacing w:after="200"/>
      </w:pPr>
      <w:r>
        <w:rPr>
          <w:i/>
          <w:iCs/>
          <w:color w:val="6B7280"/>
        </w:rPr>
        <w:t xml:space="preserve">Nota: la expansión LATAM/multi-material (mailings, paquetería de colegios/sedes/ventas) YA NO es post-MVP — Axel decidió construirla en paralelo (Sección 2.1, roadmap en Sección 24). Esta sección queda para lo que sí sigue siendo posterior a la validación del MVP actual.</w:t>
      </w:r>
    </w:p>
    <w:p>
      <w:pPr>
        <w:spacing w:after="160"/>
      </w:pPr>
      <w:r>
        <w:rPr>
          <w:b w:val="false"/>
          <w:bCs w:val="false"/>
          <w:i w:val="false"/>
          <w:iCs w:val="false"/>
        </w:rPr>
        <w:t xml:space="preserve">Reutiliza la Fase 4 de ROADMAP.md y agrega elementos surgidos de este ejercicio:</w:t>
      </w:r>
    </w:p>
    <w:p>
      <w:pPr>
        <w:pStyle w:val="ListParagraph"/>
        <w:numPr>
          <w:ilvl w:val="0"/>
          <w:numId w:val="2"/>
        </w:numPr>
        <w:spacing w:after="60"/>
      </w:pPr>
      <w:r>
        <w:t xml:space="preserve">generación de copy basada exclusivamente en datos autorizados;</w:t>
      </w:r>
    </w:p>
    <w:p>
      <w:pPr>
        <w:pStyle w:val="ListParagraph"/>
        <w:numPr>
          <w:ilvl w:val="0"/>
          <w:numId w:val="2"/>
        </w:numPr>
        <w:spacing w:after="60"/>
      </w:pPr>
      <w:r>
        <w:t xml:space="preserve">evaluación de calidad y trazabilidad de prompts/respuestas de IA;</w:t>
      </w:r>
    </w:p>
    <w:p>
      <w:pPr>
        <w:pStyle w:val="ListParagraph"/>
        <w:numPr>
          <w:ilvl w:val="0"/>
          <w:numId w:val="2"/>
        </w:numPr>
        <w:spacing w:after="60"/>
      </w:pPr>
      <w:r>
        <w:t xml:space="preserve">segundo proveedor de IA compatible con la interfaz AIProvider, solo tras validar necesidad;</w:t>
      </w:r>
    </w:p>
    <w:p>
      <w:pPr>
        <w:pStyle w:val="ListParagraph"/>
        <w:numPr>
          <w:ilvl w:val="0"/>
          <w:numId w:val="2"/>
        </w:numPr>
        <w:spacing w:after="60"/>
      </w:pPr>
      <w:r>
        <w:t xml:space="preserve">exportación directa a redes sociales/WhatsApp;</w:t>
      </w:r>
    </w:p>
    <w:p>
      <w:pPr>
        <w:pStyle w:val="ListParagraph"/>
        <w:numPr>
          <w:ilvl w:val="0"/>
          <w:numId w:val="2"/>
        </w:numPr>
        <w:spacing w:after="60"/>
      </w:pPr>
      <w:r>
        <w:t xml:space="preserve">expansión de la biblioteca de conocimiento visual más allá del 40/454 actual;</w:t>
      </w:r>
    </w:p>
    <w:p>
      <w:pPr>
        <w:pStyle w:val="ListParagraph"/>
        <w:numPr>
          <w:ilvl w:val="0"/>
          <w:numId w:val="2"/>
        </w:numPr>
        <w:spacing w:after="60"/>
      </w:pPr>
      <w:r>
        <w:t xml:space="preserve">posible incorporación formal de Claude al flujo de generación (hoy solo construye la capa de conocimiento, no genera piezas);</w:t>
      </w:r>
    </w:p>
    <w:p>
      <w:pPr>
        <w:pStyle w:val="ListParagraph"/>
        <w:numPr>
          <w:ilvl w:val="0"/>
          <w:numId w:val="2"/>
        </w:numPr>
        <w:spacing w:after="60"/>
      </w:pPr>
      <w:r>
        <w:t xml:space="preserve">expansión a otros países LATAM más allá de los ya cubiertos por el catálogo (México, Chile, Colombia, Perú) si la visión LATAM implica países adicionales — a confirmar con Axel.</w:t>
      </w:r>
    </w:p>
    <w:p>
      <w:pPr>
        <w:pStyle w:val="Heading1"/>
        <w:spacing w:after="160" w:before="360"/>
      </w:pPr>
      <w:r>
        <w:t xml:space="preserve">35. Preguntas abiertas</w:t>
      </w:r>
    </w:p>
    <w:p>
      <w:pPr>
        <w:spacing w:after="160"/>
      </w:pPr>
      <w:r>
        <w:rPr>
          <w:b w:val="false"/>
          <w:bCs w:val="false"/>
          <w:i w:val="false"/>
          <w:iCs w:val="false"/>
        </w:rPr>
        <w:t xml:space="preserve">Ninguna se resuelve por inferencia — cada una tiene un dueño sugerido y una fecha, siguiendo el formato de la Sección 37 de IH Connect.</w:t>
      </w:r>
    </w:p>
    <w:p>
      <w:pPr>
        <w:spacing w:after="200"/>
      </w:pPr>
      <w:r>
        <w:rPr>
          <w:i/>
          <w:iCs/>
          <w:color w:val="6B7280"/>
        </w:rPr>
        <w:t xml:space="preserve">Resueltas por la respuesta de Codex del 2026-08-07 (ya no aparecen en la tabla): "¿cuál es el rol formal de Claude?" → Codex la respondió y quedó documentada en la Sección 9.4; "¿qué protocolo evita que Codex y Claude editen el mismo archivo?" → quedó documentado en la Sección 29 (archivos compartidos + regla de no editar generados a mano).</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3200"/>
        <w:gridCol w:w="1700"/>
        <w:gridCol w:w="1700"/>
        <w:gridCol w:w="1900"/>
      </w:tblGrid>
      <w:tr>
        <w:trPr>
          <w:tblHeader/>
        </w:trPr>
        <w:tc>
          <w:tcPr>
            <w:tcW w:type="dxa" w:w="3200"/>
            <w:shd w:fill="1F2A44" w:val="clear"/>
          </w:tcPr>
          <w:p>
            <w:r>
              <w:rPr>
                <w:b/>
                <w:bCs/>
                <w:color w:val="FFFFFF"/>
                <w:sz w:val="18"/>
                <w:szCs w:val="18"/>
              </w:rPr>
              <w:t xml:space="preserve">Pregunta</w:t>
            </w:r>
          </w:p>
        </w:tc>
        <w:tc>
          <w:tcPr>
            <w:tcW w:type="dxa" w:w="1700"/>
            <w:shd w:fill="1F2A44" w:val="clear"/>
          </w:tcPr>
          <w:p>
            <w:r>
              <w:rPr>
                <w:b/>
                <w:bCs/>
                <w:color w:val="FFFFFF"/>
                <w:sz w:val="18"/>
                <w:szCs w:val="18"/>
              </w:rPr>
              <w:t xml:space="preserve">Owner sugerido</w:t>
            </w:r>
          </w:p>
        </w:tc>
        <w:tc>
          <w:tcPr>
            <w:tcW w:type="dxa" w:w="1700"/>
            <w:shd w:fill="1F2A44" w:val="clear"/>
          </w:tcPr>
          <w:p>
            <w:r>
              <w:rPr>
                <w:b/>
                <w:bCs/>
                <w:color w:val="FFFFFF"/>
                <w:sz w:val="18"/>
                <w:szCs w:val="18"/>
              </w:rPr>
              <w:t xml:space="preserve">Fecha límite sugerida</w:t>
            </w:r>
          </w:p>
        </w:tc>
        <w:tc>
          <w:tcPr>
            <w:tcW w:type="dxa" w:w="1900"/>
            <w:shd w:fill="1F2A44" w:val="clear"/>
          </w:tcPr>
          <w:p>
            <w:r>
              <w:rPr>
                <w:b/>
                <w:bCs/>
                <w:color w:val="FFFFFF"/>
                <w:sz w:val="18"/>
                <w:szCs w:val="18"/>
              </w:rPr>
              <w:t xml:space="preserve">Bloquea</w:t>
            </w:r>
          </w:p>
        </w:tc>
      </w:tr>
      <w:tr>
        <w:tc>
          <w:tcPr>
            <w:tcW w:type="dxa" w:w="3200"/>
          </w:tcPr>
          <w:p>
            <w:r>
              <w:rPr>
                <w:b w:val="false"/>
                <w:bCs w:val="false"/>
                <w:color w:val="000000"/>
                <w:sz w:val="16"/>
                <w:szCs w:val="16"/>
              </w:rPr>
              <w:t xml:space="preserve">¿Dónde se hospeda producción/staging? (no hay Railway/Render/similar decidido; confirmado por Codex 2026-08-07 que sigue todo local)</w:t>
            </w:r>
          </w:p>
        </w:tc>
        <w:tc>
          <w:tcPr>
            <w:tcW w:type="dxa" w:w="1700"/>
          </w:tcPr>
          <w:p>
            <w:r>
              <w:rPr>
                <w:b w:val="false"/>
                <w:bCs w:val="false"/>
                <w:color w:val="000000"/>
                <w:sz w:val="16"/>
                <w:szCs w:val="16"/>
              </w:rPr>
              <w:t xml:space="preserve">Axel + Codex</w:t>
            </w:r>
          </w:p>
        </w:tc>
        <w:tc>
          <w:tcPr>
            <w:tcW w:type="dxa" w:w="1700"/>
          </w:tcPr>
          <w:p>
            <w:r>
              <w:rPr>
                <w:b w:val="false"/>
                <w:bCs w:val="false"/>
                <w:color w:val="000000"/>
                <w:sz w:val="16"/>
                <w:szCs w:val="16"/>
              </w:rPr>
              <w:t xml:space="preserve">Inmediato — es el bloqueo #1 para poder correr el lote de 50 real (prioridad técnica de Codex, ver Sección 37)</w:t>
            </w:r>
          </w:p>
        </w:tc>
        <w:tc>
          <w:tcPr>
            <w:tcW w:type="dxa" w:w="1900"/>
          </w:tcPr>
          <w:p>
            <w:r>
              <w:rPr>
                <w:b w:val="false"/>
                <w:bCs w:val="false"/>
                <w:color w:val="000000"/>
                <w:sz w:val="16"/>
                <w:szCs w:val="16"/>
              </w:rPr>
              <w:t xml:space="preserve">Migrar de SQLite a Postgres real; arrancar el lote de 50; toda la pista paralela LATAM</w:t>
            </w:r>
          </w:p>
        </w:tc>
      </w:tr>
      <w:tr>
        <w:tc>
          <w:tcPr>
            <w:tcW w:type="dxa" w:w="3200"/>
          </w:tcPr>
          <w:p>
            <w:r>
              <w:rPr>
                <w:b w:val="false"/>
                <w:bCs w:val="false"/>
                <w:color w:val="000000"/>
                <w:sz w:val="16"/>
                <w:szCs w:val="16"/>
              </w:rPr>
              <w:t xml:space="preserve">¿El repo debe transferirse a una organización de GitHub de IH México en vez de la cuenta personal axelest10?</w:t>
            </w:r>
          </w:p>
        </w:tc>
        <w:tc>
          <w:tcPr>
            <w:tcW w:type="dxa" w:w="1700"/>
          </w:tcPr>
          <w:p>
            <w:r>
              <w:rPr>
                <w:b w:val="false"/>
                <w:bCs w:val="false"/>
                <w:color w:val="000000"/>
                <w:sz w:val="16"/>
                <w:szCs w:val="16"/>
              </w:rPr>
              <w:t xml:space="preserve">Axel</w:t>
            </w:r>
          </w:p>
        </w:tc>
        <w:tc>
          <w:tcPr>
            <w:tcW w:type="dxa" w:w="1700"/>
          </w:tcPr>
          <w:p>
            <w:r>
              <w:rPr>
                <w:b w:val="false"/>
                <w:bCs w:val="false"/>
                <w:color w:val="000000"/>
                <w:sz w:val="16"/>
                <w:szCs w:val="16"/>
              </w:rPr>
              <w:t xml:space="preserve">Antes de invitar a más colaboradores</w:t>
            </w:r>
          </w:p>
        </w:tc>
        <w:tc>
          <w:tcPr>
            <w:tcW w:type="dxa" w:w="1900"/>
          </w:tcPr>
          <w:p>
            <w:r>
              <w:rPr>
                <w:b w:val="false"/>
                <w:bCs w:val="false"/>
                <w:color w:val="000000"/>
                <w:sz w:val="16"/>
                <w:szCs w:val="16"/>
              </w:rPr>
              <w:t xml:space="preserve">Continuidad si Axel deja de estar disponible</w:t>
            </w:r>
          </w:p>
        </w:tc>
      </w:tr>
      <w:tr>
        <w:tc>
          <w:tcPr>
            <w:tcW w:type="dxa" w:w="3200"/>
          </w:tcPr>
          <w:p>
            <w:r>
              <w:rPr>
                <w:b w:val="false"/>
                <w:bCs w:val="false"/>
                <w:color w:val="000000"/>
                <w:sz w:val="16"/>
                <w:szCs w:val="16"/>
              </w:rPr>
              <w:t xml:space="preserve">¿Existe protección de rama (branch protection) y revisión de PR obligatoria configurada en GitHub? Confirmado por Codex que no hay evidencia en el repo — falta verificar directamente en la configuración de GitHub, fuera del código</w:t>
            </w:r>
          </w:p>
        </w:tc>
        <w:tc>
          <w:tcPr>
            <w:tcW w:type="dxa" w:w="1700"/>
          </w:tcPr>
          <w:p>
            <w:r>
              <w:rPr>
                <w:b w:val="false"/>
                <w:bCs w:val="false"/>
                <w:color w:val="000000"/>
                <w:sz w:val="16"/>
                <w:szCs w:val="16"/>
              </w:rPr>
              <w:t xml:space="preserve">Axel</w:t>
            </w:r>
          </w:p>
        </w:tc>
        <w:tc>
          <w:tcPr>
            <w:tcW w:type="dxa" w:w="1700"/>
          </w:tcPr>
          <w:p>
            <w:r>
              <w:rPr>
                <w:b w:val="false"/>
                <w:bCs w:val="false"/>
                <w:color w:val="000000"/>
                <w:sz w:val="16"/>
                <w:szCs w:val="16"/>
              </w:rPr>
              <w:t xml:space="preserve">Antes de la siguiente fase</w:t>
            </w:r>
          </w:p>
        </w:tc>
        <w:tc>
          <w:tcPr>
            <w:tcW w:type="dxa" w:w="1900"/>
          </w:tcPr>
          <w:p>
            <w:r>
              <w:rPr>
                <w:b w:val="false"/>
                <w:bCs w:val="false"/>
                <w:color w:val="000000"/>
                <w:sz w:val="16"/>
                <w:szCs w:val="16"/>
              </w:rPr>
              <w:t xml:space="preserve">Calidad del código generado por IA</w:t>
            </w:r>
          </w:p>
        </w:tc>
      </w:tr>
      <w:tr>
        <w:tc>
          <w:tcPr>
            <w:tcW w:type="dxa" w:w="3200"/>
          </w:tcPr>
          <w:p>
            <w:r>
              <w:rPr>
                <w:b w:val="false"/>
                <w:bCs w:val="false"/>
                <w:color w:val="000000"/>
                <w:sz w:val="16"/>
                <w:szCs w:val="16"/>
              </w:rPr>
              <w:t xml:space="preserve">¿Se activa ya PostgreSQL/Redis/Celery o siguen "preparados" sin uso real? (confirmado por Codex: siguen sin activar)</w:t>
            </w:r>
          </w:p>
        </w:tc>
        <w:tc>
          <w:tcPr>
            <w:tcW w:type="dxa" w:w="1700"/>
          </w:tcPr>
          <w:p>
            <w:r>
              <w:rPr>
                <w:b w:val="false"/>
                <w:bCs w:val="false"/>
                <w:color w:val="000000"/>
                <w:sz w:val="16"/>
                <w:szCs w:val="16"/>
              </w:rPr>
              <w:t xml:space="preserve">Codex</w:t>
            </w:r>
          </w:p>
        </w:tc>
        <w:tc>
          <w:tcPr>
            <w:tcW w:type="dxa" w:w="1700"/>
          </w:tcPr>
          <w:p>
            <w:r>
              <w:rPr>
                <w:b w:val="false"/>
                <w:bCs w:val="false"/>
                <w:color w:val="000000"/>
                <w:sz w:val="16"/>
                <w:szCs w:val="16"/>
              </w:rPr>
              <w:t xml:space="preserve">Junto con la decisión de hosting/staging</w:t>
            </w:r>
          </w:p>
        </w:tc>
        <w:tc>
          <w:tcPr>
            <w:tcW w:type="dxa" w:w="1900"/>
          </w:tcPr>
          <w:p>
            <w:r>
              <w:rPr>
                <w:b w:val="false"/>
                <w:bCs w:val="false"/>
                <w:color w:val="000000"/>
                <w:sz w:val="16"/>
                <w:szCs w:val="16"/>
              </w:rPr>
              <w:t xml:space="preserve">Rendimiento y validez de las pruebas de concurrencia</w:t>
            </w:r>
          </w:p>
        </w:tc>
      </w:tr>
      <w:tr>
        <w:tc>
          <w:tcPr>
            <w:tcW w:type="dxa" w:w="3200"/>
          </w:tcPr>
          <w:p>
            <w:r>
              <w:rPr>
                <w:b w:val="false"/>
                <w:bCs w:val="false"/>
                <w:color w:val="000000"/>
                <w:sz w:val="16"/>
                <w:szCs w:val="16"/>
              </w:rPr>
              <w:t xml:space="preserve">¿Se ratifica qc-2026 y teacher-training-certifications como productos prioritarios de la paquetería de colegios? Codex ya los fijó como default en backend/materials/services/catalog.py sin la confirmación explícita que se había pedido (Sección 31.7)</w:t>
            </w:r>
          </w:p>
        </w:tc>
        <w:tc>
          <w:tcPr>
            <w:tcW w:type="dxa" w:w="1700"/>
          </w:tcPr>
          <w:p>
            <w:r>
              <w:rPr>
                <w:b w:val="false"/>
                <w:bCs w:val="false"/>
                <w:color w:val="000000"/>
                <w:sz w:val="16"/>
                <w:szCs w:val="16"/>
              </w:rPr>
              <w:t xml:space="preserve">Axel</w:t>
            </w:r>
          </w:p>
        </w:tc>
        <w:tc>
          <w:tcPr>
            <w:tcW w:type="dxa" w:w="1700"/>
          </w:tcPr>
          <w:p>
            <w:r>
              <w:rPr>
                <w:b w:val="false"/>
                <w:bCs w:val="false"/>
                <w:color w:val="000000"/>
                <w:sz w:val="16"/>
                <w:szCs w:val="16"/>
              </w:rPr>
              <w:t xml:space="preserve">Inmediato — antes de continuar el PASO 8</w:t>
            </w:r>
          </w:p>
        </w:tc>
        <w:tc>
          <w:tcPr>
            <w:tcW w:type="dxa" w:w="1900"/>
          </w:tcPr>
          <w:p>
            <w:r>
              <w:rPr>
                <w:b w:val="false"/>
                <w:bCs w:val="false"/>
                <w:color w:val="000000"/>
                <w:sz w:val="16"/>
                <w:szCs w:val="16"/>
              </w:rPr>
              <w:t xml:space="preserve">Diseño de las piezas hijas del school-kit</w:t>
            </w:r>
          </w:p>
        </w:tc>
      </w:tr>
      <w:tr>
        <w:tc>
          <w:tcPr>
            <w:tcW w:type="dxa" w:w="3200"/>
          </w:tcPr>
          <w:p>
            <w:r>
              <w:rPr>
                <w:b w:val="false"/>
                <w:bCs w:val="false"/>
                <w:color w:val="000000"/>
                <w:sz w:val="16"/>
                <w:szCs w:val="16"/>
              </w:rPr>
              <w:t xml:space="preserve">¿Se acepta la recomendación de Codex para el endpoint legacy de aprobar/rechazar (docs/operations/approval-flow.md: mantenerlo como adaptador temporal, no como flujo principal)?</w:t>
            </w:r>
          </w:p>
        </w:tc>
        <w:tc>
          <w:tcPr>
            <w:tcW w:type="dxa" w:w="1700"/>
          </w:tcPr>
          <w:p>
            <w:r>
              <w:rPr>
                <w:b w:val="false"/>
                <w:bCs w:val="false"/>
                <w:color w:val="000000"/>
                <w:sz w:val="16"/>
                <w:szCs w:val="16"/>
              </w:rPr>
              <w:t xml:space="preserve">Axel</w:t>
            </w:r>
          </w:p>
        </w:tc>
        <w:tc>
          <w:tcPr>
            <w:tcW w:type="dxa" w:w="1700"/>
          </w:tcPr>
          <w:p>
            <w:r>
              <w:rPr>
                <w:b w:val="false"/>
                <w:bCs w:val="false"/>
                <w:color w:val="000000"/>
                <w:sz w:val="16"/>
                <w:szCs w:val="16"/>
              </w:rPr>
              <w:t xml:space="preserve">Antes de implementar el panel formal</w:t>
            </w:r>
          </w:p>
        </w:tc>
        <w:tc>
          <w:tcPr>
            <w:tcW w:type="dxa" w:w="1900"/>
          </w:tcPr>
          <w:p>
            <w:r>
              <w:rPr>
                <w:b w:val="false"/>
                <w:bCs w:val="false"/>
                <w:color w:val="000000"/>
                <w:sz w:val="16"/>
                <w:szCs w:val="16"/>
              </w:rPr>
              <w:t xml:space="preserve">Diseño del flujo de aprobación formal</w:t>
            </w:r>
          </w:p>
        </w:tc>
      </w:tr>
      <w:tr>
        <w:tc>
          <w:tcPr>
            <w:tcW w:type="dxa" w:w="3200"/>
          </w:tcPr>
          <w:p>
            <w:r>
              <w:rPr>
                <w:b w:val="false"/>
                <w:bCs w:val="false"/>
                <w:color w:val="000000"/>
                <w:sz w:val="16"/>
                <w:szCs w:val="16"/>
              </w:rPr>
              <w:t xml:space="preserve">¿Cuándo se hace el primer commit grande del trabajo acumulado? Hay 95 archivos sin commitear desde el commit inicial (brand/, backend/security/, backend/materials/, tests/, templates story/portrait)</w:t>
            </w:r>
          </w:p>
        </w:tc>
        <w:tc>
          <w:tcPr>
            <w:tcW w:type="dxa" w:w="1700"/>
          </w:tcPr>
          <w:p>
            <w:r>
              <w:rPr>
                <w:b w:val="false"/>
                <w:bCs w:val="false"/>
                <w:color w:val="000000"/>
                <w:sz w:val="16"/>
                <w:szCs w:val="16"/>
              </w:rPr>
              <w:t xml:space="preserve">Axel</w:t>
            </w:r>
          </w:p>
        </w:tc>
        <w:tc>
          <w:tcPr>
            <w:tcW w:type="dxa" w:w="1700"/>
          </w:tcPr>
          <w:p>
            <w:r>
              <w:rPr>
                <w:b w:val="false"/>
                <w:bCs w:val="false"/>
                <w:color w:val="000000"/>
                <w:sz w:val="16"/>
                <w:szCs w:val="16"/>
              </w:rPr>
              <w:t xml:space="preserve">Inmediato</w:t>
            </w:r>
          </w:p>
        </w:tc>
        <w:tc>
          <w:tcPr>
            <w:tcW w:type="dxa" w:w="1900"/>
          </w:tcPr>
          <w:p>
            <w:r>
              <w:rPr>
                <w:b w:val="false"/>
                <w:bCs w:val="false"/>
                <w:color w:val="000000"/>
                <w:sz w:val="16"/>
                <w:szCs w:val="16"/>
              </w:rPr>
              <w:t xml:space="preserve">Continuidad/respaldo de todo el trabajo reciente</w:t>
            </w:r>
          </w:p>
        </w:tc>
      </w:tr>
      <w:tr>
        <w:tc>
          <w:tcPr>
            <w:tcW w:type="dxa" w:w="3200"/>
          </w:tcPr>
          <w:p>
            <w:r>
              <w:rPr>
                <w:b w:val="false"/>
                <w:bCs w:val="false"/>
                <w:color w:val="000000"/>
                <w:sz w:val="16"/>
                <w:szCs w:val="16"/>
              </w:rPr>
              <w:t xml:space="preserve">¿IH México tiene licenciamiento empresarial de Microsoft para redistribuir Aptos?</w:t>
            </w:r>
          </w:p>
        </w:tc>
        <w:tc>
          <w:tcPr>
            <w:tcW w:type="dxa" w:w="1700"/>
          </w:tcPr>
          <w:p>
            <w:r>
              <w:rPr>
                <w:b w:val="false"/>
                <w:bCs w:val="false"/>
                <w:color w:val="000000"/>
                <w:sz w:val="16"/>
                <w:szCs w:val="16"/>
              </w:rPr>
              <w:t xml:space="preserve">Cliente (Marketing IH México)</w:t>
            </w:r>
          </w:p>
        </w:tc>
        <w:tc>
          <w:tcPr>
            <w:tcW w:type="dxa" w:w="1700"/>
          </w:tcPr>
          <w:p>
            <w:r>
              <w:rPr>
                <w:b w:val="false"/>
                <w:bCs w:val="false"/>
                <w:color w:val="000000"/>
                <w:sz w:val="16"/>
                <w:szCs w:val="16"/>
              </w:rPr>
              <w:t xml:space="preserve">Antes de aprobar tipografía final</w:t>
            </w:r>
          </w:p>
        </w:tc>
        <w:tc>
          <w:tcPr>
            <w:tcW w:type="dxa" w:w="1900"/>
          </w:tcPr>
          <w:p>
            <w:r>
              <w:rPr>
                <w:b w:val="false"/>
                <w:bCs w:val="false"/>
                <w:color w:val="000000"/>
                <w:sz w:val="16"/>
                <w:szCs w:val="16"/>
              </w:rPr>
              <w:t xml:space="preserve">brand/assets/fonts, plantillas de diseño</w:t>
            </w:r>
          </w:p>
        </w:tc>
      </w:tr>
      <w:tr>
        <w:tc>
          <w:tcPr>
            <w:tcW w:type="dxa" w:w="3200"/>
          </w:tcPr>
          <w:p>
            <w:r>
              <w:rPr>
                <w:b w:val="false"/>
                <w:bCs w:val="false"/>
                <w:color w:val="000000"/>
                <w:sz w:val="16"/>
                <w:szCs w:val="16"/>
              </w:rPr>
              <w:t xml:space="preserve">¿Se aprueba formalmente el tamaño mínimo de logo designado por MX (24/32/48 px)?</w:t>
            </w:r>
          </w:p>
        </w:tc>
        <w:tc>
          <w:tcPr>
            <w:tcW w:type="dxa" w:w="1700"/>
          </w:tcPr>
          <w:p>
            <w:r>
              <w:rPr>
                <w:b w:val="false"/>
                <w:bCs w:val="false"/>
                <w:color w:val="000000"/>
                <w:sz w:val="16"/>
                <w:szCs w:val="16"/>
              </w:rPr>
              <w:t xml:space="preserve">Cliente (Marketing IH México)</w:t>
            </w:r>
          </w:p>
        </w:tc>
        <w:tc>
          <w:tcPr>
            <w:tcW w:type="dxa" w:w="1700"/>
          </w:tcPr>
          <w:p>
            <w:r>
              <w:rPr>
                <w:b w:val="false"/>
                <w:bCs w:val="false"/>
                <w:color w:val="000000"/>
                <w:sz w:val="16"/>
                <w:szCs w:val="16"/>
              </w:rPr>
              <w:t xml:space="preserve">Antes de lanzamiento amplio</w:t>
            </w:r>
          </w:p>
        </w:tc>
        <w:tc>
          <w:tcPr>
            <w:tcW w:type="dxa" w:w="1900"/>
          </w:tcPr>
          <w:p>
            <w:r>
              <w:rPr>
                <w:b w:val="false"/>
                <w:bCs w:val="false"/>
                <w:color w:val="000000"/>
                <w:sz w:val="16"/>
                <w:szCs w:val="16"/>
              </w:rPr>
              <w:t xml:space="preserve">brand/documentation/logo-rules.md → status: approved</w:t>
            </w:r>
          </w:p>
        </w:tc>
      </w:tr>
      <w:tr>
        <w:tc>
          <w:tcPr>
            <w:tcW w:type="dxa" w:w="3200"/>
          </w:tcPr>
          <w:p>
            <w:r>
              <w:rPr>
                <w:b w:val="false"/>
                <w:bCs w:val="false"/>
                <w:color w:val="000000"/>
                <w:sz w:val="16"/>
                <w:szCs w:val="16"/>
              </w:rPr>
              <w:t xml:space="preserve">¿Existen las variantes de logo faltantes (white-reversed, dual-branding)?</w:t>
            </w:r>
          </w:p>
        </w:tc>
        <w:tc>
          <w:tcPr>
            <w:tcW w:type="dxa" w:w="1700"/>
          </w:tcPr>
          <w:p>
            <w:r>
              <w:rPr>
                <w:b w:val="false"/>
                <w:bCs w:val="false"/>
                <w:color w:val="000000"/>
                <w:sz w:val="16"/>
                <w:szCs w:val="16"/>
              </w:rPr>
              <w:t xml:space="preserve">Cliente (Marketing IH México)</w:t>
            </w:r>
          </w:p>
        </w:tc>
        <w:tc>
          <w:tcPr>
            <w:tcW w:type="dxa" w:w="1700"/>
          </w:tcPr>
          <w:p>
            <w:r>
              <w:rPr>
                <w:b w:val="false"/>
                <w:bCs w:val="false"/>
                <w:color w:val="000000"/>
                <w:sz w:val="16"/>
                <w:szCs w:val="16"/>
              </w:rPr>
              <w:t xml:space="preserve">Cuando estén disponibles</w:t>
            </w:r>
          </w:p>
        </w:tc>
        <w:tc>
          <w:tcPr>
            <w:tcW w:type="dxa" w:w="1900"/>
          </w:tcPr>
          <w:p>
            <w:r>
              <w:rPr>
                <w:b w:val="false"/>
                <w:bCs w:val="false"/>
                <w:color w:val="000000"/>
                <w:sz w:val="16"/>
                <w:szCs w:val="16"/>
              </w:rPr>
              <w:t xml:space="preserve">Piezas sobre fondos oscuros o co-branding</w:t>
            </w:r>
          </w:p>
        </w:tc>
      </w:tr>
      <w:tr>
        <w:tc>
          <w:tcPr>
            <w:tcW w:type="dxa" w:w="3200"/>
          </w:tcPr>
          <w:p>
            <w:r>
              <w:rPr>
                <w:b w:val="false"/>
                <w:bCs w:val="false"/>
                <w:color w:val="000000"/>
                <w:sz w:val="16"/>
                <w:szCs w:val="16"/>
              </w:rPr>
              <w:t xml:space="preserve">¿TEA (Test of English for Aviation) existe en otros países además de Colombia?</w:t>
            </w:r>
          </w:p>
        </w:tc>
        <w:tc>
          <w:tcPr>
            <w:tcW w:type="dxa" w:w="1700"/>
          </w:tcPr>
          <w:p>
            <w:r>
              <w:rPr>
                <w:b w:val="false"/>
                <w:bCs w:val="false"/>
                <w:color w:val="000000"/>
                <w:sz w:val="16"/>
                <w:szCs w:val="16"/>
              </w:rPr>
              <w:t xml:space="preserve">Cliente (Marketing IH México)</w:t>
            </w:r>
          </w:p>
        </w:tc>
        <w:tc>
          <w:tcPr>
            <w:tcW w:type="dxa" w:w="1700"/>
          </w:tcPr>
          <w:p>
            <w:r>
              <w:rPr>
                <w:b w:val="false"/>
                <w:bCs w:val="false"/>
                <w:color w:val="000000"/>
                <w:sz w:val="16"/>
                <w:szCs w:val="16"/>
              </w:rPr>
              <w:t xml:space="preserve">Próxima confirmación con cliente</w:t>
            </w:r>
          </w:p>
        </w:tc>
        <w:tc>
          <w:tcPr>
            <w:tcW w:type="dxa" w:w="1900"/>
          </w:tcPr>
          <w:p>
            <w:r>
              <w:rPr>
                <w:b w:val="false"/>
                <w:bCs w:val="false"/>
                <w:color w:val="000000"/>
                <w:sz w:val="16"/>
                <w:szCs w:val="16"/>
              </w:rPr>
              <w:t xml:space="preserve">Alcance de brand/knowledge/product-catalog.yaml</w:t>
            </w:r>
          </w:p>
        </w:tc>
      </w:tr>
      <w:tr>
        <w:tc>
          <w:tcPr>
            <w:tcW w:type="dxa" w:w="3200"/>
          </w:tcPr>
          <w:p>
            <w:r>
              <w:rPr>
                <w:b w:val="false"/>
                <w:bCs w:val="false"/>
                <w:color w:val="000000"/>
                <w:sz w:val="16"/>
                <w:szCs w:val="16"/>
              </w:rPr>
              <w:t xml:space="preserve">¿Qué porcentaje de las 454 referencias visuales debe alcanzar revisión humana antes de considerarse "suficiente" para uso productivo por IA?</w:t>
            </w:r>
          </w:p>
        </w:tc>
        <w:tc>
          <w:tcPr>
            <w:tcW w:type="dxa" w:w="1700"/>
          </w:tcPr>
          <w:p>
            <w:r>
              <w:rPr>
                <w:b w:val="false"/>
                <w:bCs w:val="false"/>
                <w:color w:val="000000"/>
                <w:sz w:val="16"/>
                <w:szCs w:val="16"/>
              </w:rPr>
              <w:t xml:space="preserve">Axel</w:t>
            </w:r>
          </w:p>
        </w:tc>
        <w:tc>
          <w:tcPr>
            <w:tcW w:type="dxa" w:w="1700"/>
          </w:tcPr>
          <w:p>
            <w:r>
              <w:rPr>
                <w:b w:val="false"/>
                <w:bCs w:val="false"/>
                <w:color w:val="000000"/>
                <w:sz w:val="16"/>
                <w:szCs w:val="16"/>
              </w:rPr>
              <w:t xml:space="preserve">Antes de usar el catálogo para generación automática</w:t>
            </w:r>
          </w:p>
        </w:tc>
        <w:tc>
          <w:tcPr>
            <w:tcW w:type="dxa" w:w="1900"/>
          </w:tcPr>
          <w:p>
            <w:r>
              <w:rPr>
                <w:b w:val="false"/>
                <w:bCs w:val="false"/>
                <w:color w:val="000000"/>
                <w:sz w:val="16"/>
                <w:szCs w:val="16"/>
              </w:rPr>
              <w:t xml:space="preserve">Confiabilidad del contexto que recibe la IA</w:t>
            </w:r>
          </w:p>
        </w:tc>
      </w:tr>
      <w:tr>
        <w:tc>
          <w:tcPr>
            <w:tcW w:type="dxa" w:w="3200"/>
          </w:tcPr>
          <w:p>
            <w:r>
              <w:rPr>
                <w:b w:val="false"/>
                <w:bCs w:val="false"/>
                <w:color w:val="000000"/>
                <w:sz w:val="16"/>
                <w:szCs w:val="16"/>
              </w:rPr>
              <w:t xml:space="preserve">¿Cuál es el criterio de éxito numérico real del MVP (equivalente a "10 eventos, 150 registros" de IH Connect)? Hoy solo existe el mecanismo técnico DESIGN_TEST_LIMIT=50</w:t>
            </w:r>
          </w:p>
        </w:tc>
        <w:tc>
          <w:tcPr>
            <w:tcW w:type="dxa" w:w="1700"/>
          </w:tcPr>
          <w:p>
            <w:r>
              <w:rPr>
                <w:b w:val="false"/>
                <w:bCs w:val="false"/>
                <w:color w:val="000000"/>
                <w:sz w:val="16"/>
                <w:szCs w:val="16"/>
              </w:rPr>
              <w:t xml:space="preserve">Axel + Marketing IH México</w:t>
            </w:r>
          </w:p>
        </w:tc>
        <w:tc>
          <w:tcPr>
            <w:tcW w:type="dxa" w:w="1700"/>
          </w:tcPr>
          <w:p>
            <w:r>
              <w:rPr>
                <w:b w:val="false"/>
                <w:bCs w:val="false"/>
                <w:color w:val="000000"/>
                <w:sz w:val="16"/>
                <w:szCs w:val="16"/>
              </w:rPr>
              <w:t xml:space="preserve">Antes de iniciar el lote de 50 pruebas</w:t>
            </w:r>
          </w:p>
        </w:tc>
        <w:tc>
          <w:tcPr>
            <w:tcW w:type="dxa" w:w="1900"/>
          </w:tcPr>
          <w:p>
            <w:r>
              <w:rPr>
                <w:b w:val="false"/>
                <w:bCs w:val="false"/>
                <w:color w:val="000000"/>
                <w:sz w:val="16"/>
                <w:szCs w:val="16"/>
              </w:rPr>
              <w:t xml:space="preserve">Medición de éxito del MVP</w:t>
            </w:r>
          </w:p>
        </w:tc>
      </w:tr>
      <w:tr>
        <w:tc>
          <w:tcPr>
            <w:tcW w:type="dxa" w:w="3200"/>
          </w:tcPr>
          <w:p>
            <w:r>
              <w:rPr>
                <w:b w:val="false"/>
                <w:bCs w:val="false"/>
                <w:color w:val="000000"/>
                <w:sz w:val="16"/>
                <w:szCs w:val="16"/>
              </w:rPr>
              <w:t xml:space="preserve">¿Quién aprueba formalmente una pieza tras las primeras 50 pruebas (flujo de aprobación humana aún no construido)?</w:t>
            </w:r>
          </w:p>
        </w:tc>
        <w:tc>
          <w:tcPr>
            <w:tcW w:type="dxa" w:w="1700"/>
          </w:tcPr>
          <w:p>
            <w:r>
              <w:rPr>
                <w:b w:val="false"/>
                <w:bCs w:val="false"/>
                <w:color w:val="000000"/>
                <w:sz w:val="16"/>
                <w:szCs w:val="16"/>
              </w:rPr>
              <w:t xml:space="preserve">Axel</w:t>
            </w:r>
          </w:p>
        </w:tc>
        <w:tc>
          <w:tcPr>
            <w:tcW w:type="dxa" w:w="1700"/>
          </w:tcPr>
          <w:p>
            <w:r>
              <w:rPr>
                <w:b w:val="false"/>
                <w:bCs w:val="false"/>
                <w:color w:val="000000"/>
                <w:sz w:val="16"/>
                <w:szCs w:val="16"/>
              </w:rPr>
              <w:t xml:space="preserve">Antes de que DESIGN_TEST_MODE se desactive</w:t>
            </w:r>
          </w:p>
        </w:tc>
        <w:tc>
          <w:tcPr>
            <w:tcW w:type="dxa" w:w="1900"/>
          </w:tcPr>
          <w:p>
            <w:r>
              <w:rPr>
                <w:b w:val="false"/>
                <w:bCs w:val="false"/>
                <w:color w:val="000000"/>
                <w:sz w:val="16"/>
                <w:szCs w:val="16"/>
              </w:rPr>
              <w:t xml:space="preserve">Fase 3 del roadmap</w:t>
            </w:r>
          </w:p>
        </w:tc>
      </w:tr>
      <w:tr>
        <w:tc>
          <w:tcPr>
            <w:tcW w:type="dxa" w:w="3200"/>
          </w:tcPr>
          <w:p>
            <w:r>
              <w:rPr>
                <w:b w:val="false"/>
                <w:bCs w:val="false"/>
                <w:color w:val="000000"/>
                <w:sz w:val="16"/>
                <w:szCs w:val="16"/>
              </w:rPr>
              <w:t xml:space="preserve">¿Qué países entran en el rollout LATAM y en qué orden (hoy el catálogo cubre México, Chile, Colombia y Perú)?</w:t>
            </w:r>
          </w:p>
        </w:tc>
        <w:tc>
          <w:tcPr>
            <w:tcW w:type="dxa" w:w="1700"/>
          </w:tcPr>
          <w:p>
            <w:r>
              <w:rPr>
                <w:b w:val="false"/>
                <w:bCs w:val="false"/>
                <w:color w:val="000000"/>
                <w:sz w:val="16"/>
                <w:szCs w:val="16"/>
              </w:rPr>
              <w:t xml:space="preserve">Axel + Marketing IH México</w:t>
            </w:r>
          </w:p>
        </w:tc>
        <w:tc>
          <w:tcPr>
            <w:tcW w:type="dxa" w:w="1700"/>
          </w:tcPr>
          <w:p>
            <w:r>
              <w:rPr>
                <w:b w:val="false"/>
                <w:bCs w:val="false"/>
                <w:color w:val="000000"/>
                <w:sz w:val="16"/>
                <w:szCs w:val="16"/>
              </w:rPr>
              <w:t xml:space="preserve">Antes de iniciar cada línea de material nueva</w:t>
            </w:r>
          </w:p>
        </w:tc>
        <w:tc>
          <w:tcPr>
            <w:tcW w:type="dxa" w:w="1900"/>
          </w:tcPr>
          <w:p>
            <w:r>
              <w:rPr>
                <w:b w:val="false"/>
                <w:bCs w:val="false"/>
                <w:color w:val="000000"/>
                <w:sz w:val="16"/>
                <w:szCs w:val="16"/>
              </w:rPr>
              <w:t xml:space="preserve">Priorización de la pista paralela (Sección 24)</w:t>
            </w:r>
          </w:p>
        </w:tc>
      </w:tr>
      <w:tr>
        <w:tc>
          <w:tcPr>
            <w:tcW w:type="dxa" w:w="3200"/>
          </w:tcPr>
          <w:p>
            <w:r>
              <w:rPr>
                <w:b w:val="false"/>
                <w:bCs w:val="false"/>
                <w:color w:val="000000"/>
                <w:sz w:val="16"/>
                <w:szCs w:val="16"/>
              </w:rPr>
              <w:t xml:space="preserve">¿Es realista sostener el MVP actual + 4 líneas de material nuevas en paralelo con un desarrollador + 2 agentes de IA?</w:t>
            </w:r>
          </w:p>
        </w:tc>
        <w:tc>
          <w:tcPr>
            <w:tcW w:type="dxa" w:w="1700"/>
          </w:tcPr>
          <w:p>
            <w:r>
              <w:rPr>
                <w:b w:val="false"/>
                <w:bCs w:val="false"/>
                <w:color w:val="000000"/>
                <w:sz w:val="16"/>
                <w:szCs w:val="16"/>
              </w:rPr>
              <w:t xml:space="preserve">Axel</w:t>
            </w:r>
          </w:p>
        </w:tc>
        <w:tc>
          <w:tcPr>
            <w:tcW w:type="dxa" w:w="1700"/>
          </w:tcPr>
          <w:p>
            <w:r>
              <w:rPr>
                <w:b w:val="false"/>
                <w:bCs w:val="false"/>
                <w:color w:val="000000"/>
                <w:sz w:val="16"/>
                <w:szCs w:val="16"/>
              </w:rPr>
              <w:t xml:space="preserve">Revisión al cierre de la primera línea (colegios)</w:t>
            </w:r>
          </w:p>
        </w:tc>
        <w:tc>
          <w:tcPr>
            <w:tcW w:type="dxa" w:w="1900"/>
          </w:tcPr>
          <w:p>
            <w:r>
              <w:rPr>
                <w:b w:val="false"/>
                <w:bCs w:val="false"/>
                <w:color w:val="000000"/>
                <w:sz w:val="16"/>
                <w:szCs w:val="16"/>
              </w:rPr>
              <w:t xml:space="preserve">Ritmo real de todo el roadmap</w:t>
            </w:r>
          </w:p>
        </w:tc>
      </w:tr>
      <w:tr>
        <w:tc>
          <w:tcPr>
            <w:tcW w:type="dxa" w:w="3200"/>
          </w:tcPr>
          <w:p>
            <w:r>
              <w:rPr>
                <w:b w:val="false"/>
                <w:bCs w:val="false"/>
                <w:color w:val="000000"/>
                <w:sz w:val="16"/>
                <w:szCs w:val="16"/>
              </w:rPr>
              <w:t xml:space="preserve">¿La paquetería de marketing para colegios reutiliza los productos qc-2026/teacher-training-certifications ya catalogados, o es un concepto de negocio distinto?</w:t>
            </w:r>
          </w:p>
        </w:tc>
        <w:tc>
          <w:tcPr>
            <w:tcW w:type="dxa" w:w="1700"/>
          </w:tcPr>
          <w:p>
            <w:r>
              <w:rPr>
                <w:b w:val="false"/>
                <w:bCs w:val="false"/>
                <w:color w:val="000000"/>
                <w:sz w:val="16"/>
                <w:szCs w:val="16"/>
              </w:rPr>
              <w:t xml:space="preserve">Axel + Codex</w:t>
            </w:r>
          </w:p>
        </w:tc>
        <w:tc>
          <w:tcPr>
            <w:tcW w:type="dxa" w:w="1700"/>
          </w:tcPr>
          <w:p>
            <w:r>
              <w:rPr>
                <w:b w:val="false"/>
                <w:bCs w:val="false"/>
                <w:color w:val="000000"/>
                <w:sz w:val="16"/>
                <w:szCs w:val="16"/>
              </w:rPr>
              <w:t xml:space="preserve">Antes de empezar la línea de colegios</w:t>
            </w:r>
          </w:p>
        </w:tc>
        <w:tc>
          <w:tcPr>
            <w:tcW w:type="dxa" w:w="1900"/>
          </w:tcPr>
          <w:p>
            <w:r>
              <w:rPr>
                <w:b w:val="false"/>
                <w:bCs w:val="false"/>
                <w:color w:val="000000"/>
                <w:sz w:val="16"/>
                <w:szCs w:val="16"/>
              </w:rPr>
              <w:t xml:space="preserve">Diseño del modelo de datos de "tipo de material"</w:t>
            </w:r>
          </w:p>
        </w:tc>
      </w:tr>
      <w:tr>
        <w:tc>
          <w:tcPr>
            <w:tcW w:type="dxa" w:w="3200"/>
          </w:tcPr>
          <w:p>
            <w:r>
              <w:rPr>
                <w:b w:val="false"/>
                <w:bCs w:val="false"/>
                <w:color w:val="000000"/>
                <w:sz w:val="16"/>
                <w:szCs w:val="16"/>
              </w:rPr>
              <w:t xml:space="preserve">¿Mailings/correo requiere un proveedor de envío de email (ESP) nuevo, o solo la plantilla HTML se genera aquí y el envío lo hace otra herramienta?</w:t>
            </w:r>
          </w:p>
        </w:tc>
        <w:tc>
          <w:tcPr>
            <w:tcW w:type="dxa" w:w="1700"/>
          </w:tcPr>
          <w:p>
            <w:r>
              <w:rPr>
                <w:b w:val="false"/>
                <w:bCs w:val="false"/>
                <w:color w:val="000000"/>
                <w:sz w:val="16"/>
                <w:szCs w:val="16"/>
              </w:rPr>
              <w:t xml:space="preserve">Axel + Codex</w:t>
            </w:r>
          </w:p>
        </w:tc>
        <w:tc>
          <w:tcPr>
            <w:tcW w:type="dxa" w:w="1700"/>
          </w:tcPr>
          <w:p>
            <w:r>
              <w:rPr>
                <w:b w:val="false"/>
                <w:bCs w:val="false"/>
                <w:color w:val="000000"/>
                <w:sz w:val="16"/>
                <w:szCs w:val="16"/>
              </w:rPr>
              <w:t xml:space="preserve">Antes de empezar la línea de mailings (prioridad 4)</w:t>
            </w:r>
          </w:p>
        </w:tc>
        <w:tc>
          <w:tcPr>
            <w:tcW w:type="dxa" w:w="1900"/>
          </w:tcPr>
          <w:p>
            <w:r>
              <w:rPr>
                <w:b w:val="false"/>
                <w:bCs w:val="false"/>
                <w:color w:val="000000"/>
                <w:sz w:val="16"/>
                <w:szCs w:val="16"/>
              </w:rPr>
              <w:t xml:space="preserve">Alcance técnico de esa línea</w:t>
            </w:r>
          </w:p>
        </w:tc>
      </w:tr>
    </w:tbl>
    <w:p>
      <w:r>
        <w:br w:type="page"/>
      </w:r>
    </w:p>
    <w:p>
      <w:pPr>
        <w:pStyle w:val="Heading1"/>
        <w:spacing w:after="160" w:before="360"/>
      </w:pPr>
      <w:r>
        <w:t xml:space="preserve">36. Documentos de apoyo</w:t>
      </w:r>
    </w:p>
    <w:p>
      <w:pPr>
        <w:spacing w:after="160"/>
      </w:pPr>
      <w:r>
        <w:rPr>
          <w:b w:val="false"/>
          <w:bCs w:val="false"/>
          <w:i w:val="false"/>
          <w:iCs w:val="false"/>
        </w:rPr>
        <w:t xml:space="preserve">Este documento debería acompañarse de:</w:t>
      </w:r>
    </w:p>
    <w:p>
      <w:pPr>
        <w:pStyle w:val="ListParagraph"/>
        <w:numPr>
          <w:ilvl w:val="0"/>
          <w:numId w:val="2"/>
        </w:numPr>
        <w:spacing w:after="60"/>
      </w:pPr>
      <w:r>
        <w:t xml:space="preserve">HANDOFF_BRAND_SYSTEM.md — historial de decisiones para sincronizar contexto entre Claude y Codex;</w:t>
      </w:r>
    </w:p>
    <w:p>
      <w:pPr>
        <w:pStyle w:val="ListParagraph"/>
        <w:numPr>
          <w:ilvl w:val="0"/>
          <w:numId w:val="2"/>
        </w:numPr>
        <w:spacing w:after="60"/>
      </w:pPr>
      <w:r>
        <w:t xml:space="preserve">brand/knowledge/README.md — arquitectura del catálogo de productos y la biblioteca de conocimiento visual;</w:t>
      </w:r>
    </w:p>
    <w:p>
      <w:pPr>
        <w:pStyle w:val="ListParagraph"/>
        <w:numPr>
          <w:ilvl w:val="0"/>
          <w:numId w:val="2"/>
        </w:numPr>
        <w:spacing w:after="60"/>
      </w:pPr>
      <w:r>
        <w:t xml:space="preserve">contracts/design-brief.schema.json — contrato formal de brief;</w:t>
      </w:r>
    </w:p>
    <w:p>
      <w:pPr>
        <w:pStyle w:val="ListParagraph"/>
        <w:numPr>
          <w:ilvl w:val="0"/>
          <w:numId w:val="2"/>
        </w:numPr>
        <w:spacing w:after="60"/>
      </w:pPr>
      <w:r>
        <w:t xml:space="preserve">DECISIONS.md y TASKS.md — bitácora de decisiones y pendientes.</w:t>
      </w:r>
    </w:p>
    <w:p>
      <w:pPr>
        <w:pStyle w:val="Heading1"/>
        <w:spacing w:after="160" w:before="360"/>
      </w:pPr>
      <w:r>
        <w:t xml:space="preserve">37. Próximas acciones inmediatas</w:t>
      </w:r>
    </w:p>
    <w:p>
      <w:pPr>
        <w:spacing w:after="160"/>
      </w:pPr>
      <w:r>
        <w:rPr>
          <w:b/>
          <w:bCs/>
          <w:i w:val="false"/>
          <w:iCs w:val="false"/>
        </w:rPr>
        <w:t xml:space="preserve">Actualizado 2026-08-07 tras el primer reporte de avance de Codex. PASO 0, PASO 2 y el diseño del PASO 6 ya están hechos; PASO 1 tiene su documentación lista pero el entorno real sigue sin crearse; PASO 5 está hecho; PASO 8 está parcialmente avanzado pero necesita ratificación de Axel antes de seguir (Sección 31.7).</w:t>
      </w:r>
    </w:p>
    <w:p>
      <w:pPr>
        <w:pStyle w:val="ListParagraph"/>
        <w:numPr>
          <w:ilvl w:val="0"/>
          <w:numId w:val="2"/>
        </w:numPr>
        <w:spacing w:after="60"/>
      </w:pPr>
      <w:r>
        <w:t xml:space="preserve">Ratificar o ajustar los productos default del school-kit (qc-2026, teacher-training-certifications) antes de que Codex continúe el PASO 8 — es la acción más urgente para no seguir construyendo sobre un supuesto no confirmado;</w:t>
      </w:r>
    </w:p>
    <w:p>
      <w:pPr>
        <w:pStyle w:val="ListParagraph"/>
        <w:numPr>
          <w:ilvl w:val="0"/>
          <w:numId w:val="2"/>
        </w:numPr>
        <w:spacing w:after="60"/>
      </w:pPr>
      <w:r>
        <w:t xml:space="preserve">Decidir cuándo se hace el primer commit grande del trabajo acumulado (95 archivos sin commitear) — limpiar antes los archivos temporales sueltos (_tmp_v3/, _tmp_v3.zip, _tmp_v3.txt, _tmp_scoping.zip);</w:t>
      </w:r>
    </w:p>
    <w:p>
      <w:pPr>
        <w:pStyle w:val="ListParagraph"/>
        <w:numPr>
          <w:ilvl w:val="0"/>
          <w:numId w:val="2"/>
        </w:numPr>
        <w:spacing w:after="60"/>
      </w:pPr>
      <w:r>
        <w:t xml:space="preserve">Crear realmente el entorno de staging (PostgreSQL + auth corporativa + almacenamiento persistente) siguiendo docs/operations/deployment.md — la documentación y las variables ya están listas, falta aprovisionar el proveedor (Railway o Render, según la recomendación de Codex);</w:t>
      </w:r>
    </w:p>
    <w:p>
      <w:pPr>
        <w:pStyle w:val="ListParagraph"/>
        <w:numPr>
          <w:ilvl w:val="0"/>
          <w:numId w:val="2"/>
        </w:numPr>
        <w:spacing w:after="60"/>
      </w:pPr>
      <w:r>
        <w:t xml:space="preserve">Verificar directamente en GitHub (fuera del código) si existe branch protection y revisión de PR obligatoria en el repo; configurarlas si no existen;</w:t>
      </w:r>
    </w:p>
    <w:p>
      <w:pPr>
        <w:pStyle w:val="ListParagraph"/>
        <w:numPr>
          <w:ilvl w:val="0"/>
          <w:numId w:val="2"/>
        </w:numPr>
        <w:spacing w:after="60"/>
      </w:pPr>
      <w:r>
        <w:t xml:space="preserve">Decidir si el repositorio se transfiere a una organización institucional de GitHub;</w:t>
      </w:r>
    </w:p>
    <w:p>
      <w:pPr>
        <w:pStyle w:val="ListParagraph"/>
        <w:numPr>
          <w:ilvl w:val="0"/>
          <w:numId w:val="2"/>
        </w:numPr>
        <w:spacing w:after="60"/>
      </w:pPr>
      <w:r>
        <w:t xml:space="preserve">Pedir a Codex que en cada reporte confirme el estado de todos los pasos del plan, no solo el paso en el que trabajó (Sección 31.7);</w:t>
      </w:r>
    </w:p>
    <w:p>
      <w:pPr>
        <w:pStyle w:val="ListParagraph"/>
        <w:numPr>
          <w:ilvl w:val="0"/>
          <w:numId w:val="2"/>
        </w:numPr>
        <w:spacing w:after="60"/>
      </w:pPr>
      <w:r>
        <w:t xml:space="preserve">Definir fecha y dueño para arrancar realmente el lote de 50 piezas de prueba, una vez exista el entorno de staging;</w:t>
      </w:r>
    </w:p>
    <w:p>
      <w:pPr>
        <w:pStyle w:val="ListParagraph"/>
        <w:numPr>
          <w:ilvl w:val="0"/>
          <w:numId w:val="2"/>
        </w:numPr>
        <w:spacing w:after="60"/>
      </w:pPr>
      <w:r>
        <w:t xml:space="preserve">Confirmar con el cliente los puntos pendientes de marca listados en la Sección 35 (Aptos, tamaño de logo, white-reversed, alcance de TEA/QC).</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rPr>
      <w:b/>
      <w:bCs/>
      <w:color w:val="1F2A44"/>
      <w:sz w:val="28"/>
      <w:szCs w:val="28"/>
    </w:rPr>
  </w:style>
  <w:style w:type="paragraph" w:styleId="Heading2">
    <w:name w:val="Heading 2"/>
    <w:basedOn w:val="Normal"/>
    <w:next w:val="Normal"/>
    <w:rPr>
      <w:b/>
      <w:bCs/>
      <w:color w:val="3B44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2026-08-07T21:30:37.622Z</dcterms:created>
  <dcterms:modified xsi:type="dcterms:W3CDTF">2026-08-07T21:30:37.623Z</dcterms:modified>
</cp:coreProperties>
</file>

<file path=docProps/custom.xml><?xml version="1.0" encoding="utf-8"?>
<Properties xmlns="http://schemas.openxmlformats.org/officeDocument/2006/custom-properties" xmlns:vt="http://schemas.openxmlformats.org/officeDocument/2006/docPropsVTypes"/>
</file>