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8E85" w14:textId="77777777" w:rsidR="003507FB" w:rsidRDefault="00000000" w:rsidP="00C93365">
      <w:pPr>
        <w:spacing w:after="240" w:line="240" w:lineRule="auto"/>
        <w:jc w:val="center"/>
        <w:rPr>
          <w:b/>
          <w:sz w:val="32"/>
          <w:szCs w:val="32"/>
        </w:rPr>
      </w:pPr>
      <w:r>
        <w:rPr>
          <w:b/>
          <w:sz w:val="32"/>
          <w:szCs w:val="32"/>
        </w:rPr>
        <w:t>Data wrangling – project report</w:t>
      </w:r>
    </w:p>
    <w:p w14:paraId="0A06D3DE" w14:textId="77777777" w:rsidR="00C93365" w:rsidRDefault="00000000" w:rsidP="00C93365">
      <w:pPr>
        <w:spacing w:after="240" w:line="240" w:lineRule="auto"/>
        <w:jc w:val="center"/>
      </w:pPr>
      <w:r>
        <w:rPr>
          <w:b/>
          <w:sz w:val="32"/>
          <w:szCs w:val="32"/>
        </w:rPr>
        <w:t>Sea trades’ relationship with GDP</w:t>
      </w:r>
    </w:p>
    <w:p w14:paraId="321B97E3" w14:textId="0387C114" w:rsidR="003507FB" w:rsidRPr="00C93365" w:rsidRDefault="00000000" w:rsidP="00C93365">
      <w:pPr>
        <w:spacing w:after="240" w:line="240" w:lineRule="auto"/>
        <w:sectPr w:rsidR="003507FB" w:rsidRPr="00C93365">
          <w:pgSz w:w="12240" w:h="15840"/>
          <w:pgMar w:top="1440" w:right="1440" w:bottom="1440" w:left="1440" w:header="720" w:footer="720" w:gutter="0"/>
          <w:pgNumType w:start="1"/>
          <w:cols w:space="720"/>
        </w:sectPr>
      </w:pPr>
      <w:r w:rsidRPr="00C93365">
        <w:rPr>
          <w:b/>
          <w:lang w:val="en-US"/>
        </w:rPr>
        <w:t>Project group members</w:t>
      </w:r>
    </w:p>
    <w:p w14:paraId="679EA1C6" w14:textId="77777777" w:rsidR="003507FB" w:rsidRPr="00C93365" w:rsidRDefault="00000000" w:rsidP="00C93365">
      <w:pPr>
        <w:widowControl w:val="0"/>
        <w:spacing w:after="240" w:line="240" w:lineRule="auto"/>
        <w:ind w:left="720" w:hanging="360"/>
        <w:rPr>
          <w:lang w:val="nl-NL"/>
        </w:rPr>
      </w:pPr>
      <w:r w:rsidRPr="00C93365">
        <w:rPr>
          <w:lang w:val="nl-NL"/>
        </w:rPr>
        <w:t>1.</w:t>
      </w:r>
      <w:r w:rsidRPr="00C93365">
        <w:rPr>
          <w:sz w:val="14"/>
          <w:szCs w:val="14"/>
          <w:lang w:val="nl-NL"/>
        </w:rPr>
        <w:t xml:space="preserve">      </w:t>
      </w:r>
      <w:r w:rsidRPr="00C93365">
        <w:rPr>
          <w:lang w:val="nl-NL"/>
        </w:rPr>
        <w:t>Rick Aardenburg, rag330</w:t>
      </w:r>
    </w:p>
    <w:p w14:paraId="4BB11F9E" w14:textId="77777777" w:rsidR="003507FB" w:rsidRPr="00C93365" w:rsidRDefault="00000000" w:rsidP="00C93365">
      <w:pPr>
        <w:widowControl w:val="0"/>
        <w:spacing w:after="240" w:line="240" w:lineRule="auto"/>
        <w:ind w:left="720" w:hanging="360"/>
        <w:rPr>
          <w:lang w:val="nl-NL"/>
        </w:rPr>
      </w:pPr>
      <w:r w:rsidRPr="00C93365">
        <w:rPr>
          <w:lang w:val="nl-NL"/>
        </w:rPr>
        <w:t>2.</w:t>
      </w:r>
      <w:r w:rsidRPr="00C93365">
        <w:rPr>
          <w:sz w:val="14"/>
          <w:szCs w:val="14"/>
          <w:lang w:val="nl-NL"/>
        </w:rPr>
        <w:t xml:space="preserve">      </w:t>
      </w:r>
      <w:r w:rsidRPr="00C93365">
        <w:rPr>
          <w:lang w:val="nl-NL"/>
        </w:rPr>
        <w:t>Kevin Brachthuizen, kbn285</w:t>
      </w:r>
    </w:p>
    <w:p w14:paraId="6516BF72" w14:textId="77777777" w:rsidR="003507FB" w:rsidRDefault="00000000" w:rsidP="00C93365">
      <w:pPr>
        <w:widowControl w:val="0"/>
        <w:spacing w:after="240" w:line="240" w:lineRule="auto"/>
        <w:ind w:left="720" w:hanging="360"/>
      </w:pPr>
      <w:r>
        <w:t>3.</w:t>
      </w:r>
      <w:r>
        <w:rPr>
          <w:sz w:val="14"/>
          <w:szCs w:val="14"/>
        </w:rPr>
        <w:t xml:space="preserve">      </w:t>
      </w:r>
      <w:r>
        <w:t>Axel Ehrnrooth, aeh330</w:t>
      </w:r>
    </w:p>
    <w:p w14:paraId="34BB6A75" w14:textId="77777777" w:rsidR="003507FB" w:rsidRDefault="00000000" w:rsidP="00C93365">
      <w:pPr>
        <w:widowControl w:val="0"/>
        <w:spacing w:after="240" w:line="240" w:lineRule="auto"/>
        <w:ind w:left="720" w:hanging="360"/>
        <w:sectPr w:rsidR="003507FB">
          <w:type w:val="continuous"/>
          <w:pgSz w:w="12240" w:h="15840"/>
          <w:pgMar w:top="1440" w:right="1440" w:bottom="1440" w:left="1440" w:header="720" w:footer="720" w:gutter="0"/>
          <w:cols w:num="2" w:space="720" w:equalWidth="0">
            <w:col w:w="4320" w:space="720"/>
            <w:col w:w="4320" w:space="0"/>
          </w:cols>
        </w:sectPr>
      </w:pPr>
      <w:r>
        <w:t>4.</w:t>
      </w:r>
      <w:r>
        <w:rPr>
          <w:sz w:val="14"/>
          <w:szCs w:val="14"/>
        </w:rPr>
        <w:t xml:space="preserve">      </w:t>
      </w:r>
      <w:r>
        <w:t>James Smith, jsh860</w:t>
      </w:r>
    </w:p>
    <w:p w14:paraId="14EFCF84" w14:textId="77777777" w:rsidR="003507FB" w:rsidRDefault="00000000" w:rsidP="00C93365">
      <w:pPr>
        <w:spacing w:after="120" w:line="240" w:lineRule="auto"/>
        <w:rPr>
          <w:b/>
        </w:rPr>
      </w:pPr>
      <w:r>
        <w:rPr>
          <w:b/>
        </w:rPr>
        <w:t>Research question</w:t>
      </w:r>
    </w:p>
    <w:p w14:paraId="4EF8B998" w14:textId="77777777" w:rsidR="003507FB" w:rsidRDefault="00000000" w:rsidP="00C93365">
      <w:pPr>
        <w:spacing w:after="240" w:line="240" w:lineRule="auto"/>
      </w:pPr>
      <w:r>
        <w:t xml:space="preserve">For this report, the considered research question is: “What is the relationship between global GDP and Marine Cargo capacity, including its relationship to global capacity of specific classes of ships (Tanker, Bulk Carrier, Container), and how has this changed over time?”. </w:t>
      </w:r>
    </w:p>
    <w:p w14:paraId="36F4D05D" w14:textId="77777777" w:rsidR="003507FB" w:rsidRDefault="00000000" w:rsidP="00C93365">
      <w:pPr>
        <w:spacing w:after="120" w:line="240" w:lineRule="auto"/>
        <w:rPr>
          <w:b/>
        </w:rPr>
      </w:pPr>
      <w:r>
        <w:rPr>
          <w:b/>
        </w:rPr>
        <w:t>Data sources</w:t>
      </w:r>
    </w:p>
    <w:p w14:paraId="68EA58F3" w14:textId="7C36C701" w:rsidR="003507FB" w:rsidRDefault="00000000" w:rsidP="00C93365">
      <w:pPr>
        <w:spacing w:after="240" w:line="240" w:lineRule="auto"/>
      </w:pPr>
      <w:r>
        <w:t>The data gathered on both GDP and cargo ships was downloaded from the United Nations Conference on Trade and Development (UNCTAD) website in the form of .csv files. More details for each specific source are given below:</w:t>
      </w:r>
    </w:p>
    <w:p w14:paraId="016341F7" w14:textId="77777777" w:rsidR="003507FB" w:rsidRDefault="00000000" w:rsidP="00C93365">
      <w:pPr>
        <w:spacing w:after="240" w:line="240" w:lineRule="auto"/>
      </w:pPr>
      <w:r>
        <w:t>GDP data URL:</w:t>
      </w:r>
      <w:hyperlink r:id="rId7">
        <w:r>
          <w:rPr>
            <w:sz w:val="18"/>
            <w:szCs w:val="18"/>
          </w:rPr>
          <w:t xml:space="preserve"> </w:t>
        </w:r>
      </w:hyperlink>
      <w:hyperlink r:id="rId8">
        <w:r>
          <w:rPr>
            <w:color w:val="1155CC"/>
            <w:u w:val="single"/>
          </w:rPr>
          <w:t>https://unctadstat.unctad.org/datacentre/dataviewer/US.GDPTotal</w:t>
        </w:r>
      </w:hyperlink>
      <w:r>
        <w:rPr>
          <w:rFonts w:ascii="Times New Roman" w:eastAsia="Times New Roman" w:hAnsi="Times New Roman" w:cs="Times New Roman"/>
          <w:sz w:val="14"/>
          <w:szCs w:val="14"/>
        </w:rPr>
        <w:br/>
        <w:t xml:space="preserve"> </w:t>
      </w:r>
      <w:r>
        <w:t>Last accessed: 22/01/2024</w:t>
      </w:r>
      <w:r>
        <w:br/>
        <w:t xml:space="preserve">Marine cargo data URL: </w:t>
      </w:r>
      <w:hyperlink r:id="rId9">
        <w:r>
          <w:rPr>
            <w:color w:val="1155CC"/>
            <w:u w:val="single"/>
          </w:rPr>
          <w:t>https://unctadstat.unctad.org/datacentre/dataviewer/US.MerchantFleet</w:t>
        </w:r>
      </w:hyperlink>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br/>
        <w:t xml:space="preserve"> </w:t>
      </w:r>
      <w:r>
        <w:t>Last accessed: 22/01/2024</w:t>
      </w:r>
    </w:p>
    <w:p w14:paraId="57E6527B" w14:textId="77777777" w:rsidR="003507FB" w:rsidRDefault="00000000" w:rsidP="00C93365">
      <w:pPr>
        <w:spacing w:after="120" w:line="240" w:lineRule="auto"/>
        <w:rPr>
          <w:color w:val="FF0000"/>
        </w:rPr>
      </w:pPr>
      <w:r>
        <w:rPr>
          <w:b/>
        </w:rPr>
        <w:t>Data wrangling methods</w:t>
      </w:r>
    </w:p>
    <w:p w14:paraId="39F729E7" w14:textId="77777777" w:rsidR="003507FB" w:rsidRDefault="00000000" w:rsidP="00C93365">
      <w:pPr>
        <w:spacing w:after="120" w:line="240" w:lineRule="auto"/>
        <w:rPr>
          <w:b/>
          <w:color w:val="666666"/>
        </w:rPr>
      </w:pPr>
      <w:r>
        <w:rPr>
          <w:b/>
          <w:color w:val="666666"/>
        </w:rPr>
        <w:t>Wrangling the GDP Data</w:t>
      </w:r>
    </w:p>
    <w:p w14:paraId="5A0F5377" w14:textId="0606C3A0" w:rsidR="003507FB" w:rsidRDefault="00000000" w:rsidP="00C93365">
      <w:pPr>
        <w:spacing w:after="240" w:line="240" w:lineRule="auto"/>
      </w:pPr>
      <w:r>
        <w:t xml:space="preserve">This data shows GDP Data in various forms for various economies since 1970. The data was gathered from various UN sources by UNCTAD. There are 15 columns, most of which we did not need. Because of this we dropped down to 5. After this we created a new </w:t>
      </w:r>
      <w:r w:rsidR="00C93365">
        <w:t>data frame</w:t>
      </w:r>
      <w:r>
        <w:t xml:space="preserve"> containing only the global </w:t>
      </w:r>
      <w:r w:rsidR="00C93365">
        <w:t>GDP</w:t>
      </w:r>
      <w:r>
        <w:t xml:space="preserve"> over the years called “Global_GDP”, there was no missing data.</w:t>
      </w:r>
    </w:p>
    <w:p w14:paraId="1901E030" w14:textId="77777777" w:rsidR="003507FB" w:rsidRDefault="00000000" w:rsidP="00C93365">
      <w:pPr>
        <w:spacing w:after="120" w:line="240" w:lineRule="auto"/>
        <w:rPr>
          <w:color w:val="666666"/>
        </w:rPr>
      </w:pPr>
      <w:r>
        <w:rPr>
          <w:b/>
          <w:color w:val="666666"/>
        </w:rPr>
        <w:t xml:space="preserve">Wrangling the Maritime Data. </w:t>
      </w:r>
    </w:p>
    <w:p w14:paraId="780250C0" w14:textId="29C0BE05" w:rsidR="003507FB" w:rsidRDefault="00000000" w:rsidP="00C93365">
      <w:pPr>
        <w:spacing w:after="240" w:line="240" w:lineRule="auto"/>
      </w:pPr>
      <w:r>
        <w:t xml:space="preserve">This data shows the number of ships and the total capacity of them per year, ranging from 1980 until 2023. The data provided by UNCTAD was gathered from 2 different sources. Before 2010 it came from Lloyd's Register Fairplay and after from </w:t>
      </w:r>
      <w:r w:rsidR="00C93365">
        <w:t>Clarkson’s</w:t>
      </w:r>
      <w:r>
        <w:t xml:space="preserve"> Research services, both of which are maritime consultancy agencies. Due to the change in data </w:t>
      </w:r>
      <w:r w:rsidR="00C93365">
        <w:t>provider,</w:t>
      </w:r>
      <w:r>
        <w:t xml:space="preserve"> we decided early on that it was worth putting a vertical marker in each graph at the year 2010, in case the change in providers was to have a noticeable impact on the data. </w:t>
      </w:r>
    </w:p>
    <w:p w14:paraId="0BE0C240" w14:textId="4AA13F1E" w:rsidR="003507FB" w:rsidRDefault="00000000" w:rsidP="00C93365">
      <w:pPr>
        <w:spacing w:after="240" w:line="240" w:lineRule="auto"/>
      </w:pPr>
      <w:r>
        <w:t xml:space="preserve">The data itself is formatted in a similar way to the GDP data (as the provider is the same), but with crucial differences. Each year individual economies are divided into 6 rows, these </w:t>
      </w:r>
      <w:r w:rsidR="00C93365">
        <w:t>are.</w:t>
      </w:r>
    </w:p>
    <w:p w14:paraId="4888C553" w14:textId="77777777" w:rsidR="003507FB" w:rsidRDefault="00000000" w:rsidP="00C93365">
      <w:pPr>
        <w:numPr>
          <w:ilvl w:val="0"/>
          <w:numId w:val="1"/>
        </w:numPr>
        <w:spacing w:line="240" w:lineRule="auto"/>
      </w:pPr>
      <w:r>
        <w:rPr>
          <w:b/>
        </w:rPr>
        <w:t>Total fleet</w:t>
      </w:r>
      <w:r>
        <w:t xml:space="preserve"> - The sum of all vessels in an economy's fleet. </w:t>
      </w:r>
    </w:p>
    <w:p w14:paraId="4206E435" w14:textId="53CA123C" w:rsidR="003507FB" w:rsidRDefault="00000000" w:rsidP="00C93365">
      <w:pPr>
        <w:numPr>
          <w:ilvl w:val="0"/>
          <w:numId w:val="1"/>
        </w:numPr>
        <w:spacing w:line="240" w:lineRule="auto"/>
      </w:pPr>
      <w:r>
        <w:rPr>
          <w:b/>
        </w:rPr>
        <w:t>Oil tankers</w:t>
      </w:r>
      <w:r>
        <w:t xml:space="preserve"> - Vessels that are specifically designed to carry liquid </w:t>
      </w:r>
      <w:r w:rsidR="00C93365">
        <w:t>cargo.</w:t>
      </w:r>
    </w:p>
    <w:p w14:paraId="1D6DA40A" w14:textId="77777777" w:rsidR="003507FB" w:rsidRDefault="00000000" w:rsidP="00C93365">
      <w:pPr>
        <w:numPr>
          <w:ilvl w:val="0"/>
          <w:numId w:val="1"/>
        </w:numPr>
        <w:spacing w:line="240" w:lineRule="auto"/>
      </w:pPr>
      <w:r>
        <w:rPr>
          <w:b/>
        </w:rPr>
        <w:t>Bulk carriers</w:t>
      </w:r>
      <w:r>
        <w:t xml:space="preserve"> - Vessels designed to take dry cargo in bulk unpacked.</w:t>
      </w:r>
    </w:p>
    <w:p w14:paraId="123AE4DC" w14:textId="4E39A0A6" w:rsidR="003507FB" w:rsidRDefault="00000000" w:rsidP="00C93365">
      <w:pPr>
        <w:numPr>
          <w:ilvl w:val="0"/>
          <w:numId w:val="1"/>
        </w:numPr>
        <w:spacing w:line="240" w:lineRule="auto"/>
      </w:pPr>
      <w:r>
        <w:rPr>
          <w:b/>
        </w:rPr>
        <w:t xml:space="preserve">General cargo </w:t>
      </w:r>
      <w:r>
        <w:t xml:space="preserve">- Vessels designed to take breakbulk </w:t>
      </w:r>
      <w:r w:rsidR="00C93365">
        <w:t>cargo.</w:t>
      </w:r>
      <w:r>
        <w:t xml:space="preserve"> </w:t>
      </w:r>
    </w:p>
    <w:p w14:paraId="786A7B80" w14:textId="77777777" w:rsidR="003507FB" w:rsidRDefault="00000000" w:rsidP="00C93365">
      <w:pPr>
        <w:numPr>
          <w:ilvl w:val="0"/>
          <w:numId w:val="1"/>
        </w:numPr>
        <w:spacing w:line="240" w:lineRule="auto"/>
      </w:pPr>
      <w:r>
        <w:rPr>
          <w:b/>
        </w:rPr>
        <w:t>Container ships</w:t>
      </w:r>
      <w:r>
        <w:t>- Vessels designed specifically to take containers.</w:t>
      </w:r>
    </w:p>
    <w:p w14:paraId="2810C474" w14:textId="77777777" w:rsidR="003507FB" w:rsidRDefault="00000000" w:rsidP="00C93365">
      <w:pPr>
        <w:numPr>
          <w:ilvl w:val="0"/>
          <w:numId w:val="1"/>
        </w:numPr>
        <w:spacing w:line="240" w:lineRule="auto"/>
      </w:pPr>
      <w:r>
        <w:rPr>
          <w:b/>
        </w:rPr>
        <w:lastRenderedPageBreak/>
        <w:t>Other types of ships</w:t>
      </w:r>
      <w:r>
        <w:t xml:space="preserve"> - All vessels not covered by category 2-5. This includes things like passenger vessels and specialist ships. </w:t>
      </w:r>
    </w:p>
    <w:p w14:paraId="264D5FCC" w14:textId="77777777" w:rsidR="003507FB" w:rsidRDefault="003507FB" w:rsidP="00C93365">
      <w:pPr>
        <w:spacing w:line="240" w:lineRule="auto"/>
      </w:pPr>
    </w:p>
    <w:p w14:paraId="0160DDCB" w14:textId="77777777" w:rsidR="003507FB" w:rsidRDefault="00000000" w:rsidP="00C93365">
      <w:pPr>
        <w:spacing w:line="240" w:lineRule="auto"/>
      </w:pPr>
      <w:r>
        <w:t xml:space="preserve">There were originally 23 columns in the data, a number of these were mostly empty so we dropped them. This meant we ended up with only 9 columns of useful data. For 4 of these columns data was only provided from 2011 onwards, with data before that being NaN. We decided to keep this as it was as it could prove to be useful later down the line. </w:t>
      </w:r>
    </w:p>
    <w:p w14:paraId="7C296F90" w14:textId="1236C319" w:rsidR="003507FB" w:rsidRDefault="00000000" w:rsidP="00C93365">
      <w:pPr>
        <w:spacing w:line="240" w:lineRule="auto"/>
      </w:pPr>
      <w:r>
        <w:t xml:space="preserve">The global total weights were provided in the </w:t>
      </w:r>
      <w:proofErr w:type="gramStart"/>
      <w:r>
        <w:t>data</w:t>
      </w:r>
      <w:proofErr w:type="gramEnd"/>
      <w:r>
        <w:t xml:space="preserve"> so we used this to create a series for the total </w:t>
      </w:r>
      <w:r w:rsidR="00C93365">
        <w:t>global deadweight</w:t>
      </w:r>
      <w:r>
        <w:t xml:space="preserve"> tons, for each category. This was then placed into a new </w:t>
      </w:r>
      <w:r w:rsidR="00C93365">
        <w:t>data frame</w:t>
      </w:r>
      <w:r>
        <w:t xml:space="preserve"> called “deadweight_per_year”.</w:t>
      </w:r>
    </w:p>
    <w:p w14:paraId="5CA9D7B4" w14:textId="272702E4" w:rsidR="003507FB" w:rsidRDefault="00000000" w:rsidP="00C93365">
      <w:pPr>
        <w:spacing w:line="240" w:lineRule="auto"/>
      </w:pPr>
      <w:r>
        <w:t xml:space="preserve">The new deadweight_per_year data frame now contained the data we needed, but contained mostly NaN as it was copying individual rows across, not all of which had all the data. To fix this we filled all the NaN into 0, then groupby(‘Year’).sum() the DF. This gave us the </w:t>
      </w:r>
      <w:r w:rsidR="00C93365">
        <w:t>data frame</w:t>
      </w:r>
      <w:r>
        <w:t xml:space="preserve"> we needed with all the relevant info. </w:t>
      </w:r>
    </w:p>
    <w:p w14:paraId="7AC50B73" w14:textId="77777777" w:rsidR="003507FB" w:rsidRDefault="003507FB" w:rsidP="00C93365">
      <w:pPr>
        <w:spacing w:line="240" w:lineRule="auto"/>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455"/>
        <w:gridCol w:w="1440"/>
        <w:gridCol w:w="1470"/>
        <w:gridCol w:w="1455"/>
        <w:gridCol w:w="1455"/>
        <w:gridCol w:w="1425"/>
      </w:tblGrid>
      <w:tr w:rsidR="003507FB" w14:paraId="1ED9E5FE" w14:textId="77777777">
        <w:tc>
          <w:tcPr>
            <w:tcW w:w="780" w:type="dxa"/>
            <w:tcMar>
              <w:top w:w="60" w:type="dxa"/>
              <w:left w:w="120" w:type="dxa"/>
              <w:bottom w:w="60" w:type="dxa"/>
              <w:right w:w="120" w:type="dxa"/>
            </w:tcMar>
            <w:vAlign w:val="center"/>
          </w:tcPr>
          <w:p w14:paraId="74552CAA" w14:textId="77777777" w:rsidR="003507FB" w:rsidRDefault="00000000" w:rsidP="00C93365">
            <w:pPr>
              <w:widowControl w:val="0"/>
              <w:spacing w:line="240" w:lineRule="auto"/>
              <w:jc w:val="right"/>
              <w:rPr>
                <w:sz w:val="21"/>
                <w:szCs w:val="21"/>
              </w:rPr>
            </w:pPr>
            <w:r>
              <w:rPr>
                <w:b/>
                <w:sz w:val="21"/>
                <w:szCs w:val="21"/>
              </w:rPr>
              <w:t>Year</w:t>
            </w:r>
          </w:p>
        </w:tc>
        <w:tc>
          <w:tcPr>
            <w:tcW w:w="1455" w:type="dxa"/>
            <w:tcMar>
              <w:top w:w="60" w:type="dxa"/>
              <w:left w:w="120" w:type="dxa"/>
              <w:bottom w:w="60" w:type="dxa"/>
              <w:right w:w="120" w:type="dxa"/>
            </w:tcMar>
            <w:vAlign w:val="center"/>
          </w:tcPr>
          <w:p w14:paraId="029F7990" w14:textId="77777777" w:rsidR="003507FB" w:rsidRDefault="00000000" w:rsidP="00C93365">
            <w:pPr>
              <w:widowControl w:val="0"/>
              <w:spacing w:line="240" w:lineRule="auto"/>
              <w:jc w:val="right"/>
              <w:rPr>
                <w:sz w:val="21"/>
                <w:szCs w:val="21"/>
              </w:rPr>
            </w:pPr>
            <w:r>
              <w:rPr>
                <w:b/>
                <w:sz w:val="21"/>
                <w:szCs w:val="21"/>
              </w:rPr>
              <w:t xml:space="preserve">Deadweight All </w:t>
            </w:r>
          </w:p>
        </w:tc>
        <w:tc>
          <w:tcPr>
            <w:tcW w:w="1440" w:type="dxa"/>
            <w:tcMar>
              <w:top w:w="60" w:type="dxa"/>
              <w:left w:w="120" w:type="dxa"/>
              <w:bottom w:w="60" w:type="dxa"/>
              <w:right w:w="120" w:type="dxa"/>
            </w:tcMar>
            <w:vAlign w:val="center"/>
          </w:tcPr>
          <w:p w14:paraId="3B0729E8" w14:textId="77777777" w:rsidR="003507FB" w:rsidRDefault="00000000" w:rsidP="00C93365">
            <w:pPr>
              <w:widowControl w:val="0"/>
              <w:spacing w:line="240" w:lineRule="auto"/>
              <w:jc w:val="right"/>
              <w:rPr>
                <w:sz w:val="21"/>
                <w:szCs w:val="21"/>
              </w:rPr>
            </w:pPr>
            <w:r>
              <w:rPr>
                <w:b/>
                <w:sz w:val="21"/>
                <w:szCs w:val="21"/>
              </w:rPr>
              <w:t>Deadweight Tankers</w:t>
            </w:r>
          </w:p>
        </w:tc>
        <w:tc>
          <w:tcPr>
            <w:tcW w:w="1470" w:type="dxa"/>
            <w:tcMar>
              <w:top w:w="60" w:type="dxa"/>
              <w:left w:w="120" w:type="dxa"/>
              <w:bottom w:w="60" w:type="dxa"/>
              <w:right w:w="120" w:type="dxa"/>
            </w:tcMar>
            <w:vAlign w:val="center"/>
          </w:tcPr>
          <w:p w14:paraId="1CDF83A6" w14:textId="77777777" w:rsidR="003507FB" w:rsidRDefault="00000000" w:rsidP="00C93365">
            <w:pPr>
              <w:widowControl w:val="0"/>
              <w:spacing w:line="240" w:lineRule="auto"/>
              <w:jc w:val="right"/>
              <w:rPr>
                <w:sz w:val="21"/>
                <w:szCs w:val="21"/>
              </w:rPr>
            </w:pPr>
            <w:r>
              <w:rPr>
                <w:b/>
                <w:sz w:val="21"/>
                <w:szCs w:val="21"/>
              </w:rPr>
              <w:t>Deadweight Bulk</w:t>
            </w:r>
          </w:p>
        </w:tc>
        <w:tc>
          <w:tcPr>
            <w:tcW w:w="1455" w:type="dxa"/>
            <w:tcMar>
              <w:top w:w="60" w:type="dxa"/>
              <w:left w:w="120" w:type="dxa"/>
              <w:bottom w:w="60" w:type="dxa"/>
              <w:right w:w="120" w:type="dxa"/>
            </w:tcMar>
            <w:vAlign w:val="center"/>
          </w:tcPr>
          <w:p w14:paraId="45CA4408" w14:textId="77777777" w:rsidR="003507FB" w:rsidRDefault="00000000" w:rsidP="00C93365">
            <w:pPr>
              <w:widowControl w:val="0"/>
              <w:spacing w:line="240" w:lineRule="auto"/>
              <w:jc w:val="right"/>
              <w:rPr>
                <w:sz w:val="21"/>
                <w:szCs w:val="21"/>
              </w:rPr>
            </w:pPr>
            <w:r>
              <w:rPr>
                <w:b/>
                <w:sz w:val="21"/>
                <w:szCs w:val="21"/>
              </w:rPr>
              <w:t>Deadweight General Cargo</w:t>
            </w:r>
          </w:p>
        </w:tc>
        <w:tc>
          <w:tcPr>
            <w:tcW w:w="1455" w:type="dxa"/>
            <w:tcMar>
              <w:top w:w="60" w:type="dxa"/>
              <w:left w:w="120" w:type="dxa"/>
              <w:bottom w:w="60" w:type="dxa"/>
              <w:right w:w="120" w:type="dxa"/>
            </w:tcMar>
            <w:vAlign w:val="center"/>
          </w:tcPr>
          <w:p w14:paraId="7BA0C0BE" w14:textId="77777777" w:rsidR="003507FB" w:rsidRDefault="00000000" w:rsidP="00C93365">
            <w:pPr>
              <w:widowControl w:val="0"/>
              <w:spacing w:line="240" w:lineRule="auto"/>
              <w:jc w:val="right"/>
              <w:rPr>
                <w:sz w:val="21"/>
                <w:szCs w:val="21"/>
              </w:rPr>
            </w:pPr>
            <w:r>
              <w:rPr>
                <w:b/>
                <w:sz w:val="21"/>
                <w:szCs w:val="21"/>
              </w:rPr>
              <w:t>Deadweight Container</w:t>
            </w:r>
          </w:p>
        </w:tc>
        <w:tc>
          <w:tcPr>
            <w:tcW w:w="1425" w:type="dxa"/>
            <w:tcMar>
              <w:top w:w="60" w:type="dxa"/>
              <w:left w:w="120" w:type="dxa"/>
              <w:bottom w:w="60" w:type="dxa"/>
              <w:right w:w="120" w:type="dxa"/>
            </w:tcMar>
            <w:vAlign w:val="center"/>
          </w:tcPr>
          <w:p w14:paraId="610F310F" w14:textId="77777777" w:rsidR="003507FB" w:rsidRDefault="00000000" w:rsidP="00C93365">
            <w:pPr>
              <w:widowControl w:val="0"/>
              <w:spacing w:line="240" w:lineRule="auto"/>
              <w:jc w:val="right"/>
              <w:rPr>
                <w:sz w:val="21"/>
                <w:szCs w:val="21"/>
              </w:rPr>
            </w:pPr>
            <w:r>
              <w:rPr>
                <w:b/>
                <w:sz w:val="21"/>
                <w:szCs w:val="21"/>
              </w:rPr>
              <w:t>Deadweight Other</w:t>
            </w:r>
          </w:p>
        </w:tc>
      </w:tr>
      <w:tr w:rsidR="003507FB" w14:paraId="53A971C5" w14:textId="77777777">
        <w:tc>
          <w:tcPr>
            <w:tcW w:w="780" w:type="dxa"/>
            <w:tcMar>
              <w:top w:w="60" w:type="dxa"/>
              <w:left w:w="120" w:type="dxa"/>
              <w:bottom w:w="60" w:type="dxa"/>
              <w:right w:w="120" w:type="dxa"/>
            </w:tcMar>
          </w:tcPr>
          <w:p w14:paraId="2858F713" w14:textId="77777777" w:rsidR="003507FB" w:rsidRDefault="00000000" w:rsidP="00C93365">
            <w:pPr>
              <w:widowControl w:val="0"/>
              <w:spacing w:line="240" w:lineRule="auto"/>
              <w:jc w:val="right"/>
              <w:rPr>
                <w:sz w:val="21"/>
                <w:szCs w:val="21"/>
              </w:rPr>
            </w:pPr>
            <w:r>
              <w:rPr>
                <w:sz w:val="21"/>
                <w:szCs w:val="21"/>
              </w:rPr>
              <w:t>1980</w:t>
            </w:r>
          </w:p>
        </w:tc>
        <w:tc>
          <w:tcPr>
            <w:tcW w:w="1455" w:type="dxa"/>
            <w:tcMar>
              <w:top w:w="60" w:type="dxa"/>
              <w:left w:w="120" w:type="dxa"/>
              <w:bottom w:w="60" w:type="dxa"/>
              <w:right w:w="120" w:type="dxa"/>
            </w:tcMar>
          </w:tcPr>
          <w:p w14:paraId="780B5769" w14:textId="77777777" w:rsidR="003507FB" w:rsidRDefault="00000000" w:rsidP="00C93365">
            <w:pPr>
              <w:widowControl w:val="0"/>
              <w:spacing w:line="240" w:lineRule="auto"/>
              <w:jc w:val="right"/>
              <w:rPr>
                <w:sz w:val="21"/>
                <w:szCs w:val="21"/>
              </w:rPr>
            </w:pPr>
            <w:r>
              <w:rPr>
                <w:sz w:val="21"/>
                <w:szCs w:val="21"/>
              </w:rPr>
              <w:t>672142.488</w:t>
            </w:r>
          </w:p>
        </w:tc>
        <w:tc>
          <w:tcPr>
            <w:tcW w:w="1440" w:type="dxa"/>
            <w:tcMar>
              <w:top w:w="60" w:type="dxa"/>
              <w:left w:w="120" w:type="dxa"/>
              <w:bottom w:w="60" w:type="dxa"/>
              <w:right w:w="120" w:type="dxa"/>
            </w:tcMar>
          </w:tcPr>
          <w:p w14:paraId="66254A3B" w14:textId="77777777" w:rsidR="003507FB" w:rsidRDefault="00000000" w:rsidP="00C93365">
            <w:pPr>
              <w:widowControl w:val="0"/>
              <w:spacing w:line="240" w:lineRule="auto"/>
              <w:jc w:val="right"/>
              <w:rPr>
                <w:sz w:val="21"/>
                <w:szCs w:val="21"/>
              </w:rPr>
            </w:pPr>
            <w:r>
              <w:rPr>
                <w:sz w:val="21"/>
                <w:szCs w:val="21"/>
              </w:rPr>
              <w:t>NaN</w:t>
            </w:r>
          </w:p>
        </w:tc>
        <w:tc>
          <w:tcPr>
            <w:tcW w:w="1470" w:type="dxa"/>
            <w:tcMar>
              <w:top w:w="60" w:type="dxa"/>
              <w:left w:w="120" w:type="dxa"/>
              <w:bottom w:w="60" w:type="dxa"/>
              <w:right w:w="120" w:type="dxa"/>
            </w:tcMar>
          </w:tcPr>
          <w:p w14:paraId="3F9DB9A3" w14:textId="77777777" w:rsidR="003507FB" w:rsidRDefault="00000000" w:rsidP="00C93365">
            <w:pPr>
              <w:widowControl w:val="0"/>
              <w:spacing w:line="240" w:lineRule="auto"/>
              <w:jc w:val="right"/>
              <w:rPr>
                <w:sz w:val="21"/>
                <w:szCs w:val="21"/>
              </w:rPr>
            </w:pPr>
            <w:r>
              <w:rPr>
                <w:sz w:val="21"/>
                <w:szCs w:val="21"/>
              </w:rPr>
              <w:t>NaN</w:t>
            </w:r>
          </w:p>
        </w:tc>
        <w:tc>
          <w:tcPr>
            <w:tcW w:w="1455" w:type="dxa"/>
            <w:tcMar>
              <w:top w:w="60" w:type="dxa"/>
              <w:left w:w="120" w:type="dxa"/>
              <w:bottom w:w="60" w:type="dxa"/>
              <w:right w:w="120" w:type="dxa"/>
            </w:tcMar>
          </w:tcPr>
          <w:p w14:paraId="20E773E4" w14:textId="77777777" w:rsidR="003507FB" w:rsidRDefault="00000000" w:rsidP="00C93365">
            <w:pPr>
              <w:widowControl w:val="0"/>
              <w:spacing w:line="240" w:lineRule="auto"/>
              <w:jc w:val="right"/>
              <w:rPr>
                <w:sz w:val="21"/>
                <w:szCs w:val="21"/>
              </w:rPr>
            </w:pPr>
            <w:r>
              <w:rPr>
                <w:sz w:val="21"/>
                <w:szCs w:val="21"/>
              </w:rPr>
              <w:t>NaN</w:t>
            </w:r>
          </w:p>
        </w:tc>
        <w:tc>
          <w:tcPr>
            <w:tcW w:w="1455" w:type="dxa"/>
            <w:tcMar>
              <w:top w:w="60" w:type="dxa"/>
              <w:left w:w="120" w:type="dxa"/>
              <w:bottom w:w="60" w:type="dxa"/>
              <w:right w:w="120" w:type="dxa"/>
            </w:tcMar>
          </w:tcPr>
          <w:p w14:paraId="6A55A4DA" w14:textId="77777777" w:rsidR="003507FB" w:rsidRDefault="00000000" w:rsidP="00C93365">
            <w:pPr>
              <w:widowControl w:val="0"/>
              <w:spacing w:line="240" w:lineRule="auto"/>
              <w:jc w:val="right"/>
              <w:rPr>
                <w:sz w:val="21"/>
                <w:szCs w:val="21"/>
              </w:rPr>
            </w:pPr>
            <w:r>
              <w:rPr>
                <w:sz w:val="21"/>
                <w:szCs w:val="21"/>
              </w:rPr>
              <w:t>NaN</w:t>
            </w:r>
          </w:p>
        </w:tc>
        <w:tc>
          <w:tcPr>
            <w:tcW w:w="1425" w:type="dxa"/>
            <w:tcMar>
              <w:top w:w="60" w:type="dxa"/>
              <w:left w:w="120" w:type="dxa"/>
              <w:bottom w:w="60" w:type="dxa"/>
              <w:right w:w="120" w:type="dxa"/>
            </w:tcMar>
          </w:tcPr>
          <w:p w14:paraId="72A233C8" w14:textId="77777777" w:rsidR="003507FB" w:rsidRDefault="00000000" w:rsidP="00C93365">
            <w:pPr>
              <w:widowControl w:val="0"/>
              <w:spacing w:line="240" w:lineRule="auto"/>
              <w:jc w:val="right"/>
              <w:rPr>
                <w:sz w:val="21"/>
                <w:szCs w:val="21"/>
              </w:rPr>
            </w:pPr>
            <w:r>
              <w:rPr>
                <w:sz w:val="21"/>
                <w:szCs w:val="21"/>
              </w:rPr>
              <w:t>NaN</w:t>
            </w:r>
          </w:p>
        </w:tc>
      </w:tr>
      <w:tr w:rsidR="003507FB" w14:paraId="0DD8B8B8" w14:textId="77777777">
        <w:tc>
          <w:tcPr>
            <w:tcW w:w="780" w:type="dxa"/>
            <w:tcMar>
              <w:top w:w="60" w:type="dxa"/>
              <w:left w:w="120" w:type="dxa"/>
              <w:bottom w:w="60" w:type="dxa"/>
              <w:right w:w="120" w:type="dxa"/>
            </w:tcMar>
          </w:tcPr>
          <w:p w14:paraId="267E84FC" w14:textId="77777777" w:rsidR="003507FB" w:rsidRDefault="00000000" w:rsidP="00C93365">
            <w:pPr>
              <w:widowControl w:val="0"/>
              <w:spacing w:line="240" w:lineRule="auto"/>
              <w:jc w:val="right"/>
              <w:rPr>
                <w:sz w:val="21"/>
                <w:szCs w:val="21"/>
              </w:rPr>
            </w:pPr>
            <w:r>
              <w:rPr>
                <w:sz w:val="21"/>
                <w:szCs w:val="21"/>
              </w:rPr>
              <w:t>1980</w:t>
            </w:r>
          </w:p>
        </w:tc>
        <w:tc>
          <w:tcPr>
            <w:tcW w:w="1455" w:type="dxa"/>
            <w:tcMar>
              <w:top w:w="60" w:type="dxa"/>
              <w:left w:w="120" w:type="dxa"/>
              <w:bottom w:w="60" w:type="dxa"/>
              <w:right w:w="120" w:type="dxa"/>
            </w:tcMar>
          </w:tcPr>
          <w:p w14:paraId="5EC07908" w14:textId="77777777" w:rsidR="003507FB" w:rsidRDefault="00000000" w:rsidP="00C93365">
            <w:pPr>
              <w:widowControl w:val="0"/>
              <w:spacing w:line="240" w:lineRule="auto"/>
              <w:jc w:val="right"/>
              <w:rPr>
                <w:sz w:val="21"/>
                <w:szCs w:val="21"/>
              </w:rPr>
            </w:pPr>
            <w:r>
              <w:rPr>
                <w:sz w:val="21"/>
                <w:szCs w:val="21"/>
              </w:rPr>
              <w:t>NaN</w:t>
            </w:r>
          </w:p>
        </w:tc>
        <w:tc>
          <w:tcPr>
            <w:tcW w:w="1440" w:type="dxa"/>
            <w:tcMar>
              <w:top w:w="60" w:type="dxa"/>
              <w:left w:w="120" w:type="dxa"/>
              <w:bottom w:w="60" w:type="dxa"/>
              <w:right w:w="120" w:type="dxa"/>
            </w:tcMar>
          </w:tcPr>
          <w:p w14:paraId="18F01EAC" w14:textId="77777777" w:rsidR="003507FB" w:rsidRDefault="00000000" w:rsidP="00C93365">
            <w:pPr>
              <w:widowControl w:val="0"/>
              <w:spacing w:line="240" w:lineRule="auto"/>
              <w:jc w:val="right"/>
              <w:rPr>
                <w:sz w:val="21"/>
                <w:szCs w:val="21"/>
              </w:rPr>
            </w:pPr>
            <w:r>
              <w:rPr>
                <w:sz w:val="21"/>
                <w:szCs w:val="21"/>
              </w:rPr>
              <w:t>337895.557</w:t>
            </w:r>
          </w:p>
        </w:tc>
        <w:tc>
          <w:tcPr>
            <w:tcW w:w="1470" w:type="dxa"/>
            <w:tcMar>
              <w:top w:w="60" w:type="dxa"/>
              <w:left w:w="120" w:type="dxa"/>
              <w:bottom w:w="60" w:type="dxa"/>
              <w:right w:w="120" w:type="dxa"/>
            </w:tcMar>
          </w:tcPr>
          <w:p w14:paraId="4ED55C23" w14:textId="77777777" w:rsidR="003507FB" w:rsidRDefault="00000000" w:rsidP="00C93365">
            <w:pPr>
              <w:widowControl w:val="0"/>
              <w:spacing w:line="240" w:lineRule="auto"/>
              <w:jc w:val="right"/>
              <w:rPr>
                <w:sz w:val="21"/>
                <w:szCs w:val="21"/>
              </w:rPr>
            </w:pPr>
            <w:r>
              <w:rPr>
                <w:sz w:val="21"/>
                <w:szCs w:val="21"/>
              </w:rPr>
              <w:t>NaN</w:t>
            </w:r>
          </w:p>
        </w:tc>
        <w:tc>
          <w:tcPr>
            <w:tcW w:w="1455" w:type="dxa"/>
            <w:tcMar>
              <w:top w:w="60" w:type="dxa"/>
              <w:left w:w="120" w:type="dxa"/>
              <w:bottom w:w="60" w:type="dxa"/>
              <w:right w:w="120" w:type="dxa"/>
            </w:tcMar>
          </w:tcPr>
          <w:p w14:paraId="6A3C98A2" w14:textId="77777777" w:rsidR="003507FB" w:rsidRDefault="00000000" w:rsidP="00C93365">
            <w:pPr>
              <w:widowControl w:val="0"/>
              <w:spacing w:line="240" w:lineRule="auto"/>
              <w:jc w:val="right"/>
              <w:rPr>
                <w:sz w:val="21"/>
                <w:szCs w:val="21"/>
              </w:rPr>
            </w:pPr>
            <w:r>
              <w:rPr>
                <w:sz w:val="21"/>
                <w:szCs w:val="21"/>
              </w:rPr>
              <w:t>NaN</w:t>
            </w:r>
          </w:p>
        </w:tc>
        <w:tc>
          <w:tcPr>
            <w:tcW w:w="1455" w:type="dxa"/>
            <w:tcMar>
              <w:top w:w="60" w:type="dxa"/>
              <w:left w:w="120" w:type="dxa"/>
              <w:bottom w:w="60" w:type="dxa"/>
              <w:right w:w="120" w:type="dxa"/>
            </w:tcMar>
          </w:tcPr>
          <w:p w14:paraId="31B86A9A" w14:textId="77777777" w:rsidR="003507FB" w:rsidRDefault="00000000" w:rsidP="00C93365">
            <w:pPr>
              <w:widowControl w:val="0"/>
              <w:spacing w:line="240" w:lineRule="auto"/>
              <w:jc w:val="right"/>
              <w:rPr>
                <w:sz w:val="21"/>
                <w:szCs w:val="21"/>
              </w:rPr>
            </w:pPr>
            <w:r>
              <w:rPr>
                <w:sz w:val="21"/>
                <w:szCs w:val="21"/>
              </w:rPr>
              <w:t>NaN</w:t>
            </w:r>
          </w:p>
        </w:tc>
        <w:tc>
          <w:tcPr>
            <w:tcW w:w="1425" w:type="dxa"/>
            <w:tcMar>
              <w:top w:w="60" w:type="dxa"/>
              <w:left w:w="120" w:type="dxa"/>
              <w:bottom w:w="60" w:type="dxa"/>
              <w:right w:w="120" w:type="dxa"/>
            </w:tcMar>
          </w:tcPr>
          <w:p w14:paraId="0ADE5111" w14:textId="77777777" w:rsidR="003507FB" w:rsidRDefault="00000000" w:rsidP="00C93365">
            <w:pPr>
              <w:widowControl w:val="0"/>
              <w:spacing w:line="240" w:lineRule="auto"/>
              <w:jc w:val="right"/>
              <w:rPr>
                <w:sz w:val="21"/>
                <w:szCs w:val="21"/>
              </w:rPr>
            </w:pPr>
            <w:r>
              <w:rPr>
                <w:sz w:val="21"/>
                <w:szCs w:val="21"/>
              </w:rPr>
              <w:t>NaN</w:t>
            </w:r>
          </w:p>
        </w:tc>
      </w:tr>
      <w:tr w:rsidR="003507FB" w14:paraId="0677C6E8" w14:textId="77777777">
        <w:tc>
          <w:tcPr>
            <w:tcW w:w="780" w:type="dxa"/>
            <w:tcMar>
              <w:top w:w="60" w:type="dxa"/>
              <w:left w:w="120" w:type="dxa"/>
              <w:bottom w:w="60" w:type="dxa"/>
              <w:right w:w="120" w:type="dxa"/>
            </w:tcMar>
          </w:tcPr>
          <w:p w14:paraId="4E331F85" w14:textId="77777777" w:rsidR="003507FB" w:rsidRDefault="00000000" w:rsidP="00C93365">
            <w:pPr>
              <w:widowControl w:val="0"/>
              <w:spacing w:line="240" w:lineRule="auto"/>
              <w:jc w:val="right"/>
              <w:rPr>
                <w:sz w:val="21"/>
                <w:szCs w:val="21"/>
              </w:rPr>
            </w:pPr>
            <w:r>
              <w:rPr>
                <w:sz w:val="21"/>
                <w:szCs w:val="21"/>
              </w:rPr>
              <w:t>1980</w:t>
            </w:r>
          </w:p>
        </w:tc>
        <w:tc>
          <w:tcPr>
            <w:tcW w:w="1455" w:type="dxa"/>
            <w:tcMar>
              <w:top w:w="60" w:type="dxa"/>
              <w:left w:w="120" w:type="dxa"/>
              <w:bottom w:w="60" w:type="dxa"/>
              <w:right w:w="120" w:type="dxa"/>
            </w:tcMar>
          </w:tcPr>
          <w:p w14:paraId="1A4CFF65" w14:textId="77777777" w:rsidR="003507FB" w:rsidRDefault="00000000" w:rsidP="00C93365">
            <w:pPr>
              <w:widowControl w:val="0"/>
              <w:spacing w:line="240" w:lineRule="auto"/>
              <w:jc w:val="right"/>
              <w:rPr>
                <w:sz w:val="21"/>
                <w:szCs w:val="21"/>
              </w:rPr>
            </w:pPr>
            <w:r>
              <w:rPr>
                <w:sz w:val="21"/>
                <w:szCs w:val="21"/>
              </w:rPr>
              <w:t>NaN</w:t>
            </w:r>
          </w:p>
        </w:tc>
        <w:tc>
          <w:tcPr>
            <w:tcW w:w="1440" w:type="dxa"/>
            <w:tcMar>
              <w:top w:w="60" w:type="dxa"/>
              <w:left w:w="120" w:type="dxa"/>
              <w:bottom w:w="60" w:type="dxa"/>
              <w:right w:w="120" w:type="dxa"/>
            </w:tcMar>
          </w:tcPr>
          <w:p w14:paraId="16EE8383" w14:textId="77777777" w:rsidR="003507FB" w:rsidRDefault="00000000" w:rsidP="00C93365">
            <w:pPr>
              <w:widowControl w:val="0"/>
              <w:spacing w:line="240" w:lineRule="auto"/>
              <w:jc w:val="right"/>
              <w:rPr>
                <w:sz w:val="21"/>
                <w:szCs w:val="21"/>
              </w:rPr>
            </w:pPr>
            <w:r>
              <w:rPr>
                <w:sz w:val="21"/>
                <w:szCs w:val="21"/>
              </w:rPr>
              <w:t>NaN</w:t>
            </w:r>
          </w:p>
        </w:tc>
        <w:tc>
          <w:tcPr>
            <w:tcW w:w="1470" w:type="dxa"/>
            <w:tcMar>
              <w:top w:w="60" w:type="dxa"/>
              <w:left w:w="120" w:type="dxa"/>
              <w:bottom w:w="60" w:type="dxa"/>
              <w:right w:w="120" w:type="dxa"/>
            </w:tcMar>
          </w:tcPr>
          <w:p w14:paraId="5737E672" w14:textId="77777777" w:rsidR="003507FB" w:rsidRDefault="00000000" w:rsidP="00C93365">
            <w:pPr>
              <w:widowControl w:val="0"/>
              <w:spacing w:line="240" w:lineRule="auto"/>
              <w:jc w:val="right"/>
              <w:rPr>
                <w:sz w:val="21"/>
                <w:szCs w:val="21"/>
              </w:rPr>
            </w:pPr>
            <w:r>
              <w:rPr>
                <w:sz w:val="21"/>
                <w:szCs w:val="21"/>
              </w:rPr>
              <w:t>181880.282</w:t>
            </w:r>
          </w:p>
        </w:tc>
        <w:tc>
          <w:tcPr>
            <w:tcW w:w="1455" w:type="dxa"/>
            <w:tcMar>
              <w:top w:w="60" w:type="dxa"/>
              <w:left w:w="120" w:type="dxa"/>
              <w:bottom w:w="60" w:type="dxa"/>
              <w:right w:w="120" w:type="dxa"/>
            </w:tcMar>
          </w:tcPr>
          <w:p w14:paraId="1690838D" w14:textId="77777777" w:rsidR="003507FB" w:rsidRDefault="00000000" w:rsidP="00C93365">
            <w:pPr>
              <w:widowControl w:val="0"/>
              <w:spacing w:line="240" w:lineRule="auto"/>
              <w:jc w:val="right"/>
              <w:rPr>
                <w:sz w:val="21"/>
                <w:szCs w:val="21"/>
              </w:rPr>
            </w:pPr>
            <w:r>
              <w:rPr>
                <w:sz w:val="21"/>
                <w:szCs w:val="21"/>
              </w:rPr>
              <w:t>NaN</w:t>
            </w:r>
          </w:p>
        </w:tc>
        <w:tc>
          <w:tcPr>
            <w:tcW w:w="1455" w:type="dxa"/>
            <w:tcMar>
              <w:top w:w="60" w:type="dxa"/>
              <w:left w:w="120" w:type="dxa"/>
              <w:bottom w:w="60" w:type="dxa"/>
              <w:right w:w="120" w:type="dxa"/>
            </w:tcMar>
          </w:tcPr>
          <w:p w14:paraId="41136D6C" w14:textId="77777777" w:rsidR="003507FB" w:rsidRDefault="00000000" w:rsidP="00C93365">
            <w:pPr>
              <w:widowControl w:val="0"/>
              <w:spacing w:line="240" w:lineRule="auto"/>
              <w:jc w:val="right"/>
              <w:rPr>
                <w:sz w:val="21"/>
                <w:szCs w:val="21"/>
              </w:rPr>
            </w:pPr>
            <w:r>
              <w:rPr>
                <w:sz w:val="21"/>
                <w:szCs w:val="21"/>
              </w:rPr>
              <w:t>NaN</w:t>
            </w:r>
          </w:p>
        </w:tc>
        <w:tc>
          <w:tcPr>
            <w:tcW w:w="1425" w:type="dxa"/>
            <w:tcMar>
              <w:top w:w="60" w:type="dxa"/>
              <w:left w:w="120" w:type="dxa"/>
              <w:bottom w:w="60" w:type="dxa"/>
              <w:right w:w="120" w:type="dxa"/>
            </w:tcMar>
          </w:tcPr>
          <w:p w14:paraId="2159A0BA" w14:textId="77777777" w:rsidR="003507FB" w:rsidRDefault="00000000" w:rsidP="00C93365">
            <w:pPr>
              <w:widowControl w:val="0"/>
              <w:spacing w:line="240" w:lineRule="auto"/>
              <w:jc w:val="right"/>
              <w:rPr>
                <w:sz w:val="21"/>
                <w:szCs w:val="21"/>
              </w:rPr>
            </w:pPr>
            <w:r>
              <w:rPr>
                <w:sz w:val="21"/>
                <w:szCs w:val="21"/>
              </w:rPr>
              <w:t>NaN</w:t>
            </w:r>
          </w:p>
        </w:tc>
      </w:tr>
    </w:tbl>
    <w:p w14:paraId="3C1662C3" w14:textId="77777777" w:rsidR="003507FB" w:rsidRPr="000D197F" w:rsidRDefault="00000000" w:rsidP="00C93365">
      <w:pPr>
        <w:spacing w:line="240" w:lineRule="auto"/>
        <w:rPr>
          <w:color w:val="4F81BD" w:themeColor="accent1"/>
          <w:sz w:val="16"/>
          <w:szCs w:val="16"/>
        </w:rPr>
      </w:pPr>
      <w:r w:rsidRPr="000D197F">
        <w:rPr>
          <w:color w:val="4F81BD" w:themeColor="accent1"/>
          <w:sz w:val="16"/>
          <w:szCs w:val="16"/>
        </w:rPr>
        <w:t xml:space="preserve">Table 1: deadweight_per_year DF before formatting </w:t>
      </w:r>
    </w:p>
    <w:p w14:paraId="41D79A52" w14:textId="77777777" w:rsidR="003507FB" w:rsidRDefault="003507FB" w:rsidP="00C93365">
      <w:pPr>
        <w:spacing w:line="240" w:lineRule="auto"/>
      </w:pPr>
    </w:p>
    <w:tbl>
      <w:tblPr>
        <w:tblStyle w:val="a0"/>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40"/>
        <w:gridCol w:w="1425"/>
        <w:gridCol w:w="1425"/>
        <w:gridCol w:w="1440"/>
        <w:gridCol w:w="1485"/>
        <w:gridCol w:w="1455"/>
      </w:tblGrid>
      <w:tr w:rsidR="003507FB" w14:paraId="23EA28B3" w14:textId="77777777">
        <w:tc>
          <w:tcPr>
            <w:tcW w:w="870" w:type="dxa"/>
            <w:tcMar>
              <w:top w:w="60" w:type="dxa"/>
              <w:left w:w="120" w:type="dxa"/>
              <w:bottom w:w="60" w:type="dxa"/>
              <w:right w:w="120" w:type="dxa"/>
            </w:tcMar>
            <w:vAlign w:val="center"/>
          </w:tcPr>
          <w:p w14:paraId="07482092" w14:textId="77777777" w:rsidR="003507FB" w:rsidRDefault="00000000" w:rsidP="00C93365">
            <w:pPr>
              <w:widowControl w:val="0"/>
              <w:spacing w:line="240" w:lineRule="auto"/>
              <w:jc w:val="right"/>
              <w:rPr>
                <w:sz w:val="21"/>
                <w:szCs w:val="21"/>
              </w:rPr>
            </w:pPr>
            <w:r>
              <w:rPr>
                <w:b/>
                <w:sz w:val="21"/>
                <w:szCs w:val="21"/>
              </w:rPr>
              <w:t>Year</w:t>
            </w:r>
          </w:p>
        </w:tc>
        <w:tc>
          <w:tcPr>
            <w:tcW w:w="1440" w:type="dxa"/>
            <w:tcMar>
              <w:top w:w="60" w:type="dxa"/>
              <w:left w:w="120" w:type="dxa"/>
              <w:bottom w:w="60" w:type="dxa"/>
              <w:right w:w="120" w:type="dxa"/>
            </w:tcMar>
            <w:vAlign w:val="center"/>
          </w:tcPr>
          <w:p w14:paraId="75164047" w14:textId="77777777" w:rsidR="003507FB" w:rsidRDefault="00000000" w:rsidP="00C93365">
            <w:pPr>
              <w:widowControl w:val="0"/>
              <w:spacing w:line="240" w:lineRule="auto"/>
              <w:jc w:val="right"/>
              <w:rPr>
                <w:sz w:val="21"/>
                <w:szCs w:val="21"/>
              </w:rPr>
            </w:pPr>
            <w:r>
              <w:rPr>
                <w:b/>
                <w:sz w:val="21"/>
                <w:szCs w:val="21"/>
              </w:rPr>
              <w:t>Deadweight All</w:t>
            </w:r>
          </w:p>
        </w:tc>
        <w:tc>
          <w:tcPr>
            <w:tcW w:w="1425" w:type="dxa"/>
            <w:tcMar>
              <w:top w:w="60" w:type="dxa"/>
              <w:left w:w="120" w:type="dxa"/>
              <w:bottom w:w="60" w:type="dxa"/>
              <w:right w:w="120" w:type="dxa"/>
            </w:tcMar>
            <w:vAlign w:val="center"/>
          </w:tcPr>
          <w:p w14:paraId="71ACC951" w14:textId="77777777" w:rsidR="003507FB" w:rsidRDefault="00000000" w:rsidP="00C93365">
            <w:pPr>
              <w:widowControl w:val="0"/>
              <w:spacing w:line="240" w:lineRule="auto"/>
              <w:jc w:val="right"/>
              <w:rPr>
                <w:sz w:val="21"/>
                <w:szCs w:val="21"/>
              </w:rPr>
            </w:pPr>
            <w:r>
              <w:rPr>
                <w:b/>
                <w:sz w:val="21"/>
                <w:szCs w:val="21"/>
              </w:rPr>
              <w:t>Deadweight Tankers</w:t>
            </w:r>
          </w:p>
        </w:tc>
        <w:tc>
          <w:tcPr>
            <w:tcW w:w="1425" w:type="dxa"/>
            <w:tcMar>
              <w:top w:w="60" w:type="dxa"/>
              <w:left w:w="120" w:type="dxa"/>
              <w:bottom w:w="60" w:type="dxa"/>
              <w:right w:w="120" w:type="dxa"/>
            </w:tcMar>
            <w:vAlign w:val="center"/>
          </w:tcPr>
          <w:p w14:paraId="0CB42D6D" w14:textId="77777777" w:rsidR="003507FB" w:rsidRDefault="00000000" w:rsidP="00C93365">
            <w:pPr>
              <w:widowControl w:val="0"/>
              <w:spacing w:line="240" w:lineRule="auto"/>
              <w:jc w:val="right"/>
              <w:rPr>
                <w:sz w:val="21"/>
                <w:szCs w:val="21"/>
              </w:rPr>
            </w:pPr>
            <w:r>
              <w:rPr>
                <w:b/>
                <w:sz w:val="21"/>
                <w:szCs w:val="21"/>
              </w:rPr>
              <w:t>Deadweight Bulk</w:t>
            </w:r>
          </w:p>
        </w:tc>
        <w:tc>
          <w:tcPr>
            <w:tcW w:w="1440" w:type="dxa"/>
            <w:tcMar>
              <w:top w:w="60" w:type="dxa"/>
              <w:left w:w="120" w:type="dxa"/>
              <w:bottom w:w="60" w:type="dxa"/>
              <w:right w:w="120" w:type="dxa"/>
            </w:tcMar>
            <w:vAlign w:val="center"/>
          </w:tcPr>
          <w:p w14:paraId="773F71F5" w14:textId="77777777" w:rsidR="003507FB" w:rsidRDefault="00000000" w:rsidP="00C93365">
            <w:pPr>
              <w:widowControl w:val="0"/>
              <w:spacing w:line="240" w:lineRule="auto"/>
              <w:jc w:val="right"/>
              <w:rPr>
                <w:sz w:val="21"/>
                <w:szCs w:val="21"/>
              </w:rPr>
            </w:pPr>
            <w:r>
              <w:rPr>
                <w:b/>
                <w:sz w:val="21"/>
                <w:szCs w:val="21"/>
              </w:rPr>
              <w:t>Deadweight General Cargo</w:t>
            </w:r>
          </w:p>
        </w:tc>
        <w:tc>
          <w:tcPr>
            <w:tcW w:w="1485" w:type="dxa"/>
            <w:tcMar>
              <w:top w:w="60" w:type="dxa"/>
              <w:left w:w="120" w:type="dxa"/>
              <w:bottom w:w="60" w:type="dxa"/>
              <w:right w:w="120" w:type="dxa"/>
            </w:tcMar>
            <w:vAlign w:val="center"/>
          </w:tcPr>
          <w:p w14:paraId="5803A928" w14:textId="77777777" w:rsidR="003507FB" w:rsidRDefault="00000000" w:rsidP="00C93365">
            <w:pPr>
              <w:widowControl w:val="0"/>
              <w:spacing w:line="240" w:lineRule="auto"/>
              <w:jc w:val="right"/>
              <w:rPr>
                <w:sz w:val="21"/>
                <w:szCs w:val="21"/>
              </w:rPr>
            </w:pPr>
            <w:r>
              <w:rPr>
                <w:b/>
                <w:sz w:val="21"/>
                <w:szCs w:val="21"/>
              </w:rPr>
              <w:t>Deadweight Container</w:t>
            </w:r>
          </w:p>
        </w:tc>
        <w:tc>
          <w:tcPr>
            <w:tcW w:w="1455" w:type="dxa"/>
            <w:tcMar>
              <w:top w:w="60" w:type="dxa"/>
              <w:left w:w="120" w:type="dxa"/>
              <w:bottom w:w="60" w:type="dxa"/>
              <w:right w:w="120" w:type="dxa"/>
            </w:tcMar>
            <w:vAlign w:val="center"/>
          </w:tcPr>
          <w:p w14:paraId="1F7D45C4" w14:textId="77777777" w:rsidR="003507FB" w:rsidRDefault="00000000" w:rsidP="00C93365">
            <w:pPr>
              <w:widowControl w:val="0"/>
              <w:spacing w:line="240" w:lineRule="auto"/>
              <w:jc w:val="right"/>
              <w:rPr>
                <w:sz w:val="21"/>
                <w:szCs w:val="21"/>
              </w:rPr>
            </w:pPr>
            <w:r>
              <w:rPr>
                <w:b/>
                <w:sz w:val="21"/>
                <w:szCs w:val="21"/>
              </w:rPr>
              <w:t>Deadweight Other</w:t>
            </w:r>
          </w:p>
        </w:tc>
      </w:tr>
      <w:tr w:rsidR="003507FB" w14:paraId="5A7D7312" w14:textId="77777777">
        <w:tc>
          <w:tcPr>
            <w:tcW w:w="870" w:type="dxa"/>
            <w:tcMar>
              <w:top w:w="60" w:type="dxa"/>
              <w:left w:w="120" w:type="dxa"/>
              <w:bottom w:w="60" w:type="dxa"/>
              <w:right w:w="120" w:type="dxa"/>
            </w:tcMar>
            <w:vAlign w:val="center"/>
          </w:tcPr>
          <w:p w14:paraId="69283337" w14:textId="77777777" w:rsidR="003507FB" w:rsidRDefault="00000000" w:rsidP="00C93365">
            <w:pPr>
              <w:widowControl w:val="0"/>
              <w:spacing w:line="240" w:lineRule="auto"/>
              <w:jc w:val="right"/>
              <w:rPr>
                <w:sz w:val="21"/>
                <w:szCs w:val="21"/>
              </w:rPr>
            </w:pPr>
            <w:r>
              <w:rPr>
                <w:sz w:val="21"/>
                <w:szCs w:val="21"/>
              </w:rPr>
              <w:t>1980</w:t>
            </w:r>
          </w:p>
        </w:tc>
        <w:tc>
          <w:tcPr>
            <w:tcW w:w="1440" w:type="dxa"/>
            <w:tcMar>
              <w:top w:w="60" w:type="dxa"/>
              <w:left w:w="120" w:type="dxa"/>
              <w:bottom w:w="60" w:type="dxa"/>
              <w:right w:w="120" w:type="dxa"/>
            </w:tcMar>
          </w:tcPr>
          <w:p w14:paraId="4641BD2A" w14:textId="77777777" w:rsidR="003507FB" w:rsidRDefault="00000000" w:rsidP="00C93365">
            <w:pPr>
              <w:widowControl w:val="0"/>
              <w:spacing w:line="240" w:lineRule="auto"/>
              <w:jc w:val="right"/>
              <w:rPr>
                <w:sz w:val="21"/>
                <w:szCs w:val="21"/>
              </w:rPr>
            </w:pPr>
            <w:r>
              <w:rPr>
                <w:sz w:val="21"/>
                <w:szCs w:val="21"/>
              </w:rPr>
              <w:t>672142.488</w:t>
            </w:r>
          </w:p>
        </w:tc>
        <w:tc>
          <w:tcPr>
            <w:tcW w:w="1425" w:type="dxa"/>
            <w:tcMar>
              <w:top w:w="60" w:type="dxa"/>
              <w:left w:w="120" w:type="dxa"/>
              <w:bottom w:w="60" w:type="dxa"/>
              <w:right w:w="120" w:type="dxa"/>
            </w:tcMar>
          </w:tcPr>
          <w:p w14:paraId="6302DB95" w14:textId="77777777" w:rsidR="003507FB" w:rsidRDefault="00000000" w:rsidP="00C93365">
            <w:pPr>
              <w:widowControl w:val="0"/>
              <w:spacing w:line="240" w:lineRule="auto"/>
              <w:jc w:val="right"/>
              <w:rPr>
                <w:sz w:val="21"/>
                <w:szCs w:val="21"/>
              </w:rPr>
            </w:pPr>
            <w:r>
              <w:rPr>
                <w:sz w:val="21"/>
                <w:szCs w:val="21"/>
              </w:rPr>
              <w:t>337895.557</w:t>
            </w:r>
          </w:p>
        </w:tc>
        <w:tc>
          <w:tcPr>
            <w:tcW w:w="1425" w:type="dxa"/>
            <w:tcMar>
              <w:top w:w="60" w:type="dxa"/>
              <w:left w:w="120" w:type="dxa"/>
              <w:bottom w:w="60" w:type="dxa"/>
              <w:right w:w="120" w:type="dxa"/>
            </w:tcMar>
          </w:tcPr>
          <w:p w14:paraId="7FAECF79" w14:textId="77777777" w:rsidR="003507FB" w:rsidRDefault="00000000" w:rsidP="00C93365">
            <w:pPr>
              <w:widowControl w:val="0"/>
              <w:spacing w:line="240" w:lineRule="auto"/>
              <w:jc w:val="right"/>
              <w:rPr>
                <w:sz w:val="21"/>
                <w:szCs w:val="21"/>
              </w:rPr>
            </w:pPr>
            <w:r>
              <w:rPr>
                <w:sz w:val="21"/>
                <w:szCs w:val="21"/>
              </w:rPr>
              <w:t>181880.282</w:t>
            </w:r>
          </w:p>
        </w:tc>
        <w:tc>
          <w:tcPr>
            <w:tcW w:w="1440" w:type="dxa"/>
            <w:tcMar>
              <w:top w:w="60" w:type="dxa"/>
              <w:left w:w="120" w:type="dxa"/>
              <w:bottom w:w="60" w:type="dxa"/>
              <w:right w:w="120" w:type="dxa"/>
            </w:tcMar>
          </w:tcPr>
          <w:p w14:paraId="705A47D2" w14:textId="77777777" w:rsidR="003507FB" w:rsidRDefault="00000000" w:rsidP="00C93365">
            <w:pPr>
              <w:widowControl w:val="0"/>
              <w:spacing w:line="240" w:lineRule="auto"/>
              <w:jc w:val="right"/>
              <w:rPr>
                <w:sz w:val="21"/>
                <w:szCs w:val="21"/>
              </w:rPr>
            </w:pPr>
            <w:r>
              <w:rPr>
                <w:sz w:val="21"/>
                <w:szCs w:val="21"/>
              </w:rPr>
              <w:t>112840.897</w:t>
            </w:r>
          </w:p>
        </w:tc>
        <w:tc>
          <w:tcPr>
            <w:tcW w:w="1485" w:type="dxa"/>
            <w:tcMar>
              <w:top w:w="60" w:type="dxa"/>
              <w:left w:w="120" w:type="dxa"/>
              <w:bottom w:w="60" w:type="dxa"/>
              <w:right w:w="120" w:type="dxa"/>
            </w:tcMar>
          </w:tcPr>
          <w:p w14:paraId="52822EA9" w14:textId="77777777" w:rsidR="003507FB" w:rsidRDefault="00000000" w:rsidP="00C93365">
            <w:pPr>
              <w:widowControl w:val="0"/>
              <w:spacing w:line="240" w:lineRule="auto"/>
              <w:jc w:val="right"/>
              <w:rPr>
                <w:sz w:val="21"/>
                <w:szCs w:val="21"/>
              </w:rPr>
            </w:pPr>
            <w:r>
              <w:rPr>
                <w:sz w:val="21"/>
                <w:szCs w:val="21"/>
              </w:rPr>
              <w:t>10290.114</w:t>
            </w:r>
          </w:p>
        </w:tc>
        <w:tc>
          <w:tcPr>
            <w:tcW w:w="1455" w:type="dxa"/>
            <w:tcMar>
              <w:top w:w="60" w:type="dxa"/>
              <w:left w:w="120" w:type="dxa"/>
              <w:bottom w:w="60" w:type="dxa"/>
              <w:right w:w="120" w:type="dxa"/>
            </w:tcMar>
          </w:tcPr>
          <w:p w14:paraId="6744EE79" w14:textId="77777777" w:rsidR="003507FB" w:rsidRDefault="00000000" w:rsidP="00C93365">
            <w:pPr>
              <w:widowControl w:val="0"/>
              <w:spacing w:line="240" w:lineRule="auto"/>
              <w:jc w:val="right"/>
              <w:rPr>
                <w:sz w:val="21"/>
                <w:szCs w:val="21"/>
              </w:rPr>
            </w:pPr>
            <w:r>
              <w:rPr>
                <w:sz w:val="21"/>
                <w:szCs w:val="21"/>
              </w:rPr>
              <w:t>29235.638</w:t>
            </w:r>
          </w:p>
        </w:tc>
      </w:tr>
      <w:tr w:rsidR="003507FB" w14:paraId="110AB84A" w14:textId="77777777">
        <w:tc>
          <w:tcPr>
            <w:tcW w:w="870" w:type="dxa"/>
            <w:tcMar>
              <w:top w:w="60" w:type="dxa"/>
              <w:left w:w="120" w:type="dxa"/>
              <w:bottom w:w="60" w:type="dxa"/>
              <w:right w:w="120" w:type="dxa"/>
            </w:tcMar>
            <w:vAlign w:val="center"/>
          </w:tcPr>
          <w:p w14:paraId="19B44E96" w14:textId="77777777" w:rsidR="003507FB" w:rsidRDefault="00000000" w:rsidP="00C93365">
            <w:pPr>
              <w:widowControl w:val="0"/>
              <w:spacing w:line="240" w:lineRule="auto"/>
              <w:jc w:val="right"/>
              <w:rPr>
                <w:sz w:val="21"/>
                <w:szCs w:val="21"/>
              </w:rPr>
            </w:pPr>
            <w:r>
              <w:rPr>
                <w:sz w:val="21"/>
                <w:szCs w:val="21"/>
              </w:rPr>
              <w:t>1981</w:t>
            </w:r>
          </w:p>
        </w:tc>
        <w:tc>
          <w:tcPr>
            <w:tcW w:w="1440" w:type="dxa"/>
            <w:tcMar>
              <w:top w:w="60" w:type="dxa"/>
              <w:left w:w="120" w:type="dxa"/>
              <w:bottom w:w="60" w:type="dxa"/>
              <w:right w:w="120" w:type="dxa"/>
            </w:tcMar>
          </w:tcPr>
          <w:p w14:paraId="35378A30" w14:textId="77777777" w:rsidR="003507FB" w:rsidRDefault="00000000" w:rsidP="00C93365">
            <w:pPr>
              <w:widowControl w:val="0"/>
              <w:spacing w:line="240" w:lineRule="auto"/>
              <w:jc w:val="right"/>
              <w:rPr>
                <w:sz w:val="21"/>
                <w:szCs w:val="21"/>
              </w:rPr>
            </w:pPr>
            <w:r>
              <w:rPr>
                <w:sz w:val="21"/>
                <w:szCs w:val="21"/>
              </w:rPr>
              <w:t>679704.794</w:t>
            </w:r>
          </w:p>
        </w:tc>
        <w:tc>
          <w:tcPr>
            <w:tcW w:w="1425" w:type="dxa"/>
            <w:tcMar>
              <w:top w:w="60" w:type="dxa"/>
              <w:left w:w="120" w:type="dxa"/>
              <w:bottom w:w="60" w:type="dxa"/>
              <w:right w:w="120" w:type="dxa"/>
            </w:tcMar>
          </w:tcPr>
          <w:p w14:paraId="2EBD2808" w14:textId="77777777" w:rsidR="003507FB" w:rsidRDefault="00000000" w:rsidP="00C93365">
            <w:pPr>
              <w:widowControl w:val="0"/>
              <w:spacing w:line="240" w:lineRule="auto"/>
              <w:jc w:val="right"/>
              <w:rPr>
                <w:sz w:val="21"/>
                <w:szCs w:val="21"/>
              </w:rPr>
            </w:pPr>
            <w:r>
              <w:rPr>
                <w:sz w:val="21"/>
                <w:szCs w:val="21"/>
              </w:rPr>
              <w:t>338616.336</w:t>
            </w:r>
          </w:p>
        </w:tc>
        <w:tc>
          <w:tcPr>
            <w:tcW w:w="1425" w:type="dxa"/>
            <w:tcMar>
              <w:top w:w="60" w:type="dxa"/>
              <w:left w:w="120" w:type="dxa"/>
              <w:bottom w:w="60" w:type="dxa"/>
              <w:right w:w="120" w:type="dxa"/>
            </w:tcMar>
          </w:tcPr>
          <w:p w14:paraId="29B59785" w14:textId="77777777" w:rsidR="003507FB" w:rsidRDefault="00000000" w:rsidP="00C93365">
            <w:pPr>
              <w:widowControl w:val="0"/>
              <w:spacing w:line="240" w:lineRule="auto"/>
              <w:jc w:val="right"/>
              <w:rPr>
                <w:sz w:val="21"/>
                <w:szCs w:val="21"/>
              </w:rPr>
            </w:pPr>
            <w:r>
              <w:rPr>
                <w:sz w:val="21"/>
                <w:szCs w:val="21"/>
              </w:rPr>
              <w:t>184501.243</w:t>
            </w:r>
          </w:p>
        </w:tc>
        <w:tc>
          <w:tcPr>
            <w:tcW w:w="1440" w:type="dxa"/>
            <w:tcMar>
              <w:top w:w="60" w:type="dxa"/>
              <w:left w:w="120" w:type="dxa"/>
              <w:bottom w:w="60" w:type="dxa"/>
              <w:right w:w="120" w:type="dxa"/>
            </w:tcMar>
          </w:tcPr>
          <w:p w14:paraId="36829046" w14:textId="77777777" w:rsidR="003507FB" w:rsidRDefault="00000000" w:rsidP="00C93365">
            <w:pPr>
              <w:widowControl w:val="0"/>
              <w:spacing w:line="240" w:lineRule="auto"/>
              <w:jc w:val="right"/>
              <w:rPr>
                <w:sz w:val="21"/>
                <w:szCs w:val="21"/>
              </w:rPr>
            </w:pPr>
            <w:r>
              <w:rPr>
                <w:sz w:val="21"/>
                <w:szCs w:val="21"/>
              </w:rPr>
              <w:t>114832.851</w:t>
            </w:r>
          </w:p>
        </w:tc>
        <w:tc>
          <w:tcPr>
            <w:tcW w:w="1485" w:type="dxa"/>
            <w:tcMar>
              <w:top w:w="60" w:type="dxa"/>
              <w:left w:w="120" w:type="dxa"/>
              <w:bottom w:w="60" w:type="dxa"/>
              <w:right w:w="120" w:type="dxa"/>
            </w:tcMar>
          </w:tcPr>
          <w:p w14:paraId="49E5A7CB" w14:textId="77777777" w:rsidR="003507FB" w:rsidRDefault="00000000" w:rsidP="00C93365">
            <w:pPr>
              <w:widowControl w:val="0"/>
              <w:spacing w:line="240" w:lineRule="auto"/>
              <w:jc w:val="right"/>
              <w:rPr>
                <w:sz w:val="21"/>
                <w:szCs w:val="21"/>
              </w:rPr>
            </w:pPr>
            <w:r>
              <w:rPr>
                <w:sz w:val="21"/>
                <w:szCs w:val="21"/>
              </w:rPr>
              <w:t>11060.523</w:t>
            </w:r>
          </w:p>
        </w:tc>
        <w:tc>
          <w:tcPr>
            <w:tcW w:w="1455" w:type="dxa"/>
            <w:tcMar>
              <w:top w:w="60" w:type="dxa"/>
              <w:left w:w="120" w:type="dxa"/>
              <w:bottom w:w="60" w:type="dxa"/>
              <w:right w:w="120" w:type="dxa"/>
            </w:tcMar>
          </w:tcPr>
          <w:p w14:paraId="0A62F2D6" w14:textId="77777777" w:rsidR="003507FB" w:rsidRDefault="00000000" w:rsidP="00C93365">
            <w:pPr>
              <w:widowControl w:val="0"/>
              <w:spacing w:line="240" w:lineRule="auto"/>
              <w:jc w:val="right"/>
              <w:rPr>
                <w:sz w:val="21"/>
                <w:szCs w:val="21"/>
              </w:rPr>
            </w:pPr>
            <w:r>
              <w:rPr>
                <w:sz w:val="21"/>
                <w:szCs w:val="21"/>
              </w:rPr>
              <w:t>30693.841</w:t>
            </w:r>
          </w:p>
        </w:tc>
      </w:tr>
      <w:tr w:rsidR="003507FB" w14:paraId="5FFAD42E" w14:textId="77777777">
        <w:tc>
          <w:tcPr>
            <w:tcW w:w="870" w:type="dxa"/>
            <w:tcMar>
              <w:top w:w="60" w:type="dxa"/>
              <w:left w:w="120" w:type="dxa"/>
              <w:bottom w:w="60" w:type="dxa"/>
              <w:right w:w="120" w:type="dxa"/>
            </w:tcMar>
            <w:vAlign w:val="center"/>
          </w:tcPr>
          <w:p w14:paraId="634C995E" w14:textId="77777777" w:rsidR="003507FB" w:rsidRDefault="00000000" w:rsidP="00C93365">
            <w:pPr>
              <w:widowControl w:val="0"/>
              <w:spacing w:line="240" w:lineRule="auto"/>
              <w:jc w:val="right"/>
              <w:rPr>
                <w:sz w:val="21"/>
                <w:szCs w:val="21"/>
              </w:rPr>
            </w:pPr>
            <w:r>
              <w:rPr>
                <w:sz w:val="21"/>
                <w:szCs w:val="21"/>
              </w:rPr>
              <w:t>1982</w:t>
            </w:r>
          </w:p>
        </w:tc>
        <w:tc>
          <w:tcPr>
            <w:tcW w:w="1440" w:type="dxa"/>
            <w:tcMar>
              <w:top w:w="60" w:type="dxa"/>
              <w:left w:w="120" w:type="dxa"/>
              <w:bottom w:w="60" w:type="dxa"/>
              <w:right w:w="120" w:type="dxa"/>
            </w:tcMar>
          </w:tcPr>
          <w:p w14:paraId="0CA4849E" w14:textId="77777777" w:rsidR="003507FB" w:rsidRDefault="00000000" w:rsidP="00C93365">
            <w:pPr>
              <w:widowControl w:val="0"/>
              <w:spacing w:line="240" w:lineRule="auto"/>
              <w:jc w:val="right"/>
              <w:rPr>
                <w:sz w:val="21"/>
                <w:szCs w:val="21"/>
              </w:rPr>
            </w:pPr>
            <w:r>
              <w:rPr>
                <w:sz w:val="21"/>
                <w:szCs w:val="21"/>
              </w:rPr>
              <w:t>686028.910</w:t>
            </w:r>
          </w:p>
        </w:tc>
        <w:tc>
          <w:tcPr>
            <w:tcW w:w="1425" w:type="dxa"/>
            <w:tcMar>
              <w:top w:w="60" w:type="dxa"/>
              <w:left w:w="120" w:type="dxa"/>
              <w:bottom w:w="60" w:type="dxa"/>
              <w:right w:w="120" w:type="dxa"/>
            </w:tcMar>
          </w:tcPr>
          <w:p w14:paraId="1E80503B" w14:textId="77777777" w:rsidR="003507FB" w:rsidRDefault="00000000" w:rsidP="00C93365">
            <w:pPr>
              <w:widowControl w:val="0"/>
              <w:spacing w:line="240" w:lineRule="auto"/>
              <w:jc w:val="right"/>
              <w:rPr>
                <w:sz w:val="21"/>
                <w:szCs w:val="21"/>
              </w:rPr>
            </w:pPr>
            <w:r>
              <w:rPr>
                <w:sz w:val="21"/>
                <w:szCs w:val="21"/>
              </w:rPr>
              <w:t>334237.813</w:t>
            </w:r>
          </w:p>
        </w:tc>
        <w:tc>
          <w:tcPr>
            <w:tcW w:w="1425" w:type="dxa"/>
            <w:tcMar>
              <w:top w:w="60" w:type="dxa"/>
              <w:left w:w="120" w:type="dxa"/>
              <w:bottom w:w="60" w:type="dxa"/>
              <w:right w:w="120" w:type="dxa"/>
            </w:tcMar>
          </w:tcPr>
          <w:p w14:paraId="3B92AF11" w14:textId="77777777" w:rsidR="003507FB" w:rsidRDefault="00000000" w:rsidP="00C93365">
            <w:pPr>
              <w:widowControl w:val="0"/>
              <w:spacing w:line="240" w:lineRule="auto"/>
              <w:jc w:val="right"/>
              <w:rPr>
                <w:sz w:val="21"/>
                <w:szCs w:val="21"/>
              </w:rPr>
            </w:pPr>
            <w:r>
              <w:rPr>
                <w:sz w:val="21"/>
                <w:szCs w:val="21"/>
              </w:rPr>
              <w:t>193217.208</w:t>
            </w:r>
          </w:p>
        </w:tc>
        <w:tc>
          <w:tcPr>
            <w:tcW w:w="1440" w:type="dxa"/>
            <w:tcMar>
              <w:top w:w="60" w:type="dxa"/>
              <w:left w:w="120" w:type="dxa"/>
              <w:bottom w:w="60" w:type="dxa"/>
              <w:right w:w="120" w:type="dxa"/>
            </w:tcMar>
          </w:tcPr>
          <w:p w14:paraId="0552EB88" w14:textId="77777777" w:rsidR="003507FB" w:rsidRDefault="00000000" w:rsidP="00C93365">
            <w:pPr>
              <w:widowControl w:val="0"/>
              <w:spacing w:line="240" w:lineRule="auto"/>
              <w:jc w:val="right"/>
              <w:rPr>
                <w:sz w:val="21"/>
                <w:szCs w:val="21"/>
              </w:rPr>
            </w:pPr>
            <w:r>
              <w:rPr>
                <w:sz w:val="21"/>
                <w:szCs w:val="21"/>
              </w:rPr>
              <w:t>113293.837</w:t>
            </w:r>
          </w:p>
        </w:tc>
        <w:tc>
          <w:tcPr>
            <w:tcW w:w="1485" w:type="dxa"/>
            <w:tcMar>
              <w:top w:w="60" w:type="dxa"/>
              <w:left w:w="120" w:type="dxa"/>
              <w:bottom w:w="60" w:type="dxa"/>
              <w:right w:w="120" w:type="dxa"/>
            </w:tcMar>
          </w:tcPr>
          <w:p w14:paraId="59227767" w14:textId="77777777" w:rsidR="003507FB" w:rsidRDefault="00000000" w:rsidP="00C93365">
            <w:pPr>
              <w:widowControl w:val="0"/>
              <w:spacing w:line="240" w:lineRule="auto"/>
              <w:jc w:val="right"/>
              <w:rPr>
                <w:sz w:val="21"/>
                <w:szCs w:val="21"/>
              </w:rPr>
            </w:pPr>
            <w:r>
              <w:rPr>
                <w:sz w:val="21"/>
                <w:szCs w:val="21"/>
              </w:rPr>
              <w:t>12108.264</w:t>
            </w:r>
          </w:p>
        </w:tc>
        <w:tc>
          <w:tcPr>
            <w:tcW w:w="1455" w:type="dxa"/>
            <w:tcMar>
              <w:top w:w="60" w:type="dxa"/>
              <w:left w:w="120" w:type="dxa"/>
              <w:bottom w:w="60" w:type="dxa"/>
              <w:right w:w="120" w:type="dxa"/>
            </w:tcMar>
          </w:tcPr>
          <w:p w14:paraId="1A4B90B3" w14:textId="77777777" w:rsidR="003507FB" w:rsidRDefault="00000000" w:rsidP="00C93365">
            <w:pPr>
              <w:widowControl w:val="0"/>
              <w:spacing w:line="240" w:lineRule="auto"/>
              <w:jc w:val="right"/>
              <w:rPr>
                <w:sz w:val="21"/>
                <w:szCs w:val="21"/>
              </w:rPr>
            </w:pPr>
            <w:r>
              <w:rPr>
                <w:sz w:val="21"/>
                <w:szCs w:val="21"/>
              </w:rPr>
              <w:t>33171.788</w:t>
            </w:r>
          </w:p>
        </w:tc>
      </w:tr>
    </w:tbl>
    <w:p w14:paraId="34AAC88C" w14:textId="77777777" w:rsidR="003507FB" w:rsidRPr="000D197F" w:rsidRDefault="00000000" w:rsidP="00C93365">
      <w:pPr>
        <w:spacing w:line="240" w:lineRule="auto"/>
        <w:rPr>
          <w:color w:val="4F81BD" w:themeColor="accent1"/>
          <w:sz w:val="16"/>
          <w:szCs w:val="16"/>
        </w:rPr>
      </w:pPr>
      <w:r w:rsidRPr="000D197F">
        <w:rPr>
          <w:color w:val="4F81BD" w:themeColor="accent1"/>
          <w:sz w:val="16"/>
          <w:szCs w:val="16"/>
        </w:rPr>
        <w:t>Table 2: deadweight_per_year DF after formatting</w:t>
      </w:r>
    </w:p>
    <w:p w14:paraId="16DC628D" w14:textId="77777777" w:rsidR="003507FB" w:rsidRDefault="00000000" w:rsidP="00C93365">
      <w:pPr>
        <w:spacing w:after="120" w:line="240" w:lineRule="auto"/>
        <w:rPr>
          <w:b/>
          <w:color w:val="666666"/>
        </w:rPr>
      </w:pPr>
      <w:r>
        <w:rPr>
          <w:b/>
          <w:color w:val="666666"/>
        </w:rPr>
        <w:t>Graphing the data</w:t>
      </w:r>
    </w:p>
    <w:p w14:paraId="1FBD7DD6" w14:textId="10222649" w:rsidR="003507FB" w:rsidRDefault="00C93365" w:rsidP="00C93365">
      <w:pPr>
        <w:spacing w:after="240" w:line="240" w:lineRule="auto"/>
        <w:rPr>
          <w:b/>
        </w:rPr>
      </w:pPr>
      <w:r>
        <w:rPr>
          <w:noProof/>
        </w:rPr>
        <w:drawing>
          <wp:anchor distT="114300" distB="114300" distL="114300" distR="114300" simplePos="0" relativeHeight="251658240" behindDoc="0" locked="0" layoutInCell="1" hidden="0" allowOverlap="1" wp14:anchorId="573EEAE9" wp14:editId="78BC4783">
            <wp:simplePos x="0" y="0"/>
            <wp:positionH relativeFrom="margin">
              <wp:posOffset>3184525</wp:posOffset>
            </wp:positionH>
            <wp:positionV relativeFrom="paragraph">
              <wp:posOffset>370205</wp:posOffset>
            </wp:positionV>
            <wp:extent cx="3076575" cy="2210071"/>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9" r="19"/>
                    <a:stretch>
                      <a:fillRect/>
                    </a:stretch>
                  </pic:blipFill>
                  <pic:spPr>
                    <a:xfrm>
                      <a:off x="0" y="0"/>
                      <a:ext cx="3076575" cy="2210071"/>
                    </a:xfrm>
                    <a:prstGeom prst="rect">
                      <a:avLst/>
                    </a:prstGeom>
                    <a:ln/>
                  </pic:spPr>
                </pic:pic>
              </a:graphicData>
            </a:graphic>
          </wp:anchor>
        </w:drawing>
      </w:r>
      <w:r w:rsidR="00000000">
        <w:t>We decided to keep the two data frames (Global_GDP and deadweight_per_</w:t>
      </w:r>
      <w:proofErr w:type="gramStart"/>
      <w:r w:rsidR="00000000">
        <w:t>year )</w:t>
      </w:r>
      <w:proofErr w:type="gramEnd"/>
      <w:r w:rsidR="00000000">
        <w:t xml:space="preserve"> separate when plotting the graphs. We did this so it was easier to use the data, avoiding confusion on which data was located </w:t>
      </w:r>
      <w:r>
        <w:t>where</w:t>
      </w:r>
      <w:r w:rsidR="00000000">
        <w:t xml:space="preserve">. Furthermore, </w:t>
      </w:r>
      <w:r>
        <w:t>we</w:t>
      </w:r>
      <w:r w:rsidR="00000000">
        <w:t xml:space="preserve"> chose to plot the data using matplotlib, since we preferred the </w:t>
      </w:r>
      <w:r>
        <w:t xml:space="preserve">simplicity </w:t>
      </w:r>
      <w:r w:rsidR="00000000">
        <w:t xml:space="preserve">it offers when plotting. The group also considered using the seaborn </w:t>
      </w:r>
      <w:r>
        <w:t>library but</w:t>
      </w:r>
      <w:r w:rsidR="00000000">
        <w:t xml:space="preserve"> decided against it as we preferred matplotlib’s visuals. </w:t>
      </w:r>
    </w:p>
    <w:p w14:paraId="43914093" w14:textId="63472BF9" w:rsidR="003507FB" w:rsidRDefault="00C93365" w:rsidP="00C93365">
      <w:pPr>
        <w:spacing w:after="240" w:line="240" w:lineRule="auto"/>
      </w:pPr>
      <w:r>
        <w:rPr>
          <w:noProof/>
        </w:rPr>
        <mc:AlternateContent>
          <mc:Choice Requires="wps">
            <w:drawing>
              <wp:anchor distT="0" distB="0" distL="114300" distR="114300" simplePos="0" relativeHeight="251665408" behindDoc="1" locked="0" layoutInCell="1" allowOverlap="1" wp14:anchorId="1D1FEF60" wp14:editId="53D48683">
                <wp:simplePos x="0" y="0"/>
                <wp:positionH relativeFrom="column">
                  <wp:posOffset>3232150</wp:posOffset>
                </wp:positionH>
                <wp:positionV relativeFrom="paragraph">
                  <wp:posOffset>982980</wp:posOffset>
                </wp:positionV>
                <wp:extent cx="3076575" cy="635"/>
                <wp:effectExtent l="0" t="0" r="9525" b="8255"/>
                <wp:wrapNone/>
                <wp:docPr id="7" name="Text Box 7"/>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CBE9CAF" w14:textId="577985EE"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1</w:t>
                            </w:r>
                            <w:r w:rsidRPr="000D197F">
                              <w:rPr>
                                <w:sz w:val="16"/>
                                <w:szCs w:val="16"/>
                              </w:rPr>
                              <w:fldChar w:fldCharType="end"/>
                            </w:r>
                            <w:r w:rsidRPr="000D197F">
                              <w:rPr>
                                <w:sz w:val="16"/>
                                <w:szCs w:val="16"/>
                              </w:rPr>
                              <w:t>: Total global GDP and deadweight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FEF60" id="_x0000_t202" coordsize="21600,21600" o:spt="202" path="m,l,21600r21600,l21600,xe">
                <v:stroke joinstyle="miter"/>
                <v:path gradientshapeok="t" o:connecttype="rect"/>
              </v:shapetype>
              <v:shape id="Text Box 7" o:spid="_x0000_s1026" type="#_x0000_t202" style="position:absolute;margin-left:254.5pt;margin-top:77.4pt;width:24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IwFgIAADgEAAAOAAAAZHJzL2Uyb0RvYy54bWysU8Fu2zAMvQ/YPwi6L3ZaJB2M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epnfz2d2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" stroked="f">
                <v:textbox style="mso-fit-shape-to-text:t" inset="0,0,0,0">
                  <w:txbxContent>
                    <w:p w14:paraId="3CBE9CAF" w14:textId="577985EE"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1</w:t>
                      </w:r>
                      <w:r w:rsidRPr="000D197F">
                        <w:rPr>
                          <w:sz w:val="16"/>
                          <w:szCs w:val="16"/>
                        </w:rPr>
                        <w:fldChar w:fldCharType="end"/>
                      </w:r>
                      <w:r w:rsidRPr="000D197F">
                        <w:rPr>
                          <w:sz w:val="16"/>
                          <w:szCs w:val="16"/>
                        </w:rPr>
                        <w:t>: Total global GDP and deadweight over time</w:t>
                      </w:r>
                    </w:p>
                  </w:txbxContent>
                </v:textbox>
              </v:shape>
            </w:pict>
          </mc:Fallback>
        </mc:AlternateContent>
      </w:r>
      <w:r w:rsidR="00000000">
        <w:t xml:space="preserve">When looking at the plotted data in </w:t>
      </w:r>
      <w:r w:rsidR="000D197F">
        <w:t>figure</w:t>
      </w:r>
      <w:r w:rsidR="00000000">
        <w:t xml:space="preserve"> </w:t>
      </w:r>
      <w:r w:rsidR="000D197F">
        <w:rPr>
          <w:bCs/>
        </w:rPr>
        <w:t>1</w:t>
      </w:r>
      <w:r w:rsidR="00000000">
        <w:t xml:space="preserve"> we can see that the GDP and the total global deadweight increased in lock step. It can also be seen that deadweight is much more stable than GDP. This makes </w:t>
      </w:r>
      <w:r>
        <w:t>sense since</w:t>
      </w:r>
      <w:r w:rsidR="00000000">
        <w:t xml:space="preserve"> a ship cannot instantaneously change or disappear. Finally, the </w:t>
      </w:r>
      <w:r w:rsidR="00000000">
        <w:lastRenderedPageBreak/>
        <w:t xml:space="preserve">graph shows that it is likely that GDP </w:t>
      </w:r>
      <w:r>
        <w:t>influences</w:t>
      </w:r>
      <w:r w:rsidR="00000000">
        <w:t xml:space="preserve"> the total deadweight; </w:t>
      </w:r>
      <w:r w:rsidR="00C83F52">
        <w:t>The</w:t>
      </w:r>
      <w:r w:rsidR="00000000">
        <w:t xml:space="preserve"> increase of deadweight is delayed with respect to that of GDP.</w:t>
      </w:r>
    </w:p>
    <w:p w14:paraId="36672C55" w14:textId="367D1821" w:rsidR="003507FB" w:rsidRDefault="000D197F" w:rsidP="00C93365">
      <w:pPr>
        <w:spacing w:after="240" w:line="240" w:lineRule="auto"/>
      </w:pPr>
      <w:r>
        <w:rPr>
          <w:noProof/>
        </w:rPr>
        <w:drawing>
          <wp:anchor distT="114300" distB="114300" distL="114300" distR="114300" simplePos="0" relativeHeight="251659264" behindDoc="0" locked="0" layoutInCell="1" hidden="0" allowOverlap="1" wp14:anchorId="2028C1A3" wp14:editId="12143B7D">
            <wp:simplePos x="0" y="0"/>
            <wp:positionH relativeFrom="margin">
              <wp:align>left</wp:align>
            </wp:positionH>
            <wp:positionV relativeFrom="paragraph">
              <wp:posOffset>756285</wp:posOffset>
            </wp:positionV>
            <wp:extent cx="2943225" cy="2278923"/>
            <wp:effectExtent l="0" t="0" r="0" b="762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568" r="1568"/>
                    <a:stretch>
                      <a:fillRect/>
                    </a:stretch>
                  </pic:blipFill>
                  <pic:spPr>
                    <a:xfrm>
                      <a:off x="0" y="0"/>
                      <a:ext cx="2943225" cy="2278923"/>
                    </a:xfrm>
                    <a:prstGeom prst="rect">
                      <a:avLst/>
                    </a:prstGeom>
                    <a:ln/>
                  </pic:spPr>
                </pic:pic>
              </a:graphicData>
            </a:graphic>
          </wp:anchor>
        </w:drawing>
      </w:r>
      <w:r w:rsidR="00000000">
        <w:t>In order to investigate the relationship further we decided to graph the percentage change year on year, using the pct_</w:t>
      </w:r>
      <w:proofErr w:type="gramStart"/>
      <w:r w:rsidR="00000000">
        <w:t>change(</w:t>
      </w:r>
      <w:proofErr w:type="gramEnd"/>
      <w:r w:rsidR="00000000">
        <w:t xml:space="preserve">) function. This was calculated for all columns then added to the relevant data frame. We compared the various maritime data sets against </w:t>
      </w:r>
      <w:r>
        <w:t>GDP</w:t>
      </w:r>
      <w:r w:rsidR="00000000">
        <w:t>. An important note to make about the following graphs is that the displayed change is a rolling average over 3 years. This is because we are interested mostly in trends, and not necessarily in very specific details. Taking the rolling average makes the graph more readable for this regard. However, it might remove some nuance and prevent us from making some more specific observations.</w:t>
      </w:r>
    </w:p>
    <w:p w14:paraId="2F1C860E" w14:textId="119497E2" w:rsidR="003507FB" w:rsidRDefault="00000000" w:rsidP="00C93365">
      <w:pPr>
        <w:spacing w:after="240" w:line="240" w:lineRule="auto"/>
      </w:pPr>
      <w:r>
        <w:t xml:space="preserve"> When looking at the fraction-change of both GDP and deadweight</w:t>
      </w:r>
      <w:r w:rsidR="000D197F">
        <w:t xml:space="preserve"> shown in figure 2</w:t>
      </w:r>
      <w:r>
        <w:t xml:space="preserve">, we can clearly see that from 1980 until 2000 the two are </w:t>
      </w:r>
      <w:r w:rsidR="00C93365">
        <w:t>quite</w:t>
      </w:r>
      <w:r>
        <w:t xml:space="preserve"> far apart. For example, we see quite a large increase in GDP in 1980 and 1990, but neither of these ‘spikes’ can be seen in the deadweight at any point. </w:t>
      </w:r>
    </w:p>
    <w:p w14:paraId="2E61AFD2" w14:textId="1F0B2AAD" w:rsidR="003507FB" w:rsidRDefault="000D197F" w:rsidP="00C93365">
      <w:pPr>
        <w:spacing w:after="240" w:line="240" w:lineRule="auto"/>
      </w:pPr>
      <w:r>
        <w:rPr>
          <w:noProof/>
        </w:rPr>
        <mc:AlternateContent>
          <mc:Choice Requires="wps">
            <w:drawing>
              <wp:anchor distT="0" distB="0" distL="114300" distR="114300" simplePos="0" relativeHeight="251667456" behindDoc="0" locked="0" layoutInCell="1" allowOverlap="1" wp14:anchorId="1101D147" wp14:editId="03361DA7">
                <wp:simplePos x="0" y="0"/>
                <wp:positionH relativeFrom="column">
                  <wp:posOffset>50800</wp:posOffset>
                </wp:positionH>
                <wp:positionV relativeFrom="paragraph">
                  <wp:posOffset>168910</wp:posOffset>
                </wp:positionV>
                <wp:extent cx="2892425" cy="266700"/>
                <wp:effectExtent l="0" t="0" r="3175" b="0"/>
                <wp:wrapSquare wrapText="bothSides"/>
                <wp:docPr id="8" name="Text Box 8"/>
                <wp:cNvGraphicFramePr/>
                <a:graphic xmlns:a="http://schemas.openxmlformats.org/drawingml/2006/main">
                  <a:graphicData uri="http://schemas.microsoft.com/office/word/2010/wordprocessingShape">
                    <wps:wsp>
                      <wps:cNvSpPr txBox="1"/>
                      <wps:spPr>
                        <a:xfrm>
                          <a:off x="0" y="0"/>
                          <a:ext cx="2892425" cy="266700"/>
                        </a:xfrm>
                        <a:prstGeom prst="rect">
                          <a:avLst/>
                        </a:prstGeom>
                        <a:solidFill>
                          <a:prstClr val="white"/>
                        </a:solidFill>
                        <a:ln>
                          <a:noFill/>
                        </a:ln>
                      </wps:spPr>
                      <wps:txbx>
                        <w:txbxContent>
                          <w:p w14:paraId="562B0798" w14:textId="7B241E27"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2</w:t>
                            </w:r>
                            <w:r w:rsidRPr="000D197F">
                              <w:rPr>
                                <w:sz w:val="16"/>
                                <w:szCs w:val="16"/>
                              </w:rPr>
                              <w:fldChar w:fldCharType="end"/>
                            </w:r>
                            <w:r w:rsidRPr="000D197F">
                              <w:rPr>
                                <w:sz w:val="16"/>
                                <w:szCs w:val="16"/>
                              </w:rPr>
                              <w:t xml:space="preserve">: A rolling average of the change in global GDP and </w:t>
                            </w:r>
                            <w:r w:rsidR="000D197F" w:rsidRPr="000D197F">
                              <w:rPr>
                                <w:sz w:val="16"/>
                                <w:szCs w:val="16"/>
                              </w:rPr>
                              <w:t>deadweight.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1D147" id="Text Box 8" o:spid="_x0000_s1027" type="#_x0000_t202" style="position:absolute;margin-left:4pt;margin-top:13.3pt;width:227.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" stroked="f">
                <v:textbox inset="0,0,0,0">
                  <w:txbxContent>
                    <w:p w14:paraId="562B0798" w14:textId="7B241E27"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2</w:t>
                      </w:r>
                      <w:r w:rsidRPr="000D197F">
                        <w:rPr>
                          <w:sz w:val="16"/>
                          <w:szCs w:val="16"/>
                        </w:rPr>
                        <w:fldChar w:fldCharType="end"/>
                      </w:r>
                      <w:r w:rsidRPr="000D197F">
                        <w:rPr>
                          <w:sz w:val="16"/>
                          <w:szCs w:val="16"/>
                        </w:rPr>
                        <w:t xml:space="preserve">: A rolling average of the change in global GDP and </w:t>
                      </w:r>
                      <w:r w:rsidR="000D197F" w:rsidRPr="000D197F">
                        <w:rPr>
                          <w:sz w:val="16"/>
                          <w:szCs w:val="16"/>
                        </w:rPr>
                        <w:t>deadweight.</w:t>
                      </w:r>
                    </w:p>
                  </w:txbxContent>
                </v:textbox>
                <w10:wrap type="square"/>
              </v:shape>
            </w:pict>
          </mc:Fallback>
        </mc:AlternateContent>
      </w:r>
      <w:r w:rsidR="00000000">
        <w:t>From 2000 onwards we can see that the deadweight does follow the GDP. Additionally, we again see the delay in change, indicating that GDP does cause the changes in maritime deadweight, and not the other way around.</w:t>
      </w:r>
    </w:p>
    <w:p w14:paraId="74A2E6EC" w14:textId="7D0963F9" w:rsidR="003507FB" w:rsidRDefault="000D197F" w:rsidP="00C93365">
      <w:pPr>
        <w:spacing w:after="240" w:line="240" w:lineRule="auto"/>
      </w:pPr>
      <w:r>
        <w:rPr>
          <w:noProof/>
        </w:rPr>
        <mc:AlternateContent>
          <mc:Choice Requires="wps">
            <w:drawing>
              <wp:anchor distT="0" distB="0" distL="114300" distR="114300" simplePos="0" relativeHeight="251669504" behindDoc="0" locked="0" layoutInCell="1" allowOverlap="1" wp14:anchorId="28BE14BF" wp14:editId="0AC75E6A">
                <wp:simplePos x="0" y="0"/>
                <wp:positionH relativeFrom="margin">
                  <wp:align>left</wp:align>
                </wp:positionH>
                <wp:positionV relativeFrom="paragraph">
                  <wp:posOffset>3178175</wp:posOffset>
                </wp:positionV>
                <wp:extent cx="5683250" cy="1905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683250" cy="190500"/>
                        </a:xfrm>
                        <a:prstGeom prst="rect">
                          <a:avLst/>
                        </a:prstGeom>
                        <a:solidFill>
                          <a:prstClr val="white"/>
                        </a:solidFill>
                        <a:ln>
                          <a:noFill/>
                        </a:ln>
                      </wps:spPr>
                      <wps:txbx>
                        <w:txbxContent>
                          <w:p w14:paraId="6D1B8BA6" w14:textId="67D9A4A7"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3</w:t>
                            </w:r>
                            <w:r w:rsidRPr="000D197F">
                              <w:rPr>
                                <w:sz w:val="16"/>
                                <w:szCs w:val="16"/>
                              </w:rPr>
                              <w:fldChar w:fldCharType="end"/>
                            </w:r>
                            <w:r w:rsidRPr="000D197F">
                              <w:rPr>
                                <w:sz w:val="16"/>
                                <w:szCs w:val="16"/>
                              </w:rPr>
                              <w:t>: Rolling average of the change in GDP vs general cargo and bulk deadweight.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E14BF" id="Text Box 9" o:spid="_x0000_s1028" type="#_x0000_t202" style="position:absolute;margin-left:0;margin-top:250.25pt;width:447.5pt;height: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" stroked="f">
                <v:textbox inset="0,0,0,0">
                  <w:txbxContent>
                    <w:p w14:paraId="6D1B8BA6" w14:textId="67D9A4A7"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3</w:t>
                      </w:r>
                      <w:r w:rsidRPr="000D197F">
                        <w:rPr>
                          <w:sz w:val="16"/>
                          <w:szCs w:val="16"/>
                        </w:rPr>
                        <w:fldChar w:fldCharType="end"/>
                      </w:r>
                      <w:r w:rsidRPr="000D197F">
                        <w:rPr>
                          <w:sz w:val="16"/>
                          <w:szCs w:val="16"/>
                        </w:rPr>
                        <w:t>: Rolling average of the change in GDP vs general cargo and bulk deadweight.</w:t>
                      </w:r>
                    </w:p>
                  </w:txbxContent>
                </v:textbox>
                <w10:wrap type="topAndBottom" anchorx="margin"/>
              </v:shape>
            </w:pict>
          </mc:Fallback>
        </mc:AlternateContent>
      </w:r>
      <w:r w:rsidR="00000000">
        <w:t xml:space="preserve">It is also interesting to break the data down into various sectors to compare how they are affected by GDP. We found that most of the observations made for the whole will also apply to the parts, but it is interesting to compare the influence of these parts on </w:t>
      </w:r>
      <w:r w:rsidR="00C93365">
        <w:t>the result</w:t>
      </w:r>
      <w:r w:rsidR="00000000">
        <w:t>.</w:t>
      </w:r>
      <w:r w:rsidR="00000000">
        <w:rPr>
          <w:noProof/>
        </w:rPr>
        <w:drawing>
          <wp:anchor distT="114300" distB="114300" distL="114300" distR="114300" simplePos="0" relativeHeight="251660288" behindDoc="0" locked="0" layoutInCell="1" hidden="0" allowOverlap="1" wp14:anchorId="5313BC1D" wp14:editId="37248CB0">
            <wp:simplePos x="0" y="0"/>
            <wp:positionH relativeFrom="column">
              <wp:posOffset>3038475</wp:posOffset>
            </wp:positionH>
            <wp:positionV relativeFrom="paragraph">
              <wp:posOffset>857250</wp:posOffset>
            </wp:positionV>
            <wp:extent cx="2943225" cy="2243845"/>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452" b="452"/>
                    <a:stretch>
                      <a:fillRect/>
                    </a:stretch>
                  </pic:blipFill>
                  <pic:spPr>
                    <a:xfrm>
                      <a:off x="0" y="0"/>
                      <a:ext cx="2943225" cy="2243845"/>
                    </a:xfrm>
                    <a:prstGeom prst="rect">
                      <a:avLst/>
                    </a:prstGeom>
                    <a:ln/>
                  </pic:spPr>
                </pic:pic>
              </a:graphicData>
            </a:graphic>
          </wp:anchor>
        </w:drawing>
      </w:r>
      <w:r w:rsidR="00000000">
        <w:rPr>
          <w:noProof/>
        </w:rPr>
        <w:drawing>
          <wp:anchor distT="114300" distB="114300" distL="114300" distR="114300" simplePos="0" relativeHeight="251661312" behindDoc="0" locked="0" layoutInCell="1" hidden="0" allowOverlap="1" wp14:anchorId="103601D9" wp14:editId="20FE27C1">
            <wp:simplePos x="0" y="0"/>
            <wp:positionH relativeFrom="column">
              <wp:posOffset>1</wp:posOffset>
            </wp:positionH>
            <wp:positionV relativeFrom="paragraph">
              <wp:posOffset>857250</wp:posOffset>
            </wp:positionV>
            <wp:extent cx="2938463" cy="2255099"/>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1578" r="1578"/>
                    <a:stretch>
                      <a:fillRect/>
                    </a:stretch>
                  </pic:blipFill>
                  <pic:spPr>
                    <a:xfrm>
                      <a:off x="0" y="0"/>
                      <a:ext cx="2938463" cy="2255099"/>
                    </a:xfrm>
                    <a:prstGeom prst="rect">
                      <a:avLst/>
                    </a:prstGeom>
                    <a:ln/>
                  </pic:spPr>
                </pic:pic>
              </a:graphicData>
            </a:graphic>
          </wp:anchor>
        </w:drawing>
      </w:r>
    </w:p>
    <w:p w14:paraId="2881F18F" w14:textId="7A42A049" w:rsidR="003507FB" w:rsidRDefault="00000000" w:rsidP="00C93365">
      <w:pPr>
        <w:spacing w:after="240" w:line="240" w:lineRule="auto"/>
      </w:pPr>
      <w:r>
        <w:t xml:space="preserve">The first ship types, </w:t>
      </w:r>
      <w:proofErr w:type="gramStart"/>
      <w:r>
        <w:t>bulk</w:t>
      </w:r>
      <w:proofErr w:type="gramEnd"/>
      <w:r>
        <w:t xml:space="preserve"> and general cargo (shown in figure </w:t>
      </w:r>
      <w:r w:rsidR="000D197F">
        <w:t>3</w:t>
      </w:r>
      <w:r>
        <w:t xml:space="preserve">) are similar in shape, both approximately following </w:t>
      </w:r>
      <w:r w:rsidR="00C93365">
        <w:t>GDP.</w:t>
      </w:r>
      <w:r>
        <w:t xml:space="preserve"> Interesting to note is that </w:t>
      </w:r>
      <w:r w:rsidR="00C93365">
        <w:t>both</w:t>
      </w:r>
      <w:r>
        <w:t xml:space="preserve"> graphs have a very apparent peak of around 0.7 in opposing directions. The peaks being in opposite directions and about the same height indicates that this peak is likely due to the change in data provider mentioned earlier in the report. This is even further </w:t>
      </w:r>
      <w:r>
        <w:lastRenderedPageBreak/>
        <w:t>supported by the fact that this change is not in line with the change in GDP. These peaks should thus be ignored when drawing conclusions.</w:t>
      </w:r>
    </w:p>
    <w:p w14:paraId="1C1CBE50" w14:textId="18B0FE54" w:rsidR="003507FB" w:rsidRDefault="000D197F" w:rsidP="00C93365">
      <w:pPr>
        <w:spacing w:after="240" w:line="240" w:lineRule="auto"/>
      </w:pPr>
      <w:r>
        <w:rPr>
          <w:noProof/>
        </w:rPr>
        <mc:AlternateContent>
          <mc:Choice Requires="wps">
            <w:drawing>
              <wp:anchor distT="0" distB="0" distL="114300" distR="114300" simplePos="0" relativeHeight="251671552" behindDoc="0" locked="0" layoutInCell="1" allowOverlap="1" wp14:anchorId="000F618C" wp14:editId="05124123">
                <wp:simplePos x="0" y="0"/>
                <wp:positionH relativeFrom="margin">
                  <wp:align>left</wp:align>
                </wp:positionH>
                <wp:positionV relativeFrom="paragraph">
                  <wp:posOffset>2634615</wp:posOffset>
                </wp:positionV>
                <wp:extent cx="2943225" cy="279400"/>
                <wp:effectExtent l="0" t="0" r="9525" b="6350"/>
                <wp:wrapSquare wrapText="bothSides"/>
                <wp:docPr id="10" name="Text Box 10"/>
                <wp:cNvGraphicFramePr/>
                <a:graphic xmlns:a="http://schemas.openxmlformats.org/drawingml/2006/main">
                  <a:graphicData uri="http://schemas.microsoft.com/office/word/2010/wordprocessingShape">
                    <wps:wsp>
                      <wps:cNvSpPr txBox="1"/>
                      <wps:spPr>
                        <a:xfrm>
                          <a:off x="0" y="0"/>
                          <a:ext cx="2943225" cy="279400"/>
                        </a:xfrm>
                        <a:prstGeom prst="rect">
                          <a:avLst/>
                        </a:prstGeom>
                        <a:solidFill>
                          <a:prstClr val="white"/>
                        </a:solidFill>
                        <a:ln>
                          <a:noFill/>
                        </a:ln>
                      </wps:spPr>
                      <wps:txbx>
                        <w:txbxContent>
                          <w:p w14:paraId="6B696F0A" w14:textId="19899BE9" w:rsidR="00C93365" w:rsidRPr="000D197F" w:rsidRDefault="00C93365" w:rsidP="00C93365">
                            <w:pPr>
                              <w:pStyle w:val="Caption"/>
                              <w:rPr>
                                <w:noProof/>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4</w:t>
                            </w:r>
                            <w:r w:rsidRPr="000D197F">
                              <w:rPr>
                                <w:sz w:val="16"/>
                                <w:szCs w:val="16"/>
                              </w:rPr>
                              <w:fldChar w:fldCharType="end"/>
                            </w:r>
                            <w:r w:rsidRPr="000D197F">
                              <w:rPr>
                                <w:sz w:val="16"/>
                                <w:szCs w:val="16"/>
                              </w:rPr>
                              <w:t xml:space="preserve">: Rolling average of the change in deadweight of tankers vs </w:t>
                            </w:r>
                            <w:proofErr w:type="gramStart"/>
                            <w:r w:rsidRPr="000D197F">
                              <w:rPr>
                                <w:sz w:val="16"/>
                                <w:szCs w:val="16"/>
                              </w:rPr>
                              <w:t>GDP</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F618C" id="Text Box 10" o:spid="_x0000_s1029" type="#_x0000_t202" style="position:absolute;margin-left:0;margin-top:207.45pt;width:231.75pt;height:22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" stroked="f">
                <v:textbox inset="0,0,0,0">
                  <w:txbxContent>
                    <w:p w14:paraId="6B696F0A" w14:textId="19899BE9" w:rsidR="00C93365" w:rsidRPr="000D197F" w:rsidRDefault="00C93365" w:rsidP="00C93365">
                      <w:pPr>
                        <w:pStyle w:val="Caption"/>
                        <w:rPr>
                          <w:noProof/>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4</w:t>
                      </w:r>
                      <w:r w:rsidRPr="000D197F">
                        <w:rPr>
                          <w:sz w:val="16"/>
                          <w:szCs w:val="16"/>
                        </w:rPr>
                        <w:fldChar w:fldCharType="end"/>
                      </w:r>
                      <w:r w:rsidRPr="000D197F">
                        <w:rPr>
                          <w:sz w:val="16"/>
                          <w:szCs w:val="16"/>
                        </w:rPr>
                        <w:t xml:space="preserve">: Rolling average of the change in deadweight of tankers vs </w:t>
                      </w:r>
                      <w:proofErr w:type="gramStart"/>
                      <w:r w:rsidRPr="000D197F">
                        <w:rPr>
                          <w:sz w:val="16"/>
                          <w:szCs w:val="16"/>
                        </w:rPr>
                        <w:t>GDP</w:t>
                      </w:r>
                      <w:proofErr w:type="gramEnd"/>
                    </w:p>
                  </w:txbxContent>
                </v:textbox>
                <w10:wrap type="square" anchorx="margin"/>
              </v:shape>
            </w:pict>
          </mc:Fallback>
        </mc:AlternateContent>
      </w:r>
      <w:r>
        <w:rPr>
          <w:noProof/>
        </w:rPr>
        <w:drawing>
          <wp:anchor distT="114300" distB="114300" distL="114300" distR="114300" simplePos="0" relativeHeight="251663360" behindDoc="0" locked="0" layoutInCell="1" hidden="0" allowOverlap="1" wp14:anchorId="007F7602" wp14:editId="4D4678B5">
            <wp:simplePos x="0" y="0"/>
            <wp:positionH relativeFrom="margin">
              <wp:align>right</wp:align>
            </wp:positionH>
            <wp:positionV relativeFrom="paragraph">
              <wp:posOffset>1443990</wp:posOffset>
            </wp:positionV>
            <wp:extent cx="3107690" cy="2260600"/>
            <wp:effectExtent l="0" t="0" r="0" b="635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l="272" r="272"/>
                    <a:stretch>
                      <a:fillRect/>
                    </a:stretch>
                  </pic:blipFill>
                  <pic:spPr>
                    <a:xfrm>
                      <a:off x="0" y="0"/>
                      <a:ext cx="3107690" cy="2260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2336" behindDoc="0" locked="0" layoutInCell="1" hidden="0" allowOverlap="1" wp14:anchorId="0BAE8A35" wp14:editId="6A356D55">
            <wp:simplePos x="0" y="0"/>
            <wp:positionH relativeFrom="margin">
              <wp:align>left</wp:align>
            </wp:positionH>
            <wp:positionV relativeFrom="paragraph">
              <wp:posOffset>435610</wp:posOffset>
            </wp:positionV>
            <wp:extent cx="2943225" cy="2256472"/>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t="173" b="173"/>
                    <a:stretch>
                      <a:fillRect/>
                    </a:stretch>
                  </pic:blipFill>
                  <pic:spPr>
                    <a:xfrm>
                      <a:off x="0" y="0"/>
                      <a:ext cx="2943225" cy="2256472"/>
                    </a:xfrm>
                    <a:prstGeom prst="rect">
                      <a:avLst/>
                    </a:prstGeom>
                    <a:ln/>
                  </pic:spPr>
                </pic:pic>
              </a:graphicData>
            </a:graphic>
          </wp:anchor>
        </w:drawing>
      </w:r>
      <w:r w:rsidR="00000000">
        <w:t xml:space="preserve">The relationship of tanker ships, shown in figure </w:t>
      </w:r>
      <w:r w:rsidRPr="000D197F">
        <w:rPr>
          <w:bCs/>
        </w:rPr>
        <w:t>4</w:t>
      </w:r>
      <w:r w:rsidR="00000000">
        <w:t xml:space="preserve">. We can see that this category of ships is likely the cause of the large deviation from the GDP that could be seen earlier in figure </w:t>
      </w:r>
      <w:r>
        <w:rPr>
          <w:bCs/>
        </w:rPr>
        <w:t>2</w:t>
      </w:r>
      <w:r w:rsidR="00000000">
        <w:t>, since the deviation is even more extreme here. Overall, the graph looks very similar to that of the total industry. This might be an indication that this single subset of ships is a good reflection of the industry as a whole, but more research would be required to confirm such a statement.</w:t>
      </w:r>
    </w:p>
    <w:p w14:paraId="15BDC1DB" w14:textId="4861CAA8" w:rsidR="003507FB" w:rsidRDefault="000D197F" w:rsidP="00C93365">
      <w:pPr>
        <w:spacing w:after="240" w:line="240" w:lineRule="auto"/>
      </w:pPr>
      <w:r>
        <w:rPr>
          <w:noProof/>
        </w:rPr>
        <mc:AlternateContent>
          <mc:Choice Requires="wps">
            <w:drawing>
              <wp:anchor distT="0" distB="0" distL="114300" distR="114300" simplePos="0" relativeHeight="251673600" behindDoc="0" locked="0" layoutInCell="1" allowOverlap="1" wp14:anchorId="52C7F7FF" wp14:editId="754236DD">
                <wp:simplePos x="0" y="0"/>
                <wp:positionH relativeFrom="margin">
                  <wp:align>right</wp:align>
                </wp:positionH>
                <wp:positionV relativeFrom="paragraph">
                  <wp:posOffset>2247900</wp:posOffset>
                </wp:positionV>
                <wp:extent cx="3276600" cy="304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76600" cy="304800"/>
                        </a:xfrm>
                        <a:prstGeom prst="rect">
                          <a:avLst/>
                        </a:prstGeom>
                        <a:solidFill>
                          <a:prstClr val="white"/>
                        </a:solidFill>
                        <a:ln>
                          <a:noFill/>
                        </a:ln>
                      </wps:spPr>
                      <wps:txbx>
                        <w:txbxContent>
                          <w:p w14:paraId="4072DDF7" w14:textId="3431003B"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5</w:t>
                            </w:r>
                            <w:r w:rsidRPr="000D197F">
                              <w:rPr>
                                <w:sz w:val="16"/>
                                <w:szCs w:val="16"/>
                              </w:rPr>
                              <w:fldChar w:fldCharType="end"/>
                            </w:r>
                            <w:r w:rsidRPr="000D197F">
                              <w:rPr>
                                <w:sz w:val="16"/>
                                <w:szCs w:val="16"/>
                              </w:rPr>
                              <w:t xml:space="preserve">: Rolling average of the change in deadweight of container ships vs </w:t>
                            </w:r>
                            <w:proofErr w:type="gramStart"/>
                            <w:r w:rsidRPr="000D197F">
                              <w:rPr>
                                <w:sz w:val="16"/>
                                <w:szCs w:val="16"/>
                              </w:rPr>
                              <w:t>GDP</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7F7FF" id="Text Box 11" o:spid="_x0000_s1030" type="#_x0000_t202" style="position:absolute;margin-left:206.8pt;margin-top:177pt;width:258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" stroked="f">
                <v:textbox inset="0,0,0,0">
                  <w:txbxContent>
                    <w:p w14:paraId="4072DDF7" w14:textId="3431003B" w:rsidR="00C93365" w:rsidRPr="000D197F" w:rsidRDefault="00C93365" w:rsidP="00C93365">
                      <w:pPr>
                        <w:pStyle w:val="Caption"/>
                        <w:rPr>
                          <w:sz w:val="16"/>
                          <w:szCs w:val="16"/>
                        </w:rPr>
                      </w:pPr>
                      <w:r w:rsidRPr="000D197F">
                        <w:rPr>
                          <w:sz w:val="16"/>
                          <w:szCs w:val="16"/>
                        </w:rPr>
                        <w:t xml:space="preserve">Figure </w:t>
                      </w:r>
                      <w:r w:rsidRPr="000D197F">
                        <w:rPr>
                          <w:sz w:val="16"/>
                          <w:szCs w:val="16"/>
                        </w:rPr>
                        <w:fldChar w:fldCharType="begin"/>
                      </w:r>
                      <w:r w:rsidRPr="000D197F">
                        <w:rPr>
                          <w:sz w:val="16"/>
                          <w:szCs w:val="16"/>
                        </w:rPr>
                        <w:instrText xml:space="preserve"> SEQ Figure \* ARABIC </w:instrText>
                      </w:r>
                      <w:r w:rsidRPr="000D197F">
                        <w:rPr>
                          <w:sz w:val="16"/>
                          <w:szCs w:val="16"/>
                        </w:rPr>
                        <w:fldChar w:fldCharType="separate"/>
                      </w:r>
                      <w:r w:rsidRPr="000D197F">
                        <w:rPr>
                          <w:noProof/>
                          <w:sz w:val="16"/>
                          <w:szCs w:val="16"/>
                        </w:rPr>
                        <w:t>5</w:t>
                      </w:r>
                      <w:r w:rsidRPr="000D197F">
                        <w:rPr>
                          <w:sz w:val="16"/>
                          <w:szCs w:val="16"/>
                        </w:rPr>
                        <w:fldChar w:fldCharType="end"/>
                      </w:r>
                      <w:r w:rsidRPr="000D197F">
                        <w:rPr>
                          <w:sz w:val="16"/>
                          <w:szCs w:val="16"/>
                        </w:rPr>
                        <w:t xml:space="preserve">: Rolling average of the change in deadweight of container ships vs </w:t>
                      </w:r>
                      <w:proofErr w:type="gramStart"/>
                      <w:r w:rsidRPr="000D197F">
                        <w:rPr>
                          <w:sz w:val="16"/>
                          <w:szCs w:val="16"/>
                        </w:rPr>
                        <w:t>GDP</w:t>
                      </w:r>
                      <w:proofErr w:type="gramEnd"/>
                    </w:p>
                  </w:txbxContent>
                </v:textbox>
                <w10:wrap type="square" anchorx="margin"/>
              </v:shape>
            </w:pict>
          </mc:Fallback>
        </mc:AlternateContent>
      </w:r>
      <w:r w:rsidR="00000000">
        <w:t xml:space="preserve">The final subcategory of the shipping industry is that of container ships. The change in deadweight, shown in figure </w:t>
      </w:r>
      <w:r>
        <w:rPr>
          <w:bCs/>
        </w:rPr>
        <w:t>5</w:t>
      </w:r>
      <w:r w:rsidR="00000000">
        <w:t xml:space="preserve">, seems to be very dependent on the change in global GDP. In this graph, we can very clearly see that a sharp increase in GDP also leads to a relatively sharp increase in container deadweight. We can also again see the earlier observed delay in this increase, most likely due to the lead times of acquiring new </w:t>
      </w:r>
      <w:r w:rsidR="00C93365">
        <w:t>ships or</w:t>
      </w:r>
      <w:r w:rsidR="00000000">
        <w:t xml:space="preserve"> decommissioning them.</w:t>
      </w:r>
    </w:p>
    <w:p w14:paraId="2BC2AA47" w14:textId="04C8EA79" w:rsidR="003507FB" w:rsidRDefault="00000000" w:rsidP="00C93365">
      <w:pPr>
        <w:spacing w:after="240" w:line="240" w:lineRule="auto"/>
        <w:rPr>
          <w:color w:val="FF0000"/>
        </w:rPr>
      </w:pPr>
      <w:r>
        <w:rPr>
          <w:b/>
        </w:rPr>
        <w:t>Conclusion</w:t>
      </w:r>
    </w:p>
    <w:p w14:paraId="660B36B7" w14:textId="6299171F" w:rsidR="003507FB" w:rsidRDefault="00C93365" w:rsidP="00C93365">
      <w:pPr>
        <w:spacing w:line="240" w:lineRule="auto"/>
      </w:pPr>
      <w:r>
        <w:t>There</w:t>
      </w:r>
      <w:r w:rsidR="00000000">
        <w:t xml:space="preserve"> is a correlation between global GDP and Marine Cargo Capacity, meaning that the Marine Cargo Capacity follows the same trend as GDP. There is, however, usually a small delay of a few years before the Marine Cargo Capacity </w:t>
      </w:r>
      <w:r>
        <w:t>changes. This</w:t>
      </w:r>
      <w:r w:rsidR="00000000">
        <w:t xml:space="preserve"> can be credited to the fact that it can take time for ships to be built or scrapped. </w:t>
      </w:r>
      <w:r w:rsidR="000D197F">
        <w:t>Figures 3, 4, and 5</w:t>
      </w:r>
      <w:r w:rsidR="00000000">
        <w:t xml:space="preserve"> show most ship classes also follow the same pattern, but not all classes change equally. For </w:t>
      </w:r>
      <w:r>
        <w:t>example,</w:t>
      </w:r>
      <w:r w:rsidR="00000000">
        <w:t xml:space="preserve"> the GDP has a great impact on Containers, but a smaller one on the others What can also be noted is that some ships still have a negative growth despite the positive GDP, the negative growth does become smaller at those moments in most cases, so that means there is still a positive relationship between the cargo capacity and the GDP. For the future it might be interesting to focus on specific countries and see how their GDP and Marine Cargo Capacity affect each other. This could give insight into how much different countries are affected by marine trade (think of a landlocked country versus a coastal one) and how big a part the economy plays in the </w:t>
      </w:r>
      <w:r>
        <w:t>country’s</w:t>
      </w:r>
      <w:r w:rsidR="00000000">
        <w:t xml:space="preserve"> ability to exploit ship freight.</w:t>
      </w:r>
      <w:r w:rsidR="00000000">
        <w:rPr>
          <w:vertAlign w:val="superscript"/>
        </w:rPr>
        <w:footnoteReference w:id="1"/>
      </w:r>
      <w:r w:rsidR="00800667">
        <w:softHyphen/>
      </w:r>
      <w:r w:rsidR="00800667">
        <w:softHyphen/>
      </w:r>
    </w:p>
    <w:sectPr w:rsidR="003507FB" w:rsidSect="00C93365">
      <w:type w:val="continuous"/>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5523" w14:textId="77777777" w:rsidR="00890069" w:rsidRDefault="00890069">
      <w:pPr>
        <w:spacing w:line="240" w:lineRule="auto"/>
      </w:pPr>
      <w:r>
        <w:separator/>
      </w:r>
    </w:p>
  </w:endnote>
  <w:endnote w:type="continuationSeparator" w:id="0">
    <w:p w14:paraId="15AFAE55" w14:textId="77777777" w:rsidR="00890069" w:rsidRDefault="00890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A035" w14:textId="77777777" w:rsidR="00890069" w:rsidRDefault="00890069">
      <w:pPr>
        <w:spacing w:line="240" w:lineRule="auto"/>
      </w:pPr>
      <w:r>
        <w:separator/>
      </w:r>
    </w:p>
  </w:footnote>
  <w:footnote w:type="continuationSeparator" w:id="0">
    <w:p w14:paraId="56D71920" w14:textId="77777777" w:rsidR="00890069" w:rsidRDefault="00890069">
      <w:pPr>
        <w:spacing w:line="240" w:lineRule="auto"/>
      </w:pPr>
      <w:r>
        <w:continuationSeparator/>
      </w:r>
    </w:p>
  </w:footnote>
  <w:footnote w:id="1">
    <w:p w14:paraId="70C1CDDC" w14:textId="77777777" w:rsidR="003507FB" w:rsidRDefault="00000000">
      <w:pPr>
        <w:spacing w:line="240" w:lineRule="auto"/>
        <w:rPr>
          <w:sz w:val="20"/>
          <w:szCs w:val="20"/>
        </w:rPr>
      </w:pPr>
      <w:r>
        <w:rPr>
          <w:vertAlign w:val="superscript"/>
        </w:rPr>
        <w:footnoteRef/>
      </w:r>
      <w:r>
        <w:rPr>
          <w:sz w:val="20"/>
          <w:szCs w:val="20"/>
        </w:rPr>
        <w:t xml:space="preserve"> The code has been set up in such a way that this should be easy to implement. By changing the ‘economy’ variable data can be produced for various countries.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4590D"/>
    <w:multiLevelType w:val="multilevel"/>
    <w:tmpl w:val="30E66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095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FB"/>
    <w:rsid w:val="000D197F"/>
    <w:rsid w:val="003507FB"/>
    <w:rsid w:val="00800667"/>
    <w:rsid w:val="00890069"/>
    <w:rsid w:val="00C83F52"/>
    <w:rsid w:val="00C9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FDEF"/>
  <w15:docId w15:val="{EBA1D919-A706-4978-8DB7-11651451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C9336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nctadstat.unctad.org/datacentre/dataviewer/US.GDPTota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unctadstat.unctad.org/datacentre/dataviewer/US.GDPTota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nctadstat.unctad.org/datacentre/dataviewer/US.MerchantFle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Brachthuizen</dc:creator>
  <cp:lastModifiedBy>Brachthuizen, K. (Kevin)</cp:lastModifiedBy>
  <cp:revision>3</cp:revision>
  <dcterms:created xsi:type="dcterms:W3CDTF">2024-01-25T11:57:00Z</dcterms:created>
  <dcterms:modified xsi:type="dcterms:W3CDTF">2024-01-25T11:59:00Z</dcterms:modified>
</cp:coreProperties>
</file>