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NIVEA CREDIT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Client: Nivea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Publishing agency: Publicis Groupe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DOP: Gábor Garai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Gaffer: Sándor Vida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1st AD: Gerda Kollet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Producer: Rezi Koncz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HMU: Barbara Keserű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Stylist: Rozina Pusztai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Stylist assistant: Zsófia Bade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