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1j9og0neqzgm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DOCUMENT DE SPÉCIFICATIONS TECHNIQUES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7syrthmpkx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Réseau &amp; Sécurité (Switch L3 + Pare-feu de Bordure)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Detechtive.local </w:t>
      </w:r>
      <w:r w:rsidDel="00000000" w:rsidR="00000000" w:rsidRPr="00000000">
        <w:rPr>
          <w:b w:val="1"/>
          <w:bCs w:val="1"/>
          <w:rtl w:val="0"/>
        </w:rPr>
        <w:t xml:space="preserve">Architecture :</w:t>
      </w:r>
      <w:r w:rsidDel="00000000" w:rsidR="00000000" w:rsidRPr="00000000">
        <w:rPr>
          <w:rtl w:val="0"/>
        </w:rPr>
        <w:t xml:space="preserve"> Routage Inter-VLAN par Switch L3 </w:t>
      </w: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3.0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08qos5alfn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CONFIGURATION DU ROUTAGE (CRITIQUE)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configuration, le Switch est la passerelle par défaut des machines, et le pfSense est la passerelle du Switch.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0ob8vxk5ju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Sur le Switch L3 (Cœur de Réseau)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Gère le routage entre les VLANs 10, 20, 30, 40.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par défaut (Gateway of Last Resort) :</w:t>
      </w:r>
      <w:r w:rsidDel="00000000" w:rsidR="00000000" w:rsidRPr="00000000">
        <w:rPr>
          <w:rtl w:val="0"/>
        </w:rPr>
        <w:t xml:space="preserve"> Tout le trafic vers Internet est envoyé vers l'IP LAN du pfSense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51euxorjsi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Sur le pfSense (Bordure)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Accès Internet, NAT et VPN.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Routes Statiques (INDISPENSABLE) 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que pfSense puisse renvoyer les paquets vers tes VLANs, il faut déclarer des routes statiques.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Aller dans System &gt; Routing &gt; Static Routes 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Destination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 (ou chaque sous-réseau séparément)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Gateway :</w:t>
      </w:r>
      <w:r w:rsidDel="00000000" w:rsidR="00000000" w:rsidRPr="00000000">
        <w:rPr>
          <w:rtl w:val="0"/>
        </w:rPr>
        <w:t xml:space="preserve"> L'IP du Switch connectée au pfSense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8e5hm7ffz8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CONFIGURATION DU PARE-FEU pfSENSE (BORDURE)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pfSense ne voit plus le détail du trafic interne. Il ne gère que ce qui entre et sort du réseau global.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7zxrc2ku7x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Interface WAN (Entrée depuis Internet)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Politique : Protéger le réseau contre l'extérieur.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AUTORISER VPN WireGuard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Protocole :</w:t>
      </w:r>
      <w:r w:rsidDel="00000000" w:rsidR="00000000" w:rsidRPr="00000000">
        <w:rPr>
          <w:rtl w:val="0"/>
        </w:rPr>
        <w:t xml:space="preserve"> UDP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:</w:t>
      </w:r>
      <w:r w:rsidDel="00000000" w:rsidR="00000000" w:rsidRPr="00000000">
        <w:rPr>
          <w:rtl w:val="0"/>
        </w:rPr>
        <w:t xml:space="preserve"> 51820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 :</w:t>
      </w:r>
      <w:r w:rsidDel="00000000" w:rsidR="00000000" w:rsidRPr="00000000">
        <w:rPr>
          <w:rtl w:val="0"/>
        </w:rPr>
        <w:t xml:space="preserve"> Accès administrateur distant.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AUTORISER Web Public (NAT)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Protocole :</w:t>
      </w:r>
      <w:r w:rsidDel="00000000" w:rsidR="00000000" w:rsidRPr="00000000">
        <w:rPr>
          <w:rtl w:val="0"/>
        </w:rPr>
        <w:t xml:space="preserve"> TCP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 :</w:t>
      </w:r>
      <w:r w:rsidDel="00000000" w:rsidR="00000000" w:rsidRPr="00000000">
        <w:rPr>
          <w:rtl w:val="0"/>
        </w:rPr>
        <w:t xml:space="preserve"> 192.168.10.21 (Serveur Web)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Ports :</w:t>
      </w:r>
      <w:r w:rsidDel="00000000" w:rsidR="00000000" w:rsidRPr="00000000">
        <w:rPr>
          <w:rtl w:val="0"/>
        </w:rPr>
        <w:t xml:space="preserve"> 80 / 443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 :</w:t>
      </w:r>
      <w:r w:rsidDel="00000000" w:rsidR="00000000" w:rsidRPr="00000000">
        <w:rPr>
          <w:rtl w:val="0"/>
        </w:rPr>
        <w:t xml:space="preserve"> Accès client au site web.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BLOQUER Tout le reste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Drop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