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Version</w:t>
            </w:r>
          </w:p>
        </w:tc>
        <w:tc>
          <w:tcPr>
            <w:tcW w:w="0" w:type="auto"/>
            <w:vAlign w:val="center"/>
            <w:hideMark/>
          </w:tcPr>
          <w:p>
            <w:r>
              <w:t>1.2</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Last Updated</w:t>
            </w:r>
          </w:p>
        </w:tc>
        <w:tc>
          <w:tcPr>
            <w:tcW w:w="0" w:type="auto"/>
            <w:vAlign w:val="center"/>
            <w:hideMark/>
          </w:tcPr>
          <w:p>
            <w:r>
              <w:t>October 5,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Depends On</w:t>
            </w:r>
          </w:p>
        </w:tc>
        <w:tc>
          <w:tcPr>
            <w:tcW w:w="0" w:type="auto"/>
            <w:vAlign w:val="center"/>
            <w:hideMark/>
          </w:tcPr>
          <w:p>
            <w:r>
              <w:t>Core AI Framework PRD v1.1</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Discovery intentionally prioritizes </w:t>
      </w:r>
      <w:r w:rsidRPr="008202A6">
        <w:rPr>
          <w:rFonts w:ascii="Times New Roman" w:eastAsia="Times New Roman" w:hAnsi="Times New Roman" w:cs="Times New Roman"/>
          <w:b/>
          <w:bCs/>
          <w:kern w:val="0"/>
          <w14:ligatures w14:val="none"/>
        </w:rPr>
        <w:t>coverage</w:t>
      </w:r>
      <w:r w:rsidRPr="008202A6">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7. Discovery Analytics (Future)</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eventually evaluate discovery sources using measurable performance.</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Some filters may result in a </w:t>
      </w:r>
      <w:r w:rsidRPr="008202A6">
        <w:rPr>
          <w:rFonts w:ascii="Times New Roman" w:eastAsia="Times New Roman" w:hAnsi="Times New Roman" w:cs="Times New Roman"/>
          <w:b/>
          <w:bCs/>
          <w:kern w:val="0"/>
          <w14:ligatures w14:val="none"/>
        </w:rPr>
        <w:t>Review</w:t>
      </w:r>
      <w:r w:rsidRPr="008202A6">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They do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reject opportunities simply because they are listed as </w:t>
      </w:r>
      <w:r w:rsidRPr="008202A6">
        <w:rPr>
          <w:rFonts w:ascii="Times New Roman" w:eastAsia="Times New Roman" w:hAnsi="Times New Roman" w:cs="Times New Roman"/>
          <w:b/>
          <w:bCs/>
          <w:kern w:val="0"/>
          <w14:ligatures w14:val="none"/>
        </w:rPr>
        <w:t>US Only</w:t>
      </w:r>
      <w:r w:rsidRPr="008202A6">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Future international eligibility should remain </w:t>
      </w:r>
      <w:r w:rsidRPr="008202A6">
        <w:rPr>
          <w:rFonts w:ascii="Times New Roman" w:eastAsia="Times New Roman" w:hAnsi="Times New Roman" w:cs="Times New Roman"/>
          <w:b/>
          <w:bCs/>
          <w:kern w:val="0"/>
          <w14:ligatures w14:val="none"/>
        </w:rPr>
        <w:t>Unknown</w:t>
      </w:r>
      <w:r w:rsidRPr="008202A6">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Preferred</w:t>
      </w:r>
    </w:p>
    <w:p w14:paraId="280E2B95" w14:textId="77777777" w:rsidR="00CC6ABC" w:rsidRDefault="00000000">
      <w:r>
        <w:t>• $60,000+</w:t>
      </w:r>
    </w:p>
    <w:p w14:paraId="42AAAA34" w14:textId="77777777" w:rsidR="00CC6ABC" w:rsidRDefault="00000000">
      <w:r>
        <w:t>Review</w:t>
      </w:r>
    </w:p>
    <w:p w14:paraId="285053C6" w14:textId="77777777" w:rsidR="00CC6ABC" w:rsidRDefault="00000000">
      <w:r>
        <w:t>• $55,000–$59,999</w:t>
      </w:r>
    </w:p>
    <w:p w14:paraId="2CAAA654" w14:textId="77777777" w:rsidR="00CC6ABC" w:rsidRDefault="00000000">
      <w:r>
        <w:t>Below $55,000</w:t>
      </w:r>
    </w:p>
    <w:p w14:paraId="29BB9E5D" w14:textId="77777777" w:rsidR="00CC6ABC" w:rsidRDefault="00000000">
      <w:r>
        <w:t>• If the position requires the employee to reside in the United States, salary below $55,000 is unacceptable and should result in Skip.</w:t>
      </w:r>
    </w:p>
    <w:p w14:paraId="1DB711F4" w14:textId="77777777" w:rsidR="00CC6ABC" w:rsidRDefault="00000000">
      <w:r>
        <w:t>• If the position explicitly allows the employee to reside in a substantially lower-cost country, salary below $55,000 may remain under consideration and should continue through evaluation rather than automatically failing.</w:t>
      </w:r>
    </w:p>
    <w:p w14:paraId="13389203" w14:textId="77777777" w:rsidR="00CC6ABC" w:rsidRDefault="00000000">
      <w:r>
        <w:t>• If salary is below $55,000 and residency/location flexibility is unclear, return Review / Unknown rather than assuming either eligibility or ineligibility.</w:t>
      </w:r>
    </w:p>
    <w:p w14:paraId="7C4644CB" w14:textId="77777777" w:rsidR="00CC6ABC" w:rsidRDefault="00000000">
      <w:r>
        <w:t>Salary Architecture Rule</w:t>
      </w:r>
    </w:p>
    <w:p w14:paraId="2ECA196E" w14:textId="77777777" w:rsidR="00CC6ABC" w:rsidRDefault="00000000">
      <w:r>
        <w:t>Do not create a subjective strategic-value exception that allows a sub-$55,000 U.S.-residency position to pass.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Unknown Salary</w:t>
      </w:r>
    </w:p>
    <w:p w14:paraId="677D0D2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If compensation is not disclosed:</w:t>
      </w:r>
    </w:p>
    <w:p w14:paraId="436F71B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Display:</w:t>
      </w:r>
    </w:p>
    <w:p w14:paraId="2569F7FC" w14:textId="77777777" w:rsidR="008202A6" w:rsidRPr="008202A6" w:rsidRDefault="008202A6" w:rsidP="008202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Unknown </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phrase "Competitive Salary" should not be interpreted as meaningful salary information.</w:t>
      </w:r>
    </w:p>
    <w:p w14:paraId="60B749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58491C">
          <v:rect id="_x0000_i1050" style="width:0;height:1.5pt" o:hralign="center" o:hrstd="t" o:hr="t" fillcolor="#a0a0a0" stroked="f"/>
        </w:pic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focuses on </w:t>
      </w:r>
      <w:r w:rsidRPr="008202A6">
        <w:rPr>
          <w:rFonts w:ascii="Times New Roman" w:eastAsia="Times New Roman" w:hAnsi="Times New Roman" w:cs="Times New Roman"/>
          <w:b/>
          <w:bCs/>
          <w:kern w:val="0"/>
          <w14:ligatures w14:val="none"/>
        </w:rPr>
        <w:t>what the employee will actually do</w:t>
      </w:r>
      <w:r w:rsidRPr="008202A6">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assistant should evaluate </w:t>
      </w:r>
      <w:r w:rsidRPr="008202A6">
        <w:rPr>
          <w:rFonts w:ascii="Times New Roman" w:eastAsia="Times New Roman" w:hAnsi="Times New Roman" w:cs="Times New Roman"/>
          <w:b/>
          <w:bCs/>
          <w:kern w:val="0"/>
          <w14:ligatures w14:val="none"/>
        </w:rPr>
        <w:t>substance rather than wording</w:t>
      </w:r>
      <w:r w:rsidRPr="008202A6">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 title of </w:t>
      </w:r>
      <w:r w:rsidRPr="008202A6">
        <w:rPr>
          <w:rFonts w:ascii="Times New Roman" w:eastAsia="Times New Roman" w:hAnsi="Times New Roman" w:cs="Times New Roman"/>
          <w:b/>
          <w:bCs/>
          <w:kern w:val="0"/>
          <w14:ligatures w14:val="none"/>
        </w:rPr>
        <w:t>Customer Experience Manager</w:t>
      </w:r>
      <w:r w:rsidRPr="008202A6">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Likewise, a title of </w:t>
      </w:r>
      <w:r w:rsidRPr="008202A6">
        <w:rPr>
          <w:rFonts w:ascii="Times New Roman" w:eastAsia="Times New Roman" w:hAnsi="Times New Roman" w:cs="Times New Roman"/>
          <w:b/>
          <w:bCs/>
          <w:kern w:val="0"/>
          <w14:ligatures w14:val="none"/>
        </w:rPr>
        <w:t>Customer Success Manager</w:t>
      </w:r>
      <w:r w:rsidRPr="008202A6">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Career progression within Customer Success is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measures </w:t>
      </w:r>
      <w:r w:rsidRPr="008202A6">
        <w:rPr>
          <w:rFonts w:ascii="Times New Roman" w:eastAsia="Times New Roman" w:hAnsi="Times New Roman" w:cs="Times New Roman"/>
          <w:b/>
          <w:bCs/>
          <w:kern w:val="0"/>
          <w14:ligatures w14:val="none"/>
        </w:rPr>
        <w:t>alignment</w:t>
      </w:r>
      <w:r w:rsidRPr="008202A6">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models should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maturity should receive a </w:t>
      </w:r>
      <w:r w:rsidRPr="008202A6">
        <w:rPr>
          <w:rFonts w:ascii="Times New Roman" w:eastAsia="Times New Roman" w:hAnsi="Times New Roman" w:cs="Times New Roman"/>
          <w:b/>
          <w:bCs/>
          <w:kern w:val="0"/>
          <w14:ligatures w14:val="none"/>
        </w:rPr>
        <w:t>0–100 score</w:t>
      </w:r>
      <w:r w:rsidRPr="008202A6">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It does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It should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202A6">
        <w:rPr>
          <w:rFonts w:ascii="Times New Roman" w:eastAsia="Times New Roman" w:hAnsi="Times New Roman" w:cs="Times New Roman"/>
          <w:b/>
          <w:bCs/>
          <w:kern w:val="0"/>
          <w14:ligatures w14:val="none"/>
        </w:rPr>
        <w:t>Personally</w:t>
      </w:r>
      <w:proofErr w:type="gramEnd"/>
      <w:r w:rsidRPr="008202A6">
        <w:rPr>
          <w:rFonts w:ascii="Times New Roman" w:eastAsia="Times New Roman" w:hAnsi="Times New Roman" w:cs="Times New Roman"/>
          <w:b/>
          <w:bCs/>
          <w:kern w:val="0"/>
          <w14:ligatures w14:val="none"/>
        </w:rPr>
        <w:t xml:space="preserve">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lastRenderedPageBreak/>
        <w:t>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focuses on </w:t>
      </w:r>
      <w:r w:rsidRPr="008202A6">
        <w:rPr>
          <w:rFonts w:ascii="Times New Roman" w:eastAsia="Times New Roman" w:hAnsi="Times New Roman" w:cs="Times New Roman"/>
          <w:b/>
          <w:bCs/>
          <w:kern w:val="0"/>
          <w14:ligatures w14:val="none"/>
        </w:rPr>
        <w:t>workload design</w:t>
      </w:r>
      <w:r w:rsidRPr="008202A6">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Owning multiple responsibilities is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Independent ESL Instruction (</w:t>
      </w:r>
      <w:proofErr w:type="spellStart"/>
      <w:r w:rsidRPr="008202A6">
        <w:rPr>
          <w:rFonts w:ascii="Times New Roman" w:eastAsia="Times New Roman" w:hAnsi="Times New Roman" w:cs="Times New Roman"/>
          <w:kern w:val="0"/>
          <w14:ligatures w14:val="none"/>
        </w:rPr>
        <w:t>Preply</w:t>
      </w:r>
      <w:proofErr w:type="spellEnd"/>
      <w:r w:rsidRPr="008202A6">
        <w:rPr>
          <w:rFonts w:ascii="Times New Roman" w:eastAsia="Times New Roman" w:hAnsi="Times New Roman" w:cs="Times New Roman"/>
          <w:kern w:val="0"/>
          <w14:ligatures w14:val="none"/>
        </w:rPr>
        <w:t xml:space="preserve">)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F6180">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Stated years of experience:</w:t>
      </w:r>
      <w:r w:rsidRPr="00FF6180">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Requirement strength:</w:t>
      </w:r>
      <w:r w:rsidRPr="00FF6180">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Experience specificity:</w:t>
      </w:r>
      <w:r w:rsidRPr="00FF6180">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Actual responsibility seniority:</w:t>
      </w:r>
      <w:r w:rsidRPr="00FF6180">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lastRenderedPageBreak/>
        <w:t xml:space="preserve">The assistant must </w:t>
      </w:r>
      <w:r w:rsidRPr="00FF6180">
        <w:rPr>
          <w:rFonts w:ascii="Times New Roman" w:eastAsia="Times New Roman" w:hAnsi="Times New Roman" w:cs="Times New Roman"/>
          <w:b/>
          <w:bCs/>
          <w:kern w:val="0"/>
          <w14:ligatures w14:val="none"/>
        </w:rPr>
        <w:t>never determine candidate level from years-of-experience requirements alone</w:t>
      </w:r>
      <w:r w:rsidRPr="00FF6180">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Target Level</w:t>
      </w:r>
      <w:r w:rsidRPr="00FF6180">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Stretch</w:t>
      </w:r>
      <w:r w:rsidRPr="00FF6180">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Above Level</w:t>
      </w:r>
      <w:r w:rsidRPr="00FF6180">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Level Fit</w:t>
      </w:r>
      <w:r w:rsidR="008202A6" w:rsidRPr="008202A6">
        <w:rPr>
          <w:rFonts w:ascii="Times New Roman" w:eastAsia="Times New Roman" w:hAnsi="Times New Roman" w:cs="Times New Roman"/>
          <w:kern w:val="0"/>
          <w14:ligatures w14:val="none"/>
        </w:rPr>
        <w:t xml:space="preserve">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assistant should explain </w:t>
      </w:r>
      <w:r w:rsidRPr="008202A6">
        <w:rPr>
          <w:rFonts w:ascii="Times New Roman" w:eastAsia="Times New Roman" w:hAnsi="Times New Roman" w:cs="Times New Roman"/>
          <w:b/>
          <w:bCs/>
          <w:kern w:val="0"/>
          <w14:ligatures w14:val="none"/>
        </w:rPr>
        <w:t>why</w:t>
      </w:r>
      <w:r w:rsidRPr="008202A6">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19. Source Analytics (Future)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Measure the effectiveness of each discovery source over time.</w:t>
      </w:r>
    </w:p>
    <w:p w14:paraId="6DEAA61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484E344">
          <v:rect id="_x0000_i1114" style="width:0;height:1.5pt" o:hralign="center" o:hrstd="t" o:hr="t" fillcolor="#a0a0a0" stroked="f"/>
        </w:pic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ATS coverage </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Contribution to successful outcomes </w:t>
      </w:r>
    </w:p>
    <w:p w14:paraId="2F0B160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Future source additions should be based on measurable performance rather than assumptions.</w:t>
      </w:r>
    </w:p>
    <w:p w14:paraId="5759690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0F6239">
          <v:rect id="_x0000_i1115" style="width:0;height:1.5pt" o:hralign="center" o:hrstd="t" o:hr="t" fillcolor="#a0a0a0" stroked="f"/>
        </w:pic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Discovery</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Browser extension integration </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Six ATS integrations </w:t>
      </w:r>
    </w:p>
    <w:p w14:paraId="29738735"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Opportunity/listing deduplication </w:t>
      </w:r>
    </w:p>
    <w:p w14:paraId="5016C1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37F939">
          <v:rect id="_x0000_i1116" style="width:0;height:1.5pt" o:hralign="center" o:hrstd="t" o:hr="t" fillcolor="#a0a0a0" stroked="f"/>
        </w:pic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Explainable recommendations </w:t>
      </w:r>
    </w:p>
    <w:p w14:paraId="0D664403"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matching </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prioritization </w:t>
      </w:r>
    </w:p>
    <w:p w14:paraId="70FD219C"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evaluation </w:t>
      </w:r>
    </w:p>
    <w:p w14:paraId="39FF542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0FBB6">
          <v:rect id="_x0000_i1117" style="width:0;height:1.5pt" o:hralign="center" o:hrstd="t" o:hr="t" fillcolor="#a0a0a0" stroked="f"/>
        </w:pic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Skip </w:t>
      </w:r>
    </w:p>
    <w:p w14:paraId="08A93AE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A566A2">
          <v:rect id="_x0000_i1118" style="width:0;height:1.5pt" o:hralign="center" o:hrstd="t" o:hr="t" fillcolor="#a0a0a0" stroked="f"/>
        </w:pic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summaries </w:t>
      </w:r>
    </w:p>
    <w:p w14:paraId="52EB3B0B"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Source attribution </w:t>
      </w:r>
    </w:p>
    <w:p w14:paraId="2545056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5F35E3">
          <v:rect id="_x0000_i1119" style="width:0;height:1.5pt" o:hralign="center" o:hrstd="t" o:hr="t" fillcolor="#a0a0a0" stroked="f"/>
        </w:pic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Customer Success AI Assistant does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watchlists (Version 1) </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features belong either to the Core AI Framework or future domain-specific assistants.</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now has a working end-to-end manual evaluation workflow. A manually entered job opportunity can be persisted, queued for evaluation, processed in the background, stored as a versioned evaluation, and displayed through the results interface with an Apply / Review / Skip recommendation.</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Current Evaluator Status</w:t>
      </w:r>
    </w:p>
    <w:p>
      <w:r>
        <w:t>The Customer Success evaluator is functionally established and is now in final optimization and verification. 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pPr>
        <w:pStyle w:val="Heading2"/>
      </w:pPr>
      <w:r>
        <w:t>Planned Next Work</w:t>
      </w:r>
    </w:p>
    <w:p>
      <w:r>
        <w:t>• Finish the remaining evaluator optimization and final mixed-model verification.</w:t>
      </w:r>
    </w:p>
    <w:p>
      <w:r>
        <w:t>• Complete the remaining application workflow and integration work needed for the first stable, usable Customer Success product.</w:t>
      </w:r>
    </w:p>
    <w:p>
      <w:r>
        <w:t>• After the usable product is complete, add automated retrieval and source ingestion so discovered jobs enter the same existing Customer Success evaluation pipeline.</w:t>
      </w:r>
    </w:p>
    <w:p>
      <w:r>
        <w:t>• Add posting-history support required for stronger Ghost Job Risk evaluation as retrieval and source-history capabilities are implemented.</w:t>
      </w:r>
    </w:p>
    <w:p>
      <w:r>
        <w:t>• Later expand source analytics and other deferred Customer Success features described in this PRD.</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End of Document</w:t>
      </w:r>
      <w:r>
        <w:rPr>
          <w:rFonts w:ascii="Times New Roman" w:eastAsia="Times New Roman" w:hAnsi="Times New Roman" w:cs="Times New Roman"/>
          <w:b/>
          <w:bCs/>
          <w:kern w:val="0"/>
          <w:sz w:val="36"/>
          <w:szCs w:val="36"/>
          <w14:ligatures w14:val="none"/>
        </w:rPr>
        <w:t xml:space="preserve"> </w:t>
      </w:r>
      <w:r w:rsidRPr="008202A6">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1.2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