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1.9</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v1.8</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1.9 — October 18, 2026 — Added the implementation-status summary for automated retrieval from the verified Type #3 and Type #4 sources (feature 11B): the JSON POST transport method, source-specific request intervals and page caps, the Workday, Workable and Wellfound adapters, and Welcome to the Jungle / Otta registered but unverified; updated the dependency to Core AI Framework PRD v1.8 and the main-product sequence. The design sections are unchanged.</w:t>
      </w:r>
    </w:p>
    <w:p>
      <w:r>
        <w:t xml:space="preserve">Version 1.8 — October 18, 2026 — Added the implementation-status summary for automated retrieval (feature 11A): the collector contract and transport limits, the verified Type #1 adapters, title-only discovery, retrieval sources and runs, re-observation and change detection, canonical application-link precedence and the retrieval worker; recorded deduplication engine core-dedup-v2 (source-scoped listing IDs); updated the dependency to Core AI Framework PRD v1.7 and the main-product sequence. The design sections are unchanged.</w:t>
      </w:r>
    </w:p>
    <w:p>
      <w:r>
        <w:t xml:space="preserve">Version 1.7 — October 17, 2026 — Added implementation-status summaries for deduplication and provenance retention (the capture transaction, duplicate outcomes, source retention, reversible user resolution, company-name normalization and the duplicate recheck before paid evaluation) and for usage reporting by domain and job source; updated the dependency to Core AI Framework PRD v1.6 and the main-product sequence. The design sections are unchanged.</w:t>
      </w:r>
    </w:p>
    <w:p>
      <w:r>
        <w:t xml:space="preserve">Version 1.6 — October 16, 2026 — Documented the USAGE_LIMIT_REACHED deferral reason and the legacy BUDGET_UNAVAILABLE mapping, completed the neutral eligibility wording, added implementation-status summaries for the completed application tracker and for the operations and worker model, updated the dependency to Core AI Framework PRD v1.5, and updated the main-product sequence.</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architecture should prioritize a </w:t>
      </w:r>
      <w:r>
        <w:rPr>
          <w:rFonts w:ascii="Times New Roman" w:eastAsia="Times New Roman" w:hAnsi="Times New Roman" w:cs="Times New Roman"/>
          <w:b/>
          <w:bCs/>
          <w:kern w:val="0"/>
          <w14:ligatures w14:val="none"/>
        </w:rPr>
        <w:t>working MVP</w:t>
      </w:r>
      <w:r>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should remain </w:t>
      </w: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platform should initially be implemented as a </w:t>
      </w:r>
      <w:r>
        <w:rPr>
          <w:rFonts w:ascii="Times New Roman" w:eastAsia="Times New Roman" w:hAnsi="Times New Roman" w:cs="Times New Roman"/>
          <w:b/>
          <w:bCs/>
          <w:kern w:val="0"/>
          <w14:ligatures w14:val="none"/>
        </w:rPr>
        <w:t>modular monolith</w:t>
      </w:r>
      <w:r>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Vitest/Jest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an </w:t>
      </w:r>
      <w:r>
        <w:rPr>
          <w:rFonts w:ascii="Times New Roman" w:eastAsia="Times New Roman" w:hAnsi="Times New Roman" w:cs="Times New Roman"/>
          <w:b/>
          <w:bCs/>
          <w:kern w:val="0"/>
          <w14:ligatures w14:val="none"/>
        </w:rPr>
        <w:t>Opportunity</w:t>
      </w:r>
      <w:r>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travelRequirement</w:t>
      </w:r>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timezoneRequirement</w:t>
      </w:r>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closingDate</w:t>
      </w:r>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canonicalUrl</w:t>
      </w:r>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applicationUrl</w:t>
      </w:r>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sourceRecords[]</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firstSeen</w:t>
      </w:r>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lastSeen</w:t>
      </w:r>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SourceRecord</w:t>
      </w:r>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rawTitle</w:t>
      </w:r>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rawCompany</w:t>
      </w:r>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rawLocation</w:t>
      </w:r>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rawDescription</w:t>
      </w:r>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discoveredAt</w:t>
      </w:r>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lastObservedAt</w:t>
      </w:r>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Adzuna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RawOpportunity</w:t>
      </w:r>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salaryText</w:t>
      </w:r>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sourceMetadata</w:t>
      </w:r>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Normalization Engine converts </w:t>
      </w:r>
      <w:r>
        <w:rPr>
          <w:rFonts w:ascii="Courier New" w:eastAsia="Times New Roman" w:hAnsi="Courier New" w:cs="Courier New"/>
          <w:kern w:val="0"/>
          <w:sz w:val="20"/>
          <w:szCs w:val="20"/>
          <w14:ligatures w14:val="none"/>
        </w:rPr>
        <w:t>RawOpportunity</w:t>
      </w:r>
      <w:r>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RawOpportunity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 job_description</w:t>
      </w:r>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important because later evaluation stages need to know </w:t>
      </w:r>
      <w:r>
        <w:rPr>
          <w:rFonts w:ascii="Times New Roman" w:eastAsia="Times New Roman" w:hAnsi="Times New Roman" w:cs="Times New Roman"/>
          <w:b/>
          <w:bCs/>
          <w:kern w:val="0"/>
          <w14:ligatures w14:val="none"/>
        </w:rPr>
        <w:t>where a fact came from</w:t>
      </w:r>
      <w:r>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MATCH</w:t>
      </w:r>
      <w:r>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PROBABLE_MATCH</w:t>
      </w:r>
      <w:r>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lastRenderedPageBreak/>
        <w:t>NO_MATCH</w:t>
      </w:r>
      <w:r>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preference affects the canonical application link,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DomainEvaluator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w:t>
      </w:r>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 UserProfile</w:t>
      </w:r>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Promise&lt;EvaluationResult&gt;;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CustomerSuccessEvaluator</w:t>
      </w:r>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FreelanceWritingEvaluator</w:t>
      </w:r>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EvaluationStage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evaluate(context: EvaluationContext): Promise&lt;StageResult&gt;;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EvaluationContext</w:t>
      </w:r>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rawSources</w:t>
      </w:r>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previousStageResults</w:t>
      </w:r>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domainConfiguration</w:t>
      </w:r>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most important architecture rules is deciding </w:t>
      </w:r>
      <w:r>
        <w:rPr>
          <w:rFonts w:ascii="Times New Roman" w:eastAsia="Times New Roman" w:hAnsi="Times New Roman" w:cs="Times New Roman"/>
          <w:b/>
          <w:bCs/>
          <w:kern w:val="0"/>
          <w14:ligatures w14:val="none"/>
        </w:rPr>
        <w:t>what AI should and should not decide</w:t>
      </w:r>
      <w:r>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 "role_seniority",</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"confidence": "strong_evidence",</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"reasoning_summary":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EvidenceRecord</w:t>
      </w:r>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stageId</w:t>
      </w:r>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criterionId</w:t>
      </w:r>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sourceReference</w:t>
      </w:r>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sourceText</w:t>
      </w:r>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evidenceLevel</w:t>
      </w:r>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createdAt</w:t>
      </w:r>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confirmed</w:t>
      </w:r>
      <w:r>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strong_evidence</w:t>
      </w:r>
      <w:r>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possible</w:t>
      </w:r>
      <w:r>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conflicting</w:t>
      </w:r>
      <w:r>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must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claimA</w:t>
      </w:r>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claimB</w:t>
      </w:r>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measures </w:t>
      </w:r>
      <w:r>
        <w:rPr>
          <w:rFonts w:ascii="Times New Roman" w:eastAsia="Times New Roman" w:hAnsi="Times New Roman" w:cs="Times New Roman"/>
          <w:b/>
          <w:bCs/>
          <w:kern w:val="0"/>
          <w14:ligatures w14:val="none"/>
        </w:rPr>
        <w:t>evidence strength</w:t>
      </w:r>
      <w:r>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w:t>
      </w:r>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careerGoals</w:t>
      </w:r>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transferableSkills</w:t>
      </w:r>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locationPreferences</w:t>
      </w:r>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compensationPreferences</w:t>
      </w:r>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workPreferences</w:t>
      </w:r>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customer-success.config</w:t>
      </w:r>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salaryThresholds</w:t>
      </w:r>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locationRules</w:t>
      </w:r>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travelRules</w:t>
      </w:r>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targetCompanies</w:t>
      </w:r>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targetProducts</w:t>
      </w:r>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customerSegments</w:t>
      </w:r>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evaluationStages</w:t>
      </w:r>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recommendationRules</w:t>
      </w:r>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ScoreResult</w:t>
      </w:r>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LLM should </w:t>
      </w:r>
      <w:r>
        <w:rPr>
          <w:rFonts w:ascii="Times New Roman" w:eastAsia="Times New Roman" w:hAnsi="Times New Roman" w:cs="Times New Roman"/>
          <w:b/>
          <w:bCs/>
          <w:kern w:val="0"/>
          <w14:ligatures w14:val="none"/>
        </w:rPr>
        <w:t>not independently decide Apply / Review / Skip</w:t>
      </w:r>
      <w:r>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scoreSummary</w:t>
      </w:r>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strongestPositives[]</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strongestConcerns[]</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USAGE_LIMIT_REACHED when an otherwise eligible job is held only by a configured non-dollar usage limit (daily evaluations, weekly evaluations, or monthly output tokens). When the monthly budget is among the limits reached, AI_BUDGET_LIMIT applies. Rows recorded with the earlier reason BUDGET_UNAVAILABLE are read as AI_BUDGET_LIMIT and are not rewritten.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evaluationVersion</w:t>
      </w:r>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domainVersion</w:t>
      </w:r>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promptVersion</w:t>
      </w:r>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userProfileVersion</w:t>
      </w:r>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AI_BUDGET_LIMIT-deferred and USAGE_LIMIT_REACHED-deferred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failure should be retryable.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failure should be retryable.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eligible-for-evaluation, evaluated, queued, running, AI_BUDGET_LIMIT-deferred and USAGE_LIMIT_REACHED-deferred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and USAGE_LIMIT_REACHED as separate operational deferral reasons.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or usage-limit-deferred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job descriptions and websites as </w:t>
      </w:r>
      <w:r>
        <w:rPr>
          <w:rFonts w:ascii="Times New Roman" w:eastAsia="Times New Roman" w:hAnsi="Times New Roman" w:cs="Times New Roman"/>
          <w:b/>
          <w:bCs/>
          <w:kern w:val="0"/>
          <w14:ligatures w14:val="none"/>
        </w:rPr>
        <w:t>untrusted input</w:t>
      </w:r>
      <w:r>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evaluation layer must treat all collected content as </w:t>
      </w:r>
      <w:r>
        <w:rPr>
          <w:rFonts w:ascii="Times New Roman" w:eastAsia="Times New Roman" w:hAnsi="Times New Roman" w:cs="Times New Roman"/>
          <w:b/>
          <w:bCs/>
          <w:kern w:val="0"/>
          <w14:ligatures w14:val="none"/>
        </w:rPr>
        <w:t>data only</w:t>
      </w:r>
      <w:r>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reaching only a non-dollar usage limit creates USAGE_LIMIT_REACHED deferral with the same preservation guarantees, and that legacy BUDGET_UNAVAILABLE rows read as AI_BUDGET_LIMIT.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conflicting-jd/</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build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retryable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with structured limitations, AI usage/cost accounting, and persistent budget controls. The application tracker and operational hardening are complete after the Task 8 and Task 9 completion passes (October 16, 2026).</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now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 A time-zone requirement is recorded only when the user states it and is withheld from evaluator input.</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 Usage reporting also shows provider-reported tokens and known spend by domain and job source for the budget period, with unreported tokens and unknown-cost attempts counted separately. Deferral uses AI_BUDGET_LIMIT when the monthly dollar budget is among the limits reached and USAGE_LIMIT_REACHED when only a non-dollar limit is.</w:t>
      </w:r>
    </w:p>
    <w:p>
      <w:pPr>
        <w:pStyle w:val="Heading2"/>
      </w:pPr>
      <w:r>
        <w:t>Application Tracker</w:t>
      </w:r>
    </w:p>
    <w:p>
      <w:r>
        <w:t xml:space="preserve">Each opportunity has at most one application. Stages are Planned, Applied, Screening, Interviewing, Final round, Offer and Closed; a closed application records one outcome (offer accepted, offer declined, rejected, withdrawn, no response, or not submitted). Notes, contacts, follow-ups and interviews belong to the application. Every change is recorded in a dated, append-only, gap-free application event history, which supplies the facts that later application analytics (main-product features 15 and 17) need. No analytics event stream is emitted yet.</w:t>
      </w:r>
    </w:p>
    <w:p>
      <w:r>
        <w:t xml:space="preserve">Every tracker write locks the opportunity row. Versioned commands use compare-and-set and refuse a stale write with APPLICATION_CHANGED, leaving no partial write. Applied and closed dates are UTC calendar dates: neither may be later than the current UTC date, and a close may not precede the applied date. Follow-ups can be added, rescheduled, reworded, completed and reopened. Only open applications of non-archived opportunities have a next action, and that rule drives due, overdue and due-today visibility, filters and counts.</w:t>
      </w:r>
    </w:p>
    <w:p>
      <w:r>
        <w:t xml:space="preserve">Lifecycle interaction is guarded: an opportunity lifecycle action takes the opportunity lock, then applies the application guard, then performs the lifecycle transition, in one transaction. Submitting an application marks the opportunity Applied in the same transaction; later stage changes and closing never change the opportunity lifecycle; archiving makes the application read-only. Evaluation and reevaluation never read or write application data.</w:t>
      </w:r>
    </w:p>
    <w:p>
      <w:pPr>
        <w:pStyle w:val="Heading2"/>
      </w:pPr>
      <w:r>
        <w:t>Operations and Worker Model</w:t>
      </w:r>
    </w:p>
    <w:p>
      <w:r>
        <w:t xml:space="preserve">One evaluation worker runs at a time. It holds a PostgreSQL advisory lock on its own dedicated database connection, and expired-lease recovery runs only while the worker holds that lock and is idle. The lock is not a heartbeat: if the lock connection drops during a run and a second worker starts, the second worker’s recovery can fail a still-running task whose lease expired on its final attempt. Lease renewal and claim ownership remain documented limitations for review at final integration.</w:t>
      </w:r>
    </w:p>
    <w:p>
      <w:r>
        <w:t xml:space="preserve">GET /api/health reports database reachability and whether AI is configured, and returns 503 with no error detail when the database is unavailable. pnpm app:doctor is a read-only operational check; among other things, it reports evaluations waiting for the AI budget separately from those waiting for usage limits. API routes log only the error name, never raw error objects. End-to-end tests always use a deterministic, non-live AI credential and an isolated test database.</w:t>
      </w:r>
    </w:p>
    <w:p>
      <w:pPr>
        <w:pStyle w:val="Heading2"/>
      </w:pPr>
      <w:r>
        <w:t>Deduplication and Provenance Retention</w:t>
      </w:r>
    </w:p>
    <w:p>
      <w:r>
        <w:t xml:space="preserve">Capture normalizes first and then writes in one transaction under a capture lock: the raw SourceRecord, the duplicate decision, and either a new NORMALIZED opportunity with field provenance or the attachment of that SourceRecord to the existing opportunity. A failure leaves nothing behind; a capture whose normalization fails still preserves its raw SourceRecord, unlinked (Section 11).</w:t>
      </w:r>
    </w:p>
    <w:p>
      <w:r>
        <w:t xml:space="preserve">The deterministic engine (core-dedup-v2 since October 18, 2026; records decided earlier keep their core-dedup-v1 evidence label) returns MATCH for the same listing URL with no conflicting title, company or listing ID, or for the same source listing or requisition ID at the same normalized company; PROBABLE_MATCH for a confidence-scored similarity of title, location and description within the same normalized company, or for a shared identifier with a conflict; and NO_MATCH otherwise. MATCH attaches the new SourceRecord to the earliest-seen matching opportunity instead of creating another opportunity; that canonical opportunity’s fields, lifecycle, evaluations and application are unchanged except its last-seen time. Before saving, the user is shown the exact duplicate and may instead keep the capture as a separate opportunity, recorded as a DISTINCT decision on the duplicate relationship. PROBABLE_MATCH creates the opportunity and records the relationship, with its confidence and evidence, for review; nothing is merged on a probable match. For any detected pair, exact or probable, the user can record that the two are different jobs (DISTINCT) and can reverse that decision later, which reopens the pair as a duplicate; only the user decision changes, never the engine’s recorded decision or either opportunity.</w:t>
      </w:r>
    </w:p>
    <w:p>
      <w:r>
        <w:t xml:space="preserve">Provenance is retained on every path. An attached SourceRecord keeps its raw text and payload exactly as captured and records the duplicate decision and its evidence (matched identifiers, engine version, confidence); the canonical opportunity keeps its first-seen date and existing field provenance, and its last-seen date reflects the latest capture. Duplicate relationships record the engine’s decision, confidence and evidence. Opportunities that already exist, including those with evaluations or application records, are never merged retroactively: existing duplicates keep their own history and are linked by duplicate relationships, and the duplicate recheck above prevents paying again for the same listing. Retrieval does not merge them either (feature 11A); merging opportunities that already have history remains a separately designed step.</w:t>
      </w:r>
    </w:p>
    <w:p>
      <w:r>
        <w:t xml:space="preserve">Companies are reused by a normalized name that ignores case, punctuation, “&amp;” and one recognized trailing legal-entity suffix; stored names are never rewritten, and the entered spelling stays in the raw source and field provenance. An explicit, additive and idempotent backfill command, run deliberately against a chosen database and never as part of application setup, fills missing normalized company names and records missing duplicate relationships among existing opportunities. It never renames, merges, deletes or re-links a company or an opportunity and never changes an existing relationship; a dry run reports what it would do, and the read-only operational check reports when it is needed.</w:t>
      </w:r>
    </w:p>
    <w:p>
      <w:r>
        <w:t xml:space="preserve">Before admission, a paid evaluation request or deferred-evaluation release is refused for an opportunity that has never completed an evaluation while an unresolved exact duplicate already has a completed or active evaluation, a live admission or an open deferral (Section 33). This duplicate recheck runs together with the existing eligibility, pinned-profile and active-evaluation rechecks; a refused release leaves the deferral open and writes nothing. The check and the admission, evaluation or deferral it permits are serialized by an advisory lock held on its own connection until that write is committed, so simultaneous requests for two exact duplicates cannot both be admitted. Cross-source matching and canonical-link selection by source type (Section 15) are implemented with retrieval (below); posting history follows in feature 13.</w:t>
      </w:r>
    </w:p>
    <w:p>
      <w:pPr>
        <w:pStyle w:val="Heading2"/>
      </w:pPr>
      <w:r>
        <w:t>Automated Retrieval (Feature 11A)</w:t>
      </w:r>
    </w:p>
    <w:p>
      <w:r>
        <w:t xml:space="preserve">Collectors implement the shared contract (Section 8) in the discovery package: each source adapter maps its source’s public interface to RawOpportunity listings with retrieval provenance (retrieval type, source category, retrieval source and run, and a content hash) and never judges suitability. Production requests go through one injectable transport: plain GET requests with an identifying User-Agent, a 20-second timeout and a hard 10 MB response ceiling (a larger response is refused, never truncated), without cookies and without following redirects. Within a run, requests to one host are serialized at least one second apart, and an HTTP 429 (RATE_LIMITED) or 401/403 (ACCESS_DENIED, an access failure rather than a rate limit) stops all further requests to that host. Credentials are redacted from errors, logs and run history. Tests use a fixture transport only.</w:t>
      </w:r>
    </w:p>
    <w:p>
      <w:r>
        <w:t xml:space="preserve">Verified Type #1 adapters (each verified on October 17–18, 2026 with one approved live request, plus the approved follow-up requests named below, and a committed fixture of at most three items with recorded metadata): Greenhouse, Lever, Ashby and SmartRecruiters (employer ATS), and Remote OK, We Work Remotely, Himalayas and Working Nomads. Pagination is used only where verified: Himalayas follows its documented cursor up to the per-run page cap, and SmartRecruiters pages its list by offset (verified with one approved page-2 request) up to the same cap. With 100 postings per page, a SmartRecruiters run sees at most the newest 500 postings visible through the list interface; postings outside that window are out of scope for Feature 11A. Because the list carries no description, SmartRecruiters reads posting details, filtered by title first and capped at 25 per run: postings never stored from the source go first, oldest first (they are closest to leaving the window), and any remaining capacity goes to stored postings, longest since last checked first, so stored postings take turns and never displace unseen ones. Lever and Ashby return no employer name, so the source configuration supplies it, and field provenance records that origin. Adzuna is registered but unverified and cannot be enabled; its documented search response carries a description excerpt, which conflicts with the complete-description requirement and remains an open issue.</w:t>
      </w:r>
    </w:p>
    <w:p>
      <w:r>
        <w:t xml:space="preserve">A listing is kept only when its title contains one of the domain’s role-family terms as a whole phrase; the description is never used to keep a listing, and the complete description is preserved. The retrieved-listing normalizer records structured source facts with DIRECT provenance and text-derived facts as DETERMINISTIC. Salary amounts are normalized only when stated as annual, with a recognized currency, as one unambiguous range; several compensation tiers, or amounts without a currency, are kept as source data only. Residency comes only from explicit statements, and a time-zone requirement is never inferred. The source item is stored under rawPayload.source, never as posting history.</w:t>
      </w:r>
    </w:p>
    <w:p>
      <w:r>
        <w:t xml:space="preserve">RetrievalSource holds each configured source: disabled when created, scheduled every 12 hours by default, and due at once when first enabled. RetrievalRun records each run with its trigger, status (COMPLETED, PARTIAL or FAILED), counts and a safe error code. A source or run that produced records cannot be deleted (the foreign keys restrict deletion): removing it archives it, and only a source that never produced anything is deleted. One retrieval worker runs at a time under its own advisory lock; it queues due runs, claims one with SKIP LOCKED and a lease, and ingests each listing in its own capture transaction, so one failing listing does not stop the run. Retrieval never creates an evaluation, admission or deferral.</w:t>
      </w:r>
    </w:p>
    <w:p>
      <w:r>
        <w:t xml:space="preserve">A listing already stored from the same source with the same source listing ID is a re-observation. Unchanged content (the same hash over the listing’s material fields, which excludes volatile metadata such as fetch times, counters, tracking parameters and source update stamps) moves only the last-seen times. Changed content adds a new SourceRecord linked to the previous one; the earlier record, the opportunity and its canonical description are left unchanged, and the change is shown. Any other listing takes the capture path: MATCH attaches it as another source, PROBABLE_MATCH creates the opportunity and records the relationship, and NO_MATCH creates the opportunity. On attachment, the canonical application link moves to a strictly higher-precedence source (employer ATS or careers site, then job board or marketplace, then aggregator) with field provenance; a link the user entered is never replaced.</w:t>
      </w:r>
    </w:p>
    <w:p>
      <w:r>
        <w:t xml:space="preserve">Deduplication engine core-dedup-v2 scopes source listing IDs by source, so a Greenhouse 123 never matches a Lever 123; manually entered IDs keep their plain form, and requisition IDs and listing URLs still match across sources. Differing listing IDs count as a conflict only when both come from the same source, so a genuine cross-source URL or requisition match is not demoted because providers use different internal IDs.</w:t>
      </w:r>
    </w:p>
    <w:p>
      <w:r>
        <w:t xml:space="preserve">Sources are managed on the Sources page (add, configure, enable, disable, Run now, run history, remove or restore); an unverified adapter, or one whose required environment variables are missing, cannot be enabled. The opportunity page shows where a listing was found, the retrieval source and run, a source’s required attribution as a link back, and a “Listing changed since first seen” notice; dashboard rows show “Found via” and “Listing changed”. pnpm worker:retrieval runs the worker; pnpm sources:verify makes an adapter’s verification request and checks the mapping offline; the read-only operational check reports enabled sources, the retrieval worker and recent failed runs. Source health, backoff and freshness (feature 12), posting history and Ghost Job Risk input (feature 13), browser-assisted sources (feature 14) and source-quality analytics (feature 15) are not part of feature 11A.</w:t>
      </w:r>
    </w:p>
    <w:p>
      <w:pPr>
        <w:pStyle w:val="Heading2"/>
      </w:pPr>
      <w:r>
        <w:t>Automated Retrieval: Type #3 and Type #4 Sources (Feature 11B)</w:t>
      </w:r>
    </w:p>
    <w:p>
      <w:r>
        <w:t xml:space="preserve">Feature 11B adds the verified public/guest-endpoint (Type #3) and public-HTML (Type #4) sources to the same collector contract, worker, normalization, deduplication and provenance path, without schema change. The transport gains one method, a JSON POST, used only where a source’s verified listing request is one; it has the same identifying User-Agent, timeout, 10 MB ceiling, no-cookie and no-redirect rules, politeness queue and status handling (429 stops the host as RATE_LIMITED; 401/403 as ACCESS_DENIED). An adapter may declare a longer minimum interval between requests to its host and its own page cap. Each source was verified on October 18, 2026 with individually approved live requests (raw responses kept outside the repository) and committed fixtures of at most three items with recorded metadata.</w:t>
      </w:r>
    </w:p>
    <w:p>
      <w:r>
        <w:t xml:space="preserve">Workday (employer ATS, Type #3) is configured by the employer’s career-site address, from which the tenant and site are read. The list is a stateless JSON POST to the site’s jobs endpoint (limit 20, offset paging; the total is reported on the first page only), and each title-matching posting’s detail is a stateless GET of its posting path, capped per run with unseen postings first. Listing IDs are qualified by tenant and site, so the same posting path at two career sites is two listings while a shared requisition at the same company still matches. The company comes from the detail’s hiring organization (an optional configured name is used only when it is absent); the posting date is the absolute start date; only Remote and Onsite map to a workplace type; location-dependent pay ranges stay in the description; and daily-changing presentation fields are excluded from change detection. A run reads a bounded window: the first 100 postings the listing endpoint returns (five pages of 20). Workday does not state the order of its listing; the verified pages appeared newest first, which the adapter does not rely on.</w:t>
      </w:r>
    </w:p>
    <w:p>
      <w:r>
        <w:t xml:space="preserve">Workable (job board, Type #3) uses the Jobs by Workable search for “customer success”, following nextPageToken as pageToken up to the page cap; the results are a bounded relevance-ordered window, not the newest jobs. Each result carries the complete posting text in description, requirements and benefits sections (combined in that order), the company, locations, workplace and posting date, so no detail requests are made, and freshness stamps are excluded from change detection. A rate limit seen from one network is handled by the existing stop; Workable’s official whole-feed XML export (about 850 MB) was verified as a contingency only and is not used.</w:t>
      </w:r>
    </w:p>
    <w:p>
      <w:r>
        <w:t xml:space="preserve">Wellfound (marketplace, Type #4) parses the Next.js state embedded in its logged-out Customer Success role page instead of the visual markup: the results entry gives the page count, and each company result lists its job listings with complete descriptions (Markdown-style text, converted to plain text). Pages are read as ?page=N up to the verified page count with a source-specific cap of 11 pages and at least two seconds between requests; no job pages are requested. Compensation text is kept as source data only. Welcome to the Jungle / Otta (Type #3) is registered but unverified and cannot be enabled: on October 18, 2026 its logged-out search returned a sign-up and matching flow with no listings, job IDs, paging or anonymous listing endpoint. Browser-assisted collection (feature 14) may reconsider it.</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The Task 1–9 completion pass for features 1–10 is complete (Task 8 Application Tracker and Task 9 operational hardening, October 16, 2026). The features 1–10 gap audit and the Features 1–10 Gap Closure followed (October 17, 2026), then feature 11, automated retrieval: 11A, the verified official API and feed sources, and 11B, the verified public/guest-endpoint and public-HTML sources (both October 18, 2026). Main-product features 11–18 together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1.9</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