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2E33" w14:textId="77777777" w:rsidR="00A2266A" w:rsidRPr="00A2266A" w:rsidRDefault="00A2266A" w:rsidP="00A2266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Core Platform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5707"/>
      </w:tblGrid>
      <w:tr w:rsidR="00A2266A" w:rsidRPr="00A2266A" w14:paraId="365BE6C0" w14:textId="77777777">
        <w:trPr>
          <w:tblHeader/>
          <w:tblCellSpacing w:w="15" w:type="dxa"/>
        </w:trPr>
        <w:tc>
          <w:tcPr>
            <w:tcW w:w="0" w:type="auto"/>
            <w:vAlign w:val="center"/>
            <w:hideMark/>
          </w:tcPr>
          <w:p w14:paraId="383F40A8"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6DA0369C"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A2266A" w:rsidRPr="00A2266A" w14:paraId="2001BE94" w14:textId="77777777">
        <w:trPr>
          <w:tblCellSpacing w:w="15" w:type="dxa"/>
        </w:trPr>
        <w:tc>
          <w:tcPr>
            <w:tcW w:w="0" w:type="auto"/>
            <w:vAlign w:val="center"/>
            <w:hideMark/>
          </w:tcPr>
          <w:p w14:paraId="7EB012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w:t>
            </w:r>
          </w:p>
        </w:tc>
        <w:tc>
          <w:tcPr>
            <w:tcW w:w="0" w:type="auto"/>
            <w:vAlign w:val="center"/>
            <w:hideMark/>
          </w:tcPr>
          <w:p w14:paraId="43CCB9D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w:t>
            </w:r>
          </w:p>
        </w:tc>
      </w:tr>
      <w:tr w:rsidR="00A2266A" w:rsidRPr="00A2266A" w14:paraId="1C917D5F" w14:textId="77777777">
        <w:trPr>
          <w:tblCellSpacing w:w="15" w:type="dxa"/>
        </w:trPr>
        <w:tc>
          <w:tcPr>
            <w:tcW w:w="0" w:type="auto"/>
            <w:vAlign w:val="center"/>
            <w:hideMark/>
          </w:tcPr>
          <w:p w14:paraId="7DF8EEF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w:t>
            </w:r>
          </w:p>
        </w:tc>
        <w:tc>
          <w:tcPr>
            <w:tcW w:w="0" w:type="auto"/>
            <w:vAlign w:val="center"/>
            <w:hideMark/>
          </w:tcPr>
          <w:p w14:paraId="51F419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Platform Technical Design Document</w:t>
            </w:r>
          </w:p>
        </w:tc>
      </w:tr>
      <w:tr w:rsidR="00A2266A" w:rsidRPr="00A2266A" w14:paraId="5530CCF8" w14:textId="77777777">
        <w:trPr>
          <w:tblCellSpacing w:w="15" w:type="dxa"/>
        </w:trPr>
        <w:tc>
          <w:tcPr>
            <w:tcW w:w="0" w:type="auto"/>
            <w:vAlign w:val="center"/>
            <w:hideMark/>
          </w:tcPr>
          <w:p w14:paraId="1483549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1.15</w:t>
            </w:r>
          </w:p>
        </w:tc>
      </w:tr>
      <w:tr w:rsidR="00A2266A" w:rsidRPr="00A2266A" w14:paraId="59B3B7BF" w14:textId="77777777">
        <w:trPr>
          <w:tblCellSpacing w:w="15" w:type="dxa"/>
        </w:trPr>
        <w:tc>
          <w:tcPr>
            <w:tcW w:w="0" w:type="auto"/>
            <w:vAlign w:val="center"/>
            <w:hideMark/>
          </w:tcPr>
          <w:p w14:paraId="4C34249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076C1D7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A2266A" w:rsidRPr="00A2266A" w14:paraId="1D473D78" w14:textId="77777777">
        <w:trPr>
          <w:tblCellSpacing w:w="15" w:type="dxa"/>
        </w:trPr>
        <w:tc>
          <w:tcPr>
            <w:tcW w:w="0" w:type="auto"/>
            <w:vAlign w:val="center"/>
            <w:hideMark/>
          </w:tcPr>
          <w:p w14:paraId="5E9CFFD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23, 2026</w:t>
            </w:r>
          </w:p>
        </w:tc>
      </w:tr>
      <w:tr w:rsidR="00A2266A" w:rsidRPr="00A2266A" w14:paraId="475B2933" w14:textId="77777777">
        <w:trPr>
          <w:tblCellSpacing w:w="15" w:type="dxa"/>
        </w:trPr>
        <w:tc>
          <w:tcPr>
            <w:tcW w:w="0" w:type="auto"/>
            <w:vAlign w:val="center"/>
            <w:hideMark/>
          </w:tcPr>
          <w:p w14:paraId="510DE02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v1.14</w:t>
            </w:r>
          </w:p>
        </w:tc>
      </w:tr>
      <w:tr w:rsidR="00A2266A" w:rsidRPr="00A2266A" w14:paraId="0B3A6F91" w14:textId="77777777">
        <w:trPr>
          <w:tblCellSpacing w:w="15" w:type="dxa"/>
        </w:trPr>
        <w:tc>
          <w:tcPr>
            <w:tcW w:w="0" w:type="auto"/>
            <w:vAlign w:val="center"/>
            <w:hideMark/>
          </w:tcPr>
          <w:p w14:paraId="0F4859D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Scope</w:t>
            </w:r>
          </w:p>
        </w:tc>
        <w:tc>
          <w:tcPr>
            <w:tcW w:w="0" w:type="auto"/>
            <w:vAlign w:val="center"/>
            <w:hideMark/>
          </w:tcPr>
          <w:p w14:paraId="65ABCF3E"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Shared technical architecture used by all domain assistants</w:t>
            </w:r>
          </w:p>
        </w:tc>
      </w:tr>
    </w:tbl>
    <w:p w14:paraId="5BD6D2A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8E7360">
          <v:rect id="_x0000_i102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Version 1.15 — October 23, 2026 — Restored and specified the shared Core job-text fallback in the Normalized Opportunity Contract (Section 51): structured and user-stated values are preferred, and when a source supplies none for an already-supported normalized fact, explicit statements in the job posting’s own text are a deterministic fallback, applied by one shared reader for manual, retrieved and browser-extension ingestion, with the precedence, provenance markers, compensation and currency rules, time-zone decision and work-authorization gap stated below. Replaced the unconditional reading of a bare “$” as US dollars with a safer product-wide rule. Recorded the browser extension’s neutral page context (the page title, and the job’s bounded page content beside a structured description, read only through labelled values) and user-corrected field provenance, and Feature 14B’s status after the user’s local acceptance. Corrected the re-observation contract (Section 51, automated retrieval): a changed version of the listing an opportunity was found from now becomes the opportunity’s current facts, re-normalized by the shared normalizer, with every earlier version and its provenance kept as history; attached copies from other sources, manual opportunities and values the user corrected are not re-projected. Added FieldProvenance.supersededAt and Evaluation.sourceRecordId (an additive migration): an evaluation is bound to the listing version it evaluates, and the opportunity page says when the latest evaluation used an earlier version. Nothing is evaluated automatically. Then corrected the normalization contract after the Healthie acceptance capture (October 25, 2026): a stated compensation range keeps its numeric bounds whatever its basis, with a new compensation basis fact (BASE or OTE, OTE wording taking precedence over a mention of base, and OTE also when the description states a source-stated range as OTE), in its original currency; explicit work authorization, citizenship, sponsorship, relocation and employer-of-record statements are a normalized fact for every job and country, separate from residency, and are interpreted for the user only by a separate relevance layer that compares them with the user’s own work eligibility (kept outside the evaluator profile); an explicit team statement may populate the department; the application URL is captured with its basis on every path, the posting page counting only on explicit evidence that it is the application page; and structured closing dates (JobPosting validThrough, Greenhouse application_deadline) are collected. Added Opportunity.compensationBasis, the work-authorization columns and the UserEligibility table (an additive migration). Deduplication and the evaluator’s stages, models, prompts, routing and schemas are unchanged. Updated the dependency to Core AI Framework PRD v1.14. Then corrected the contract across every live-tested source (October 26, 2026): a source’s remote-hiring places (sourceFacts.remoteLocations) are a remote role’s location and eligible geography, and an office in a remote posting’s data is never its location; one stated pay range with its own OTE or base-plus-variable detail is that range, while pay stated in regional tiers has no single range; a time-zone preference is kept as a preference; a source’s stated posting age is dated approximately; a stated seniority label is kept (Opportunity.seniorityLabel) and several stated work arrangements are kept as options (Opportunity.workArrangements), in one additive migration; a labelled requisition ID and a posting’s fuller labelled location are read; the extension reads microdata and structured data without a description, leaves other jobs’ lists out of the posting, sends its page context one item per line, and ranks an explicit application page above directApply. Department is no longer a user-facing field.</w:t>
      </w:r>
    </w:p>
    <w:p>
      <w:r>
        <w:t>Version 1.14 — October 20, 2026 — Added the implementation-status summary for the browser-extension companion (Feature 14B, Section 51): a Manifest V3 extension that reads the page the user is viewing only on request (structured job data; on LinkedIn job pages only the job-detail areas, then the user’s selection, with no whole-page reading; the user’s selection; elsewhere the page’s main content), an editable preview, a strict size-limited capture envelope, captures entering the existing retrieval ingestion with browser-extension provenance and never evaluating, a revocable pairing credential stored server-side only as a hash, extension-only routes, and evaluation-request and status wrappers over the existing evaluation handlers. Recorded the approved exception for the pairing credential to the general rule against secrets in browser storage. Corrected Section 9’s statement that Version 1 verified browser-assisted sources include LinkedIn and Upwork: browser-assisted support for LinkedIn is implemented, but the source is unverified and disabled, and Upwork belongs to another domain. Noted in Section 45 that evaluation after extension capture is only ever the user’s explicit request. Updated the dependency to Core AI Framework PRD v1.13.</w:t>
      </w:r>
    </w:p>
    <w:p>
      <w:r>
        <w:t xml:space="preserve">Version 1.13 — October 20, 2026 — Corrected the Feature 14 status and scope to match the existing roadmap after Feature 14A was accepted: Feature 14A (browser-assisted automated retrieval and source corrections) is implemented and accepted at commit dd77d29; Feature 14B, the browser-extension companion in Section 47, remains required main-product work, is not yet implemented and is next. An October 19, 2026 implementation instruction had incorrectly treated Feature 14B as deferred, optional and not required; no approved roadmap or product-scope revision removed it. Recorded the accepted local LinkedIn adapter evidence (search page HTTP 200 with 60 cards; first detail request HTTP 429; the source stays unverified and disabled). Updated the dependency to Core AI Framework PRD v1.12. The design sections are unchanged.</w:t>
      </w:r>
    </w:p>
    <w:p>
      <w:r>
        <w:t xml:space="preserve">Version 1.12 — October 19, 2026 — Added the implementation-status summary for browser-assisted retrieval and source corrections (feature 14): the reusable logged-out browser runner and its stop conditions, the LinkedIn public-page adapter with separate discovery and detail budgets and a cross-run pending pool kept in the listing ledger, the We Work Remotely all-jobs feed, the Wellfound cadence, the source-method audit, the reclassification of Welcome to the Jungle / Otta as public webpage retrieval, and the deferral of the browser extension; added a Section 9 implementation note; updated the dependency to Core AI Framework PRD v1.11 and the main-product sequence. The design sections are unchanged.</w:t>
      </w:r>
    </w:p>
    <w:p>
      <w:r>
        <w:t xml:space="preserve">Version 1.11 — October 19, 2026 — Added the implementation-status summary for posting history and listing removal (feature 13): listing coverage recorded independently of the title filter, the removal-capable sources and their exact-total completeness rule, the listing ledger with opaque tracking-scope generations and a conservative pre-feature-13 baseline, the removal and reappearance transitions, deterministic posting-history facts withheld from the evaluator, and the opportunity-page and dashboard display; updated the dependency to Core AI Framework PRD v1.10 and the main-product sequence. The design sections are unchanged.</w:t>
      </w:r>
    </w:p>
    <w:p>
      <w:r>
        <w:t xml:space="preserve">Version 1.10 — October 18, 2026 — Added the implementation-status summary for source health and conservative retrieval (feature 12): server errors classified and stopping a host for the rest of a run, Retry-After honoured in full, one deterministic backoff gate per source written with each run’s outcome, derived source health and freshness, Run now’s gate rules and the read-only operational warning; listing expiry and removal detection assigned to feature 13; updated the dependency to Core AI Framework PRD v1.9 and the main-product sequence. The design sections are unchanged.</w:t>
      </w:r>
    </w:p>
    <w:p>
      <w:r>
        <w:t xml:space="preserve">Version 1.9 — October 18, 2026 — Added the implementation-status summary for automated retrieval from the verified Type #3 and Type #4 sources (feature 11B): the JSON POST transport method, source-specific request intervals and page caps, the Workday, Workable and Wellfound adapters, and Welcome to the Jungle / Otta registered but unverified; updated the dependency to Core AI Framework PRD v1.8 and the main-product sequence. The design sections are unchanged.</w:t>
      </w:r>
    </w:p>
    <w:p>
      <w:r>
        <w:t xml:space="preserve">Version 1.8 — October 18, 2026 — Added the implementation-status summary for automated retrieval (feature 11A): the collector contract and transport limits, the verified Type #1 adapters, title-only discovery, retrieval sources and runs, re-observation and change detection, canonical application-link precedence and the retrieval worker; recorded deduplication engine core-dedup-v2 (source-scoped listing IDs); updated the dependency to Core AI Framework PRD v1.7 and the main-product sequence. The design sections are unchanged.</w:t>
      </w:r>
    </w:p>
    <w:p>
      <w:r>
        <w:t xml:space="preserve">Version 1.7 — October 17, 2026 — Added implementation-status summaries for deduplication and provenance retention (the capture transaction, duplicate outcomes, source retention, reversible user resolution, company-name normalization and the duplicate recheck before paid evaluation) and for usage reporting by domain and job source; updated the dependency to Core AI Framework PRD v1.6 and the main-product sequence. The design sections are unchanged.</w:t>
      </w:r>
    </w:p>
    <w:p>
      <w:r>
        <w:t xml:space="preserve">Version 1.6 — October 16, 2026 — Documented the USAGE_LIMIT_REACHED deferral reason and the legacy BUDGET_UNAVAILABLE mapping, completed the neutral eligibility wording, added implementation-status summaries for the completed application tracker and for the operations and worker model, updated the dependency to Core AI Framework PRD v1.5, and updated the main-product sequence.</w:t>
      </w:r>
    </w:p>
    <w:p>
      <w:r>
        <w:t>Version 1.5 — October 15, 2026 — Added the current normalized salary/residency data contract, documented isolated-test and domain-boundary rules, aligned implemented budget controls and routing status, and updated the complete main-product sequence.</w:t>
      </w:r>
    </w:p>
    <w:p>
      <w:r>
        <w:t>Version 1.4 — October 5, 2026 — Updated the implemented evaluation/results architecture, added per-operation semantic model routing, and documented the current completion state and next technical phases.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1.3 — August 20, 2026 — Added persistent AI usage and cost accounting, versioned model pricing, monthly budget-ledger requirements, atomic reservation and reconciliation, budget deferral, API/UI visibility, and verification requirements.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16, 2026 — Previous authoritative Core TDD version.</w:t>
      </w:r>
    </w:p>
    <w:p w14:paraId="5B5D689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Technical Objective</w:t>
      </w:r>
    </w:p>
    <w:p w14:paraId="2981C9E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the Core AI Framework as a modular platform capable of:</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Discovering opportunities from multiple sources. </w:t>
      </w:r>
    </w:p>
    <w:p w14:paraId="71C38CE1"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Converting heterogeneous listings into a common data model. </w:t>
      </w:r>
    </w:p>
    <w:p w14:paraId="7600924A"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Detecting and merging duplicates. </w:t>
      </w:r>
    </w:p>
    <w:p w14:paraId="0EF91925"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Passing normalized opportunities to domain-specific evaluation modules. </w:t>
      </w:r>
    </w:p>
    <w:p w14:paraId="05466874"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Using AI for semantic interpretation without allowing unsupported conclusions. </w:t>
      </w:r>
    </w:p>
    <w:p w14:paraId="7921CC9B"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Recording evidence, inference, confidence, and unknowns separately. </w:t>
      </w:r>
    </w:p>
    <w:p w14:paraId="20B3456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Producing structured recommendations. </w:t>
      </w:r>
    </w:p>
    <w:p w14:paraId="187B4ED3"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Tracking source and opportunity outcomes. </w:t>
      </w:r>
    </w:p>
    <w:p w14:paraId="4D8BC187"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additional domain assistants without rebuilding the platform. </w:t>
      </w:r>
    </w:p>
    <w:p w14:paraId="058C3FD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architecture should prioritize a </w:t>
      </w:r>
      <w:r>
        <w:rPr>
          <w:rFonts w:ascii="Times New Roman" w:eastAsia="Times New Roman" w:hAnsi="Times New Roman" w:cs="Times New Roman"/>
          <w:b/>
          <w:bCs/>
          <w:kern w:val="0"/>
          <w14:ligatures w14:val="none"/>
        </w:rPr>
        <w:t>working MVP</w:t>
      </w:r>
      <w:r>
        <w:rPr>
          <w:rFonts w:ascii="Times New Roman" w:eastAsia="Times New Roman" w:hAnsi="Times New Roman" w:cs="Times New Roman"/>
          <w:kern w:val="0"/>
          <w14:ligatures w14:val="none"/>
        </w:rPr>
        <w:t xml:space="preserve"> over premature infrastructure complexity.</w:t>
      </w:r>
    </w:p>
    <w:p w14:paraId="707924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ED0CDC">
          <v:rect id="_x0000_i1026" style="width:0;height:1.5pt" o:hralign="center" o:hrstd="t" o:hr="t" fillcolor="#a0a0a0" stroked="f"/>
        </w:pict>
      </w:r>
    </w:p>
    <w:p w14:paraId="728280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Architecture Principles</w:t>
      </w:r>
    </w:p>
    <w:p w14:paraId="139B0AC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Modular</w:t>
      </w:r>
    </w:p>
    <w:p w14:paraId="3DFA50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normalization, deduplication, evaluation, evidence, recommendations, and analytics should remain separable components.</w:t>
      </w:r>
    </w:p>
    <w:p w14:paraId="46FA019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Domain-Agnostic Core</w:t>
      </w:r>
    </w:p>
    <w:p w14:paraId="001BDE2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Core Platform must not contain Customer Success or Freelance Writing evaluation rules.</w:t>
      </w:r>
    </w:p>
    <w:p w14:paraId="4825CE3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logic plugs into the shared evaluation framework.</w:t>
      </w:r>
    </w:p>
    <w:p w14:paraId="6D64E4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First</w:t>
      </w:r>
    </w:p>
    <w:p w14:paraId="529481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AI-generated conclusions must be traceable to source evidence.</w:t>
      </w:r>
    </w:p>
    <w:p w14:paraId="26484613"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Structured AI Output</w:t>
      </w:r>
    </w:p>
    <w:p w14:paraId="3DB5017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should not depend on free-form AI prose for program logic.</w:t>
      </w:r>
    </w:p>
    <w:p w14:paraId="6407409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evaluation should return validated structured data.</w:t>
      </w:r>
    </w:p>
    <w:p w14:paraId="05470BA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Deterministic Where Possible</w:t>
      </w:r>
    </w:p>
    <w:p w14:paraId="1196AA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ordinary program logic for things such as:</w:t>
      </w:r>
    </w:p>
    <w:p w14:paraId="5C21AAF1"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thresholds </w:t>
      </w:r>
    </w:p>
    <w:p w14:paraId="12A7D0EC"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Dates </w:t>
      </w:r>
    </w:p>
    <w:p w14:paraId="4B069A6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percentages </w:t>
      </w:r>
    </w:p>
    <w:p w14:paraId="575DD20E"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identifiers </w:t>
      </w:r>
    </w:p>
    <w:p w14:paraId="45505A39"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Known location restrictions </w:t>
      </w:r>
    </w:p>
    <w:p w14:paraId="36A20F3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 scoring </w:t>
      </w:r>
    </w:p>
    <w:p w14:paraId="022E1736"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Required-field validation </w:t>
      </w:r>
    </w:p>
    <w:p w14:paraId="3D3D138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AI where semantic interpretation is actually necessary.</w:t>
      </w:r>
    </w:p>
    <w:p w14:paraId="6B2258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Unknown Over Assumption</w:t>
      </w:r>
    </w:p>
    <w:p w14:paraId="1FA8AF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information should remain </w:t>
      </w:r>
      <w:r>
        <w:rPr>
          <w:rFonts w:ascii="Courier New" w:eastAsia="Times New Roman" w:hAnsi="Courier New" w:cs="Courier New"/>
          <w:kern w:val="0"/>
          <w:sz w:val="20"/>
          <w:szCs w:val="20"/>
          <w14:ligatures w14:val="none"/>
        </w:rPr>
        <w:t>unknown</w:t>
      </w:r>
      <w:r>
        <w:rPr>
          <w:rFonts w:ascii="Times New Roman" w:eastAsia="Times New Roman" w:hAnsi="Times New Roman" w:cs="Times New Roman"/>
          <w:kern w:val="0"/>
          <w14:ligatures w14:val="none"/>
        </w:rPr>
        <w:t>.</w:t>
      </w:r>
    </w:p>
    <w:p w14:paraId="256E801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Human-Controlled Rules</w:t>
      </w:r>
    </w:p>
    <w:p w14:paraId="1B34693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may interpret evidence, but user-defined rules determine how that evidence affects recommendations.</w:t>
      </w:r>
    </w:p>
    <w:p w14:paraId="44B536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130560">
          <v:rect id="_x0000_i1027" style="width:0;height:1.5pt" o:hralign="center" o:hrstd="t" o:hr="t" fillcolor="#a0a0a0" stroked="f"/>
        </w:pict>
      </w:r>
    </w:p>
    <w:p w14:paraId="76FF609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High-Level Architecture</w:t>
      </w:r>
    </w:p>
    <w:p w14:paraId="3E286C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Sources → Collection → Normalization → Deduplication → Domain Evaluation → Evidence Validation → Scoring/Recommendation → Storage → UI → Analytics</w:t>
      </w:r>
    </w:p>
    <w:p w14:paraId="2FDFCB2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platform should initially be implemented as a </w:t>
      </w:r>
      <w:r>
        <w:rPr>
          <w:rFonts w:ascii="Times New Roman" w:eastAsia="Times New Roman" w:hAnsi="Times New Roman" w:cs="Times New Roman"/>
          <w:b/>
          <w:bCs/>
          <w:kern w:val="0"/>
          <w14:ligatures w14:val="none"/>
        </w:rPr>
        <w:t>modular monolith</w:t>
      </w:r>
      <w:r>
        <w:rPr>
          <w:rFonts w:ascii="Times New Roman" w:eastAsia="Times New Roman" w:hAnsi="Times New Roman" w:cs="Times New Roman"/>
          <w:kern w:val="0"/>
          <w14:ligatures w14:val="none"/>
        </w:rPr>
        <w:t>, not a collection of microservices.</w:t>
      </w:r>
    </w:p>
    <w:p w14:paraId="378157C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keeps Version 1 substantially easier to build, test, and modify while preserving clean module boundaries for future separation.</w:t>
      </w:r>
    </w:p>
    <w:p w14:paraId="781076F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C20938">
          <v:rect id="_x0000_i1028" style="width:0;height:1.5pt" o:hralign="center" o:hrstd="t" o:hr="t" fillcolor="#a0a0a0" stroked="f"/>
        </w:pict>
      </w:r>
    </w:p>
    <w:p w14:paraId="2AB15C4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Proposed Technology Stack</w:t>
      </w:r>
    </w:p>
    <w:p w14:paraId="712E6C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exact technologies can change during implementation if a practical limitation appears, but Version 1 should use a conventional web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3935"/>
      </w:tblGrid>
      <w:tr w:rsidR="00A2266A" w:rsidRPr="00A2266A" w14:paraId="0B077D22" w14:textId="77777777">
        <w:trPr>
          <w:tblHeader/>
          <w:tblCellSpacing w:w="15" w:type="dxa"/>
        </w:trPr>
        <w:tc>
          <w:tcPr>
            <w:tcW w:w="0" w:type="auto"/>
            <w:vAlign w:val="center"/>
            <w:hideMark/>
          </w:tcPr>
          <w:p w14:paraId="1CFDDBFB"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Layer</w:t>
            </w:r>
          </w:p>
        </w:tc>
        <w:tc>
          <w:tcPr>
            <w:tcW w:w="0" w:type="auto"/>
            <w:vAlign w:val="center"/>
            <w:hideMark/>
          </w:tcPr>
          <w:p w14:paraId="51ECF889"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Proposed Technology</w:t>
            </w:r>
          </w:p>
        </w:tc>
      </w:tr>
      <w:tr w:rsidR="00A2266A" w:rsidRPr="00A2266A" w14:paraId="0AEB352E" w14:textId="77777777">
        <w:trPr>
          <w:tblCellSpacing w:w="15" w:type="dxa"/>
        </w:trPr>
        <w:tc>
          <w:tcPr>
            <w:tcW w:w="0" w:type="auto"/>
            <w:vAlign w:val="center"/>
            <w:hideMark/>
          </w:tcPr>
          <w:p w14:paraId="3958414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Frontend</w:t>
            </w:r>
          </w:p>
        </w:tc>
        <w:tc>
          <w:tcPr>
            <w:tcW w:w="0" w:type="auto"/>
            <w:vAlign w:val="center"/>
            <w:hideMark/>
          </w:tcPr>
          <w:p w14:paraId="09CCA53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React + TypeScript</w:t>
            </w:r>
          </w:p>
        </w:tc>
      </w:tr>
      <w:tr w:rsidR="00A2266A" w:rsidRPr="00A2266A" w14:paraId="6937EFD0" w14:textId="77777777">
        <w:trPr>
          <w:tblCellSpacing w:w="15" w:type="dxa"/>
        </w:trPr>
        <w:tc>
          <w:tcPr>
            <w:tcW w:w="0" w:type="auto"/>
            <w:vAlign w:val="center"/>
            <w:hideMark/>
          </w:tcPr>
          <w:p w14:paraId="7C63E5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Web Application Framework</w:t>
            </w:r>
          </w:p>
        </w:tc>
        <w:tc>
          <w:tcPr>
            <w:tcW w:w="0" w:type="auto"/>
            <w:vAlign w:val="center"/>
            <w:hideMark/>
          </w:tcPr>
          <w:p w14:paraId="1F64630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Next.js</w:t>
            </w:r>
          </w:p>
        </w:tc>
      </w:tr>
      <w:tr w:rsidR="00A2266A" w:rsidRPr="00A2266A" w14:paraId="44543065" w14:textId="77777777">
        <w:trPr>
          <w:tblCellSpacing w:w="15" w:type="dxa"/>
        </w:trPr>
        <w:tc>
          <w:tcPr>
            <w:tcW w:w="0" w:type="auto"/>
            <w:vAlign w:val="center"/>
            <w:hideMark/>
          </w:tcPr>
          <w:p w14:paraId="21F7EA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Backend/API</w:t>
            </w:r>
          </w:p>
        </w:tc>
        <w:tc>
          <w:tcPr>
            <w:tcW w:w="0" w:type="auto"/>
            <w:vAlign w:val="center"/>
            <w:hideMark/>
          </w:tcPr>
          <w:p w14:paraId="3EEA79E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Next.js server/API layer</w:t>
            </w:r>
          </w:p>
        </w:tc>
      </w:tr>
      <w:tr w:rsidR="00A2266A" w:rsidRPr="00A2266A" w14:paraId="3801ECD0" w14:textId="77777777">
        <w:trPr>
          <w:tblCellSpacing w:w="15" w:type="dxa"/>
        </w:trPr>
        <w:tc>
          <w:tcPr>
            <w:tcW w:w="0" w:type="auto"/>
            <w:vAlign w:val="center"/>
            <w:hideMark/>
          </w:tcPr>
          <w:p w14:paraId="6CD16E7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Database</w:t>
            </w:r>
          </w:p>
        </w:tc>
        <w:tc>
          <w:tcPr>
            <w:tcW w:w="0" w:type="auto"/>
            <w:vAlign w:val="center"/>
            <w:hideMark/>
          </w:tcPr>
          <w:p w14:paraId="39882B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w:t>
            </w:r>
          </w:p>
        </w:tc>
      </w:tr>
      <w:tr w:rsidR="00A2266A" w:rsidRPr="00A2266A" w14:paraId="0DC41A7B" w14:textId="77777777">
        <w:trPr>
          <w:tblCellSpacing w:w="15" w:type="dxa"/>
        </w:trPr>
        <w:tc>
          <w:tcPr>
            <w:tcW w:w="0" w:type="auto"/>
            <w:vAlign w:val="center"/>
            <w:hideMark/>
          </w:tcPr>
          <w:p w14:paraId="3CE6BF8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ORM</w:t>
            </w:r>
          </w:p>
        </w:tc>
        <w:tc>
          <w:tcPr>
            <w:tcW w:w="0" w:type="auto"/>
            <w:vAlign w:val="center"/>
            <w:hideMark/>
          </w:tcPr>
          <w:p w14:paraId="7B4E815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Prisma</w:t>
            </w:r>
          </w:p>
        </w:tc>
      </w:tr>
      <w:tr w:rsidR="00A2266A" w:rsidRPr="00A2266A" w14:paraId="3E0A1CB3" w14:textId="77777777">
        <w:trPr>
          <w:tblCellSpacing w:w="15" w:type="dxa"/>
        </w:trPr>
        <w:tc>
          <w:tcPr>
            <w:tcW w:w="0" w:type="auto"/>
            <w:vAlign w:val="center"/>
            <w:hideMark/>
          </w:tcPr>
          <w:p w14:paraId="3738A58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Browser Extension</w:t>
            </w:r>
          </w:p>
        </w:tc>
        <w:tc>
          <w:tcPr>
            <w:tcW w:w="0" w:type="auto"/>
            <w:vAlign w:val="center"/>
            <w:hideMark/>
          </w:tcPr>
          <w:p w14:paraId="13339C9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TypeScript + Chrome Manifest V3</w:t>
            </w:r>
          </w:p>
        </w:tc>
      </w:tr>
      <w:tr w:rsidR="00A2266A" w:rsidRPr="00A2266A" w14:paraId="4315DD42" w14:textId="77777777">
        <w:trPr>
          <w:tblCellSpacing w:w="15" w:type="dxa"/>
        </w:trPr>
        <w:tc>
          <w:tcPr>
            <w:tcW w:w="0" w:type="auto"/>
            <w:vAlign w:val="center"/>
            <w:hideMark/>
          </w:tcPr>
          <w:p w14:paraId="24FBD77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AI Layer</w:t>
            </w:r>
          </w:p>
        </w:tc>
        <w:tc>
          <w:tcPr>
            <w:tcW w:w="0" w:type="auto"/>
            <w:vAlign w:val="center"/>
            <w:hideMark/>
          </w:tcPr>
          <w:p w14:paraId="6C84F0C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LLM API with structured JSON outputs</w:t>
            </w:r>
          </w:p>
        </w:tc>
      </w:tr>
      <w:tr w:rsidR="00A2266A" w:rsidRPr="00A2266A" w14:paraId="4FA09F16" w14:textId="77777777">
        <w:trPr>
          <w:tblCellSpacing w:w="15" w:type="dxa"/>
        </w:trPr>
        <w:tc>
          <w:tcPr>
            <w:tcW w:w="0" w:type="auto"/>
            <w:vAlign w:val="center"/>
            <w:hideMark/>
          </w:tcPr>
          <w:p w14:paraId="38D5F43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Validation</w:t>
            </w:r>
          </w:p>
        </w:tc>
        <w:tc>
          <w:tcPr>
            <w:tcW w:w="0" w:type="auto"/>
            <w:vAlign w:val="center"/>
            <w:hideMark/>
          </w:tcPr>
          <w:p w14:paraId="030771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Zod / JSON Schema</w:t>
            </w:r>
          </w:p>
        </w:tc>
      </w:tr>
      <w:tr w:rsidR="00A2266A" w:rsidRPr="00A2266A" w14:paraId="3BF167FE" w14:textId="77777777">
        <w:trPr>
          <w:tblCellSpacing w:w="15" w:type="dxa"/>
        </w:trPr>
        <w:tc>
          <w:tcPr>
            <w:tcW w:w="0" w:type="auto"/>
            <w:vAlign w:val="center"/>
            <w:hideMark/>
          </w:tcPr>
          <w:p w14:paraId="6003F3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Background Jobs</w:t>
            </w:r>
          </w:p>
        </w:tc>
        <w:tc>
          <w:tcPr>
            <w:tcW w:w="0" w:type="auto"/>
            <w:vAlign w:val="center"/>
            <w:hideMark/>
          </w:tcPr>
          <w:p w14:paraId="129D69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Lightweight job queue/worker</w:t>
            </w:r>
          </w:p>
        </w:tc>
      </w:tr>
      <w:tr w:rsidR="00A2266A" w:rsidRPr="00A2266A" w14:paraId="48F20E49" w14:textId="77777777">
        <w:trPr>
          <w:tblCellSpacing w:w="15" w:type="dxa"/>
        </w:trPr>
        <w:tc>
          <w:tcPr>
            <w:tcW w:w="0" w:type="auto"/>
            <w:vAlign w:val="center"/>
            <w:hideMark/>
          </w:tcPr>
          <w:p w14:paraId="372F58C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Testing</w:t>
            </w:r>
          </w:p>
        </w:tc>
        <w:tc>
          <w:tcPr>
            <w:tcW w:w="0" w:type="auto"/>
            <w:vAlign w:val="center"/>
            <w:hideMark/>
          </w:tcPr>
          <w:p w14:paraId="2E6DE4D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Vitest/Jest + Playwright</w:t>
            </w:r>
          </w:p>
        </w:tc>
      </w:tr>
      <w:tr w:rsidR="00A2266A" w:rsidRPr="00A2266A" w14:paraId="48F7DB45" w14:textId="77777777">
        <w:trPr>
          <w:tblCellSpacing w:w="15" w:type="dxa"/>
        </w:trPr>
        <w:tc>
          <w:tcPr>
            <w:tcW w:w="0" w:type="auto"/>
            <w:vAlign w:val="center"/>
            <w:hideMark/>
          </w:tcPr>
          <w:p w14:paraId="091AE71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 Control</w:t>
            </w:r>
          </w:p>
        </w:tc>
        <w:tc>
          <w:tcPr>
            <w:tcW w:w="0" w:type="auto"/>
            <w:vAlign w:val="center"/>
            <w:hideMark/>
          </w:tcPr>
          <w:p w14:paraId="6820AF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Git</w:t>
            </w:r>
          </w:p>
        </w:tc>
      </w:tr>
    </w:tbl>
    <w:p w14:paraId="67A3AF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MVP should avoid introducing infrastructure such as Kubernetes, Kafka, or multiple independent backend services unless actual scale requires them later.</w:t>
      </w:r>
    </w:p>
    <w:p w14:paraId="0D96350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E87EE9">
          <v:rect id="_x0000_i1029" style="width:0;height:1.5pt" o:hralign="center" o:hrstd="t" o:hr="t" fillcolor="#a0a0a0" stroked="f"/>
        </w:pict>
      </w:r>
    </w:p>
    <w:p w14:paraId="567CBFC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Repository Structure</w:t>
      </w:r>
    </w:p>
    <w:p w14:paraId="0AD53F2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single repository should contain the platform and domain modules.</w:t>
      </w:r>
    </w:p>
    <w:p w14:paraId="31E3C4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ai-career-assistant-platform/</w:t>
      </w:r>
    </w:p>
    <w:p w14:paraId="09E448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5AE646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apps/</w:t>
      </w:r>
    </w:p>
    <w:p w14:paraId="5E4DEF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web/</w:t>
      </w:r>
    </w:p>
    <w:p w14:paraId="6EDB6B3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extension/</w:t>
      </w:r>
    </w:p>
    <w:p w14:paraId="72AC75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D2FC6B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packages/</w:t>
      </w:r>
    </w:p>
    <w:p w14:paraId="0CE7F9F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core/</w:t>
      </w:r>
    </w:p>
    <w:p w14:paraId="3A6DEA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 discovery/</w:t>
      </w:r>
    </w:p>
    <w:p w14:paraId="25C256D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normalization/</w:t>
      </w:r>
    </w:p>
    <w:p w14:paraId="2B89C81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deduplication/</w:t>
      </w:r>
    </w:p>
    <w:p w14:paraId="5FCE53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evidence/</w:t>
      </w:r>
    </w:p>
    <w:p w14:paraId="0955101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evaluation/</w:t>
      </w:r>
    </w:p>
    <w:p w14:paraId="1F57DB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analytics/</w:t>
      </w:r>
    </w:p>
    <w:p w14:paraId="0894B14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shared/</w:t>
      </w:r>
    </w:p>
    <w:p w14:paraId="4B61DA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40E9ED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domains/</w:t>
      </w:r>
    </w:p>
    <w:p w14:paraId="3FF0C4A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customer-success/</w:t>
      </w:r>
    </w:p>
    <w:p w14:paraId="12B5CC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freelance-writing/</w:t>
      </w:r>
    </w:p>
    <w:p w14:paraId="6365F3E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94B72F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database/</w:t>
      </w:r>
    </w:p>
    <w:p w14:paraId="3E861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3898583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tests/</w:t>
      </w:r>
    </w:p>
    <w:p w14:paraId="477DFD0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76163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docs/</w:t>
      </w:r>
    </w:p>
    <w:p w14:paraId="7E33949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modules contain their own:</w:t>
      </w:r>
    </w:p>
    <w:p w14:paraId="1BD87CAA"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criteria </w:t>
      </w:r>
    </w:p>
    <w:p w14:paraId="5B333988"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rules </w:t>
      </w:r>
    </w:p>
    <w:p w14:paraId="573303F3"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configuration </w:t>
      </w:r>
    </w:p>
    <w:p w14:paraId="5B2B708B"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Prompts </w:t>
      </w:r>
    </w:p>
    <w:p w14:paraId="2C897A96"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Output schemas </w:t>
      </w:r>
    </w:p>
    <w:p w14:paraId="31308A29"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logic </w:t>
      </w:r>
    </w:p>
    <w:p w14:paraId="2E310D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should consume Core Platform interfaces rather than modifying Core code.</w:t>
      </w:r>
    </w:p>
    <w:p w14:paraId="2AD35FB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599B1E">
          <v:rect id="_x0000_i1030" style="width:0;height:1.5pt" o:hralign="center" o:hrstd="t" o:hr="t" fillcolor="#a0a0a0" stroked="f"/>
        </w:pict>
      </w:r>
    </w:p>
    <w:p w14:paraId="0A0C170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Core Data Model</w:t>
      </w:r>
    </w:p>
    <w:p w14:paraId="0CDBFA5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central object is an </w:t>
      </w:r>
      <w:r>
        <w:rPr>
          <w:rFonts w:ascii="Times New Roman" w:eastAsia="Times New Roman" w:hAnsi="Times New Roman" w:cs="Times New Roman"/>
          <w:b/>
          <w:bCs/>
          <w:kern w:val="0"/>
          <w14:ligatures w14:val="none"/>
        </w:rPr>
        <w:t>Opportunity</w:t>
      </w:r>
      <w:r>
        <w:rPr>
          <w:rFonts w:ascii="Times New Roman" w:eastAsia="Times New Roman" w:hAnsi="Times New Roman" w:cs="Times New Roman"/>
          <w:kern w:val="0"/>
          <w14:ligatures w14:val="none"/>
        </w:rPr>
        <w:t>.</w:t>
      </w:r>
    </w:p>
    <w:p w14:paraId="6E2018D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source must ultimately produce the same normalized structure.</w:t>
      </w:r>
    </w:p>
    <w:p w14:paraId="60671C78"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Opportunity</w:t>
      </w:r>
    </w:p>
    <w:p w14:paraId="6EBC125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Opportunity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2B7B1B5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domain</w:t>
      </w:r>
    </w:p>
    <w:p w14:paraId="2CD3C89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title</w:t>
      </w:r>
    </w:p>
    <w:p w14:paraId="53C344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company</w:t>
      </w:r>
    </w:p>
    <w:p w14:paraId="052FDD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w:t>
      </w:r>
    </w:p>
    <w:p w14:paraId="1855FEF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remoteStatus / workArrangement</w:t>
      </w:r>
    </w:p>
    <w:p w14:paraId="2617318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employmentType</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seniority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department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salaryText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salaryMin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salaryMax</w:t>
      </w:r>
    </w:p>
    <w:p w14:paraId="0B58D1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currency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residencyRequirement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residencyRegions[]</w:t>
      </w:r>
    </w:p>
    <w:p w14:paraId="69739F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travelRequirement</w:t>
      </w:r>
    </w:p>
    <w:p w14:paraId="13AB4E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timezoneRequirement</w:t>
      </w:r>
    </w:p>
    <w:p w14:paraId="2DF295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postingDate</w:t>
      </w:r>
    </w:p>
    <w:p w14:paraId="4E5B54A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closingDate</w:t>
      </w:r>
    </w:p>
    <w:p w14:paraId="20CAA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canonicalUrl</w:t>
      </w:r>
    </w:p>
    <w:p w14:paraId="18E08EB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applicationUrl</w:t>
      </w:r>
    </w:p>
    <w:p w14:paraId="79CED9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sourceRecords[]</w:t>
      </w:r>
    </w:p>
    <w:p w14:paraId="0F6D26C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firstSeen</w:t>
      </w:r>
    </w:p>
    <w:p w14:paraId="69764F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lastSeen</w:t>
      </w:r>
    </w:p>
    <w:p w14:paraId="7AD5CBB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status</w:t>
      </w:r>
    </w:p>
    <w:p w14:paraId="76F494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Fields may contain explicit unknown states when information is unavailable.</w:t>
      </w:r>
    </w:p>
    <w:p w14:paraId="1FE56F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A0AC03">
          <v:rect id="_x0000_i1031" style="width:0;height:1.5pt" o:hralign="center" o:hrstd="t" o:hr="t" fillcolor="#a0a0a0" stroked="f"/>
        </w:pict>
      </w:r>
    </w:p>
    <w:p w14:paraId="3FFF8D4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 Source Record</w:t>
      </w:r>
    </w:p>
    <w:p w14:paraId="49DC9D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discovered copy of an opportunity should remain traceable.</w:t>
      </w:r>
    </w:p>
    <w:p w14:paraId="2F9E078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SourceRecord</w:t>
      </w:r>
    </w:p>
    <w:p w14:paraId="5C949C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4C4EDE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opportunityId</w:t>
      </w:r>
    </w:p>
    <w:p w14:paraId="08B2F45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w:t>
      </w:r>
    </w:p>
    <w:p w14:paraId="54534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sourceType</w:t>
      </w:r>
    </w:p>
    <w:p>
      <w:pPr/>
      <w:r>
        <w:t>├── retrievalType</w:t>
      </w:r>
    </w:p>
    <w:p>
      <w:pPr/>
      <w:r>
        <w:t>├── sourceCategory</w:t>
      </w:r>
    </w:p>
    <w:p w14:paraId="19E51A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sourceUrl</w:t>
      </w:r>
    </w:p>
    <w:p w14:paraId="0539027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externalId</w:t>
      </w:r>
    </w:p>
    <w:p w14:paraId="77208E9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requisitionId</w:t>
      </w:r>
    </w:p>
    <w:p w14:paraId="370BC86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rawTitle</w:t>
      </w:r>
    </w:p>
    <w:p w14:paraId="5A1491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rawCompany</w:t>
      </w:r>
    </w:p>
    <w:p w14:paraId="62172E6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rawLocation</w:t>
      </w:r>
    </w:p>
    <w:p w14:paraId="2E5C3A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rawDescription</w:t>
      </w:r>
    </w:p>
    <w:p w14:paraId="232FB30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discoveredAt</w:t>
      </w:r>
    </w:p>
    <w:p w14:paraId="77F2CF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lastObservedAt</w:t>
      </w:r>
    </w:p>
    <w:p w14:paraId="391907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one opportunity to originate from:</w:t>
      </w:r>
    </w:p>
    <w:p w14:paraId="103881C4"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LinkedIn </w:t>
      </w:r>
    </w:p>
    <w:p w14:paraId="62D6E94F"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Greenhouse </w:t>
      </w:r>
    </w:p>
    <w:p w14:paraId="69C162E0"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Adzuna </w:t>
      </w:r>
    </w:p>
    <w:p w14:paraId="3AFB09C9"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company website </w:t>
      </w:r>
    </w:p>
    <w:p w14:paraId="4BB338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creating four separate jobs in the user's pipeline.</w:t>
      </w:r>
    </w:p>
    <w:p w14:paraId="35957B6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3A7F7">
          <v:rect id="_x0000_i1032" style="width:0;height:1.5pt" o:hralign="center" o:hrstd="t" o:hr="t" fillcolor="#a0a0a0" stroked="f"/>
        </w:pict>
      </w:r>
    </w:p>
    <w:p>
      <w:pPr/>
      <w:r>
        <w:t>8. Discovery Interface</w:t>
      </w:r>
    </w:p>
    <w:p>
      <w:pPr/>
      <w:r>
        <w:t>Every collector should implement a shared contract.</w:t>
      </w:r>
    </w:p>
    <w:p>
      <w:pPr/>
      <w:r>
        <w:t>Conceptually:</w:t>
      </w:r>
    </w:p>
    <w:p>
      <w:pPr/>
      <w:r>
        <w:t>interface OpportunityCollector {</w:t>
      </w:r>
    </w:p>
    <w:p>
      <w:pPr/>
      <w:r>
        <w:t xml:space="preserve"> collect(): Promise&lt;RawOpportunity[]&gt;;</w:t>
      </w:r>
    </w:p>
    <w:p>
      <w:pPr/>
      <w:r>
        <w:t>}</w:t>
      </w:r>
    </w:p>
    <w:p>
      <w:pPr/>
      <w:r>
        <w:t>Each source adapter is responsible only for obtaining source data. It should not decide whether an opportunity is good.</w:t>
      </w:r>
    </w:p>
    <w:p>
      <w:pPr/>
      <w:r>
        <w:t>Collector Retrieval Types</w:t>
      </w:r>
    </w:p>
    <w:p>
      <w:pPr/>
      <w:r>
        <w:t>OFFICIAL_PUBLIC_API_FEED — Type #1</w:t>
      </w:r>
    </w:p>
    <w:p>
      <w:pPr/>
      <w:r>
        <w:t>BROWSER_ASSISTED — Type #2</w:t>
      </w:r>
    </w:p>
    <w:p>
      <w:pPr/>
      <w:r>
        <w:t>PUBLIC_GUEST_INTERNAL_ENDPOINT — Type #3</w:t>
      </w:r>
    </w:p>
    <w:p>
      <w:pPr/>
      <w:r>
        <w:t>PUBLIC_HTML — Type #4</w:t>
      </w:r>
    </w:p>
    <w:p>
      <w:pPr/>
      <w:r>
        <w:t>FUTURE_COMPANY_WATCHLIST — future mechanism</w:t>
      </w:r>
    </w:p>
    <w:p>
      <w:pPr/>
      <w:r>
        <w:t>Source business category (for example ATS, marketplace, job board, or company careers site) must be stored separately from retrieval type.</w:t>
      </w:r>
    </w:p>
    <w:p>
      <w:pPr/>
      <w:r>
        <w:t>9. Browser-Assisted Collection Architecture</w:t>
      </w:r>
    </w:p>
    <w:p>
      <w:pPr/>
      <w:r>
        <w:t>Browser-assisted collection is reserved for sources whose verified collection strategy requires or benefits from browser interaction rather than direct structured/public collection.</w:t>
      </w:r>
    </w:p>
    <w:p>
      <w:pPr/>
      <w:r>
        <w:t>Browser-assisted support (architecture and adapter) is implemented for LinkedIn’s public, logged-out job pages (feature 14A), but that is not live source verification or enabling: LinkedIn remains unverified and disabled. In its local-runtime adapter check on October 20, 2026 the public search page returned HTTP 200 with 60 job cards and the first job-detail request returned HTTP 429, so the run stopped with no retry. Upwork belongs to the Freelance Writing domain and is not implemented; it implies nothing about Customer Success source verification. (Corrected in Version 1.14. Earlier versions read: “Version 1 verified browser-assisted sources include LinkedIn and Upwork.”)</w:t>
      </w:r>
    </w:p>
    <w:p>
      <w:pPr/>
      <w:r>
        <w:t>Public discovery and the user's authenticated account session are separate concerns. A collector may discover a public opportunity and return its direct URL; when the user opens that URL in their normal browser, the site may use the user's existing authenticated session for application or account-specific actions.</w:t>
      </w:r>
    </w:p>
    <w:p>
      <w:pPr/>
      <w:r>
        <w:t>Browser-assisted collection may use the Chrome extension or another controlled browser workflow depending on the source. It must avoid unnecessary bulk requests and must not automate application submission.</w:t>
      </w:r>
    </w:p>
    <w:p>
      <w:r>
        <w:t>Implementation note (feature 14, October 19, 2026): the controlled browser workflow is implemented for LinkedIn’s public, logged-out job pages only (Section 51). Each run uses a fresh, non-persistent headless browser context with no account, cookies, profile or stored state; it only opens and reads pages, never signs in or acts on an account, and stops on any access friction. The Chrome extension companion is Feature 14B, a separate capture path the user starts on the page they are viewing, now implemented and awaiting acceptance (Section 51); Upwork is not implemented.</w:t>
      </w:r>
    </w:p>
    <w:p>
      <w:pPr/>
      <w:r>
        <w:t>10. Public &amp; ATS Collection Architecture</w:t>
      </w:r>
    </w:p>
    <w:p>
      <w:pPr/>
      <w:r>
        <w:t>All non-browser source adapters implement the same collector contract while using the source's verified retrieval method.</w:t>
      </w:r>
    </w:p>
    <w:p>
      <w:pPr/>
      <w:r>
        <w:t>Verified Type #1 sources: Himalayas, We Work Remotely, Working Nomads, Remote OK, Greenhouse, Lever, Ashby, SmartRecruiters, and Adzuna.</w:t>
      </w:r>
    </w:p>
    <w:p>
      <w:pPr/>
      <w:r>
        <w:t>Verified Type #3 sources: Welcome to the Jungle / Otta, Workable, and Workday.</w:t>
      </w:r>
    </w:p>
    <w:p>
      <w:pPr/>
      <w:r>
        <w:t>Verified Type #4 sources: ProBlogger, Mediabistro, and Wellfound.</w:t>
      </w:r>
    </w:p>
    <w:p>
      <w:pPr/>
      <w:r>
        <w:t>ATS is not itself a retrieval type. Greenhouse, Lever, Ashby, and SmartRecruiters currently use Type #1 adapters; Workable and Workday use Type #3 adapters.</w:t>
      </w:r>
    </w:p>
    <w:p>
      <w:pPr/>
      <w:r>
        <w:t>Adapter Selection Rule</w:t>
      </w:r>
    </w:p>
    <w:p>
      <w:pPr/>
      <w:r>
        <w:t>Use the strongest verified and appropriate interface. Do not stop at the first technically usable endpoint. Prefer an official/public API or feed when one is available; otherwise use the verified public/guest endpoint or public HTML method. The existence of GraphQL, JavaScript configuration, or a request name is not sufficient evidence by itself—the response must contain the required opportunity data.</w:t>
      </w:r>
    </w:p>
    <w:p>
      <w:pPr/>
      <w:r>
        <w:t>Network Inspection Rule</w:t>
      </w:r>
    </w:p>
    <w:p>
      <w:pPr/>
      <w:r>
        <w:t>When validating a new source, inspect both promising Fetch/XHR responses and the main document response. Ignore analytics, telemetry, attribution, localization, and similar requests unless they actually contain opportunity data.</w:t>
      </w:r>
    </w:p>
    <w:p w14:paraId="7E4A750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11. Raw Opportunity</w:t>
      </w:r>
    </w:p>
    <w:p w14:paraId="09784B5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Collectors should first produce a minimally processed record.</w:t>
      </w:r>
    </w:p>
    <w:p w14:paraId="66EFD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RawOpportunity</w:t>
      </w:r>
    </w:p>
    <w:p w14:paraId="1AF33F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w:t>
      </w:r>
    </w:p>
    <w:p w14:paraId="00DB0E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sourceUrl</w:t>
      </w:r>
    </w:p>
    <w:p w14:paraId="6ECACF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externalId</w:t>
      </w:r>
    </w:p>
    <w:p w14:paraId="7596BB1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requisitionId</w:t>
      </w:r>
    </w:p>
    <w:p w14:paraId="329455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title</w:t>
      </w:r>
    </w:p>
    <w:p w14:paraId="7FA3916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company</w:t>
      </w:r>
    </w:p>
    <w:p w14:paraId="410D6A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3ABC24F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w:t>
      </w:r>
    </w:p>
    <w:p w14:paraId="5EE3F2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salaryText</w:t>
      </w:r>
    </w:p>
    <w:p w14:paraId="69D5248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employmentType</w:t>
      </w:r>
    </w:p>
    <w:p w14:paraId="30E689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postingDate</w:t>
      </w:r>
    </w:p>
    <w:p w14:paraId="1741AA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sourceMetadata</w:t>
      </w:r>
    </w:p>
    <w:p w14:paraId="4D305A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raw record must be preserved before normalization.</w:t>
      </w:r>
    </w:p>
    <w:p w14:paraId="530A79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information loss and allows normalization logic to be corrected later without recollecting the listing.</w:t>
      </w:r>
    </w:p>
    <w:p w14:paraId="53E590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DEC387">
          <v:rect id="_x0000_i1038" style="width:0;height:1.5pt" o:hralign="center" o:hrstd="t" o:hr="t" fillcolor="#a0a0a0" stroked="f"/>
        </w:pict>
      </w:r>
    </w:p>
    <w:p w14:paraId="28F1EBD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Normalization Engine</w:t>
      </w:r>
    </w:p>
    <w:p w14:paraId="63F21E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Normalization Engine converts </w:t>
      </w:r>
      <w:r>
        <w:rPr>
          <w:rFonts w:ascii="Courier New" w:eastAsia="Times New Roman" w:hAnsi="Courier New" w:cs="Courier New"/>
          <w:kern w:val="0"/>
          <w:sz w:val="20"/>
          <w:szCs w:val="20"/>
          <w14:ligatures w14:val="none"/>
        </w:rPr>
        <w:t>RawOpportunity</w:t>
      </w:r>
      <w:r>
        <w:rPr>
          <w:rFonts w:ascii="Times New Roman" w:eastAsia="Times New Roman" w:hAnsi="Times New Roman" w:cs="Times New Roman"/>
          <w:kern w:val="0"/>
          <w14:ligatures w14:val="none"/>
        </w:rPr>
        <w:t xml:space="preserve"> into standardized fields.</w:t>
      </w:r>
    </w:p>
    <w:p w14:paraId="5A853A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Responsibilities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 company names. </w:t>
      </w:r>
    </w:p>
    <w:p w14:paraId="2CB0C5BC"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 employment types. </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stated compensation into salary bounds/currency only when deterministic evidence supports it.</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location and remote/work-arrangement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explicit residency eligibility/restriction into residencyRequirement and supported residencyRegions.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dates and other supported factual fields.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original text and raw source payloads.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field-level provenance for normalized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persist FX-converted salary amounts; conversion for domain policy is evaluation-time/versioned infrastructure.</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Represent unavailable, ambiguous, or conflicting information as Unknown rather than guessing.</w:t>
      </w:r>
    </w:p>
    <w:p w14:paraId="13E6355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Flow</w:t>
      </w:r>
    </w:p>
    <w:p w14:paraId="019815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RawOpportunity → Field Parsing → Standardization → Validation → Normalized Opportunity</w:t>
      </w:r>
    </w:p>
    <w:p w14:paraId="42894E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FFE4C4">
          <v:rect id="_x0000_i1039" style="width:0;height:1.5pt" o:hralign="center" o:hrstd="t" o:hr="t" fillcolor="#a0a0a0" stroked="f"/>
        </w:pict>
      </w:r>
    </w:p>
    <w:p w14:paraId="288A474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Field Provenance</w:t>
      </w:r>
    </w:p>
    <w:p w14:paraId="5BDE70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Normalized fields should retain their source.</w:t>
      </w:r>
    </w:p>
    <w:p w14:paraId="7F9E012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B9FB1C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salary:</w:t>
      </w:r>
    </w:p>
    <w:p w14:paraId="6872F8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min: 65000</w:t>
      </w:r>
    </w:p>
    <w:p w14:paraId="1DB719E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max: 95000</w:t>
      </w:r>
    </w:p>
    <w:p w14:paraId="1469D8D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currency: USD</w:t>
      </w:r>
    </w:p>
    <w:p w14:paraId="3BAF5CE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w:t>
      </w:r>
    </w:p>
    <w:p w14:paraId="518B223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 job_description</w:t>
      </w:r>
    </w:p>
    <w:p w14:paraId="61AC893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text: "$65,000 - $95,000 USD"</w: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is important because later evaluation stages need to know </w:t>
      </w:r>
      <w:r>
        <w:rPr>
          <w:rFonts w:ascii="Times New Roman" w:eastAsia="Times New Roman" w:hAnsi="Times New Roman" w:cs="Times New Roman"/>
          <w:b/>
          <w:bCs/>
          <w:kern w:val="0"/>
          <w14:ligatures w14:val="none"/>
        </w:rPr>
        <w:t>where a fact came from</w:t>
      </w:r>
      <w:r>
        <w:rPr>
          <w:rFonts w:ascii="Times New Roman" w:eastAsia="Times New Roman" w:hAnsi="Times New Roman" w:cs="Times New Roman"/>
          <w:kern w:val="0"/>
          <w14:ligatures w14:val="none"/>
        </w:rPr>
        <w:t>.</w:t>
      </w:r>
    </w:p>
    <w:p w14:paraId="41C102A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F7FB0F">
          <v:rect id="_x0000_i1040" style="width:0;height:1.5pt" o:hralign="center" o:hrstd="t" o:hr="t" fillcolor="#a0a0a0" stroked="f"/>
        </w:pic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and compensation provenance must identify the actual source field/text that established the normalized value; ordinary location text or salary currency must not be treated as residency evidence.</w:t>
      </w:r>
    </w:p>
    <w:p w14:paraId="248F43F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Deduplication Engine</w:t>
      </w:r>
    </w:p>
    <w:p w14:paraId="272F344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 should occur in two layers.</w:t>
      </w:r>
    </w:p>
    <w:p w14:paraId="58F517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Layer 1 — Deterministic Matching</w:t>
      </w:r>
    </w:p>
    <w:p w14:paraId="4D88F5F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w:t>
      </w:r>
    </w:p>
    <w:p w14:paraId="1A5011A5"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0CC19A6C"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ID </w:t>
      </w:r>
    </w:p>
    <w:p w14:paraId="7A4DCC8A"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Requisition ID </w:t>
      </w:r>
    </w:p>
    <w:p w14:paraId="15ACC9E3"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listing ID </w:t>
      </w:r>
    </w:p>
    <w:p w14:paraId="20C9D7C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strong identifier match can automatically merge records.</w:t>
      </w:r>
    </w:p>
    <w:p w14:paraId="7A674CE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Layer 2 — Probabilistic Matching</w:t>
      </w:r>
    </w:p>
    <w:p w14:paraId="67FEE7F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identifiers are unavailable, compare:</w:t>
      </w:r>
    </w:p>
    <w:p w14:paraId="39155CF9"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039C946D"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Title </w:t>
      </w:r>
    </w:p>
    <w:p w14:paraId="28F6D6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20905348"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 similarity </w:t>
      </w:r>
    </w:p>
    <w:p w14:paraId="5BD7B60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7D6E8E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Compensation </w:t>
      </w:r>
    </w:p>
    <w:p w14:paraId="155E60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engine should calculate a duplicate confidence value.</w:t>
      </w:r>
    </w:p>
    <w:p w14:paraId="60B0B1E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674FB4">
          <v:rect id="_x0000_i1041" style="width:0;height:1.5pt" o:hralign="center" o:hrstd="t" o:hr="t" fillcolor="#a0a0a0" stroked="f"/>
        </w:pict>
      </w:r>
    </w:p>
    <w:p w14:paraId="75A4F26E"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Duplicate Outcomes</w:t>
      </w:r>
    </w:p>
    <w:p w14:paraId="53F5632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MATCH</w:t>
      </w:r>
    </w:p>
    <w:p w14:paraId="07EA302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PROBABLE_MATCH</w:t>
      </w:r>
    </w:p>
    <w:p w14:paraId="3E471A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NO_MATCH</w:t>
      </w:r>
    </w:p>
    <w:p w14:paraId="48C0EC3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MATCH</w:t>
      </w:r>
      <w:r>
        <w:rPr>
          <w:rFonts w:ascii="Times New Roman" w:eastAsia="Times New Roman" w:hAnsi="Times New Roman" w:cs="Times New Roman"/>
          <w:kern w:val="0"/>
          <w14:ligatures w14:val="none"/>
        </w:rPr>
        <w:t xml:space="preserve"> may merge automatically.</w:t>
      </w:r>
    </w:p>
    <w:p w14:paraId="2C3246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PROBABLE_MATCH</w:t>
      </w:r>
      <w:r>
        <w:rPr>
          <w:rFonts w:ascii="Times New Roman" w:eastAsia="Times New Roman" w:hAnsi="Times New Roman" w:cs="Times New Roman"/>
          <w:kern w:val="0"/>
          <w14:ligatures w14:val="none"/>
        </w:rPr>
        <w:t xml:space="preserve"> should be preserved for review or additional comparison.</w:t>
      </w:r>
    </w:p>
    <w:p w14:paraId="1FC4C50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lastRenderedPageBreak/>
        <w:t>NO_MATCH</w:t>
      </w:r>
      <w:r>
        <w:rPr>
          <w:rFonts w:ascii="Times New Roman" w:eastAsia="Times New Roman" w:hAnsi="Times New Roman" w:cs="Times New Roman"/>
          <w:kern w:val="0"/>
          <w14:ligatures w14:val="none"/>
        </w:rPr>
        <w:t xml:space="preserve"> creates a new opportunity.</w:t>
      </w:r>
    </w:p>
    <w:p w14:paraId="5AC65F1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69A3C0">
          <v:rect id="_x0000_i1042" style="width:0;height:1.5pt" o:hralign="center" o:hrstd="t" o:hr="t" fillcolor="#a0a0a0" stroked="f"/>
        </w:pict>
      </w:r>
    </w:p>
    <w:p w14:paraId="073A401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Canonical Opportunity Selection</w:t>
      </w:r>
    </w:p>
    <w:p w14:paraId="60B939D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multiple records represent the same opportunity, select one canonical record.</w:t>
      </w:r>
    </w:p>
    <w:p w14:paraId="3CED19F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source order should generally favor:</w:t>
      </w:r>
    </w:p>
    <w:p w14:paraId="6F09F4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Employer ATS/Company Posting → Other Original Posting → Aggregator → Search Result</w:t>
      </w:r>
    </w:p>
    <w:p w14:paraId="6BEDB9B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preference affects the canonical application link,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evaluation.</w:t>
      </w:r>
    </w:p>
    <w:p w14:paraId="19FB4F1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sources remain attached to the opportunity.</w:t>
      </w:r>
    </w:p>
    <w:p w14:paraId="59151D0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BBE439">
          <v:rect id="_x0000_i1043" style="width:0;height:1.5pt" o:hralign="center" o:hrstd="t" o:hr="t" fillcolor="#a0a0a0" stroked="f"/>
        </w:pict>
      </w:r>
    </w:p>
    <w:p w14:paraId="1A08B92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Domain Evaluation Interface</w:t>
      </w:r>
    </w:p>
    <w:p w14:paraId="5BB37B1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passes normalized opportunities to the selected domain module.</w:t>
      </w:r>
    </w:p>
    <w:p w14:paraId="0F86C3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Conceptually:</w:t>
      </w:r>
    </w:p>
    <w:p w14:paraId="400BC4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interface DomainEvaluator {</w:t>
      </w:r>
    </w:p>
    <w:p w14:paraId="1E8D2AA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evaluate(</w:t>
      </w:r>
    </w:p>
    <w:p w14:paraId="28AA41F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 Opportunity,</w:t>
      </w:r>
    </w:p>
    <w:p w14:paraId="26B1F09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 UserProfile</w:t>
      </w:r>
    </w:p>
    <w:p w14:paraId="1367590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Promise&lt;EvaluationResult&gt;;</w:t>
      </w:r>
    </w:p>
    <w:p w14:paraId="7ECF0D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683E1F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325724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CustomerSuccessEvaluator</w:t>
      </w:r>
    </w:p>
    <w:p w14:paraId="541227A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FreelanceWritingEvaluator</w:t>
      </w:r>
    </w:p>
    <w:p w14:paraId="57893DA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Both implement the same interface while containing entirely different evaluation logic.</w:t>
      </w:r>
    </w:p>
    <w:p w14:paraId="470F7B7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F58FE">
          <v:rect id="_x0000_i1044" style="width:0;height:1.5pt" o:hralign="center" o:hrstd="t" o:hr="t" fillcolor="#a0a0a0" stroked="f"/>
        </w:pict>
      </w:r>
    </w:p>
    <w:p w14:paraId="3800AD32"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Evaluation Stage Interface</w:t>
      </w:r>
    </w:p>
    <w:p w14:paraId="0D012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domain evaluator consists of ordered stages.</w:t>
      </w:r>
    </w:p>
    <w:p w14:paraId="7F747F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Conceptually:</w:t>
      </w:r>
    </w:p>
    <w:p w14:paraId="334DF8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interface EvaluationStage {</w:t>
      </w:r>
    </w:p>
    <w:p w14:paraId="5132BF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id: string;</w:t>
      </w:r>
    </w:p>
    <w:p w14:paraId="22D840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evaluate(context: EvaluationContext): Promise&lt;StageResult&gt;;</w:t>
      </w:r>
    </w:p>
    <w:p w14:paraId="5D3D7B1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AA8C1A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stages to be:</w:t>
      </w:r>
    </w:p>
    <w:p w14:paraId="571B084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Added </w:t>
      </w:r>
    </w:p>
    <w:p w14:paraId="4318698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Removed </w:t>
      </w:r>
    </w:p>
    <w:p w14:paraId="1A941CB5"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Reordered </w:t>
      </w:r>
    </w:p>
    <w:p w14:paraId="3F1E10FD"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Modified </w:t>
      </w:r>
    </w:p>
    <w:p w14:paraId="7F7E8D74"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Tested independently </w:t>
      </w:r>
    </w:p>
    <w:p w14:paraId="3505894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rewriting the evaluation engine.</w:t>
      </w:r>
    </w:p>
    <w:p w14:paraId="30708FF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75CC88">
          <v:rect id="_x0000_i1045" style="width:0;height:1.5pt" o:hralign="center" o:hrstd="t" o:hr="t" fillcolor="#a0a0a0" stroked="f"/>
        </w:pict>
      </w:r>
    </w:p>
    <w:p w14:paraId="694F8D0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Evaluation Context</w:t>
      </w:r>
    </w:p>
    <w:p w14:paraId="2BE3573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stage receives a shared context.</w:t>
      </w:r>
    </w:p>
    <w:p w14:paraId="4B966A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EvaluationContext</w:t>
      </w:r>
    </w:p>
    <w:p w14:paraId="646E17C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opportunity</w:t>
      </w:r>
    </w:p>
    <w:p w14:paraId="6E9254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rawSources</w:t>
      </w:r>
    </w:p>
    <w:p w14:paraId="7EBDC97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w:t>
      </w:r>
    </w:p>
    <w:p w14:paraId="51E6BB6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previousStageResults</w:t>
      </w:r>
    </w:p>
    <w:p w14:paraId="1BB09B9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evidenceLedger</w:t>
      </w:r>
    </w:p>
    <w:p w14:paraId="614EA2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domainConfiguration</w:t>
      </w:r>
    </w:p>
    <w:p w14:paraId="20AFED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stages may use earlier results, but they must remain traceable.</w:t>
      </w:r>
    </w:p>
    <w:p w14:paraId="183F51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346974">
          <v:rect id="_x0000_i1046" style="width:0;height:1.5pt" o:hralign="center" o:hrstd="t" o:hr="t" fillcolor="#a0a0a0" stroked="f"/>
        </w:pict>
      </w:r>
    </w:p>
    <w:p w14:paraId="503055D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Deterministic vs AI Evaluation</w:t>
      </w:r>
    </w:p>
    <w:p w14:paraId="695B100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One of the most important architecture rules is deciding </w:t>
      </w:r>
      <w:r>
        <w:rPr>
          <w:rFonts w:ascii="Times New Roman" w:eastAsia="Times New Roman" w:hAnsi="Times New Roman" w:cs="Times New Roman"/>
          <w:b/>
          <w:bCs/>
          <w:kern w:val="0"/>
          <w14:ligatures w14:val="none"/>
        </w:rPr>
        <w:t>what AI should and should not decide</w:t>
      </w:r>
      <w:r>
        <w:rPr>
          <w:rFonts w:ascii="Times New Roman" w:eastAsia="Times New Roman" w:hAnsi="Times New Roman" w:cs="Times New Roman"/>
          <w:kern w:val="0"/>
          <w14:ligatures w14:val="none"/>
        </w:rPr>
        <w:t>.</w:t>
      </w:r>
    </w:p>
    <w:p w14:paraId="65837380"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Deterministic Logic</w:t>
      </w:r>
    </w:p>
    <w:p w14:paraId="7EF2D8D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code for:</w:t>
      </w:r>
    </w:p>
    <w:p w14:paraId="45761DD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thresholds </w:t>
      </w:r>
    </w:p>
    <w:p w14:paraId="5F641B5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 travel requirements </w:t>
      </w:r>
    </w:p>
    <w:p w14:paraId="1E7AE9E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6C6CD77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Known location restrictions </w:t>
      </w:r>
    </w:p>
    <w:p w14:paraId="26934DD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employment types </w:t>
      </w:r>
    </w:p>
    <w:p w14:paraId="7C1F22E0"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IDs </w:t>
      </w:r>
    </w:p>
    <w:p w14:paraId="5189D46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calculations </w:t>
      </w:r>
    </w:p>
    <w:p w14:paraId="2FA7268D"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Rule precedence </w:t>
      </w:r>
    </w:p>
    <w:p w14:paraId="3A7EB79B"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AI/Semantic Analysis</w:t>
      </w:r>
    </w:p>
    <w:p w14:paraId="2A567A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AI for:</w:t>
      </w:r>
    </w:p>
    <w:p w14:paraId="52AAD9E9"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Reconstructing actual responsibilities </w:t>
      </w:r>
    </w:p>
    <w:p w14:paraId="7F76A9A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Identifying underlying workflows </w:t>
      </w:r>
    </w:p>
    <w:p w14:paraId="0657DFC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Determining ownership </w:t>
      </w:r>
    </w:p>
    <w:p w14:paraId="7430F3C3"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Interpreting ambiguous requirements </w:t>
      </w:r>
    </w:p>
    <w:p w14:paraId="150486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Detecting scope creep </w:t>
      </w:r>
    </w:p>
    <w:p w14:paraId="69AB0C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Comparing experience semantically </w:t>
      </w:r>
    </w:p>
    <w:p w14:paraId="620DF0B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Inferring operating models </w:t>
      </w:r>
    </w:p>
    <w:p w14:paraId="4BD9693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Identifying contradictions </w:t>
      </w:r>
    </w:p>
    <w:p w14:paraId="6EA716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the LLM from becoming an unreliable calculator or rules engine.</w:t>
      </w:r>
    </w:p>
    <w:p w14:paraId="1B0AFEC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BE5E21">
          <v:rect id="_x0000_i1047" style="width:0;height:1.5pt" o:hralign="center" o:hrstd="t" o:hr="t" fillcolor="#a0a0a0" stroked="f"/>
        </w:pict>
      </w:r>
    </w:p>
    <w:p w14:paraId="0FDD4CA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AI Evaluation Contract</w:t>
      </w:r>
    </w:p>
    <w:p w14:paraId="37D237C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return structured output rather than uncontrolled prose.</w:t>
      </w:r>
    </w:p>
    <w:p w14:paraId="16B36F7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7CC8FB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559F0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"criterion": "role_seniority",</w:t>
      </w:r>
    </w:p>
    <w:p w14:paraId="2660CD8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"classification": "stretch",</w:t>
      </w:r>
    </w:p>
    <w:p w14:paraId="6AB9E8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"confidence": "strong_evidence",</w:t>
      </w:r>
    </w:p>
    <w:p w14:paraId="7906ED3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 [],</w:t>
      </w:r>
    </w:p>
    <w:p w14:paraId="19C667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"reasoning_summary": "",</w:t>
      </w:r>
    </w:p>
    <w:p w14:paraId="6B8874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 [],</w:t>
      </w:r>
    </w:p>
    <w:p w14:paraId="6CFB23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 []</w:t>
      </w:r>
    </w:p>
    <w:p w14:paraId="797EAFD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C2C3CF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validates this structure before accepting the result.</w:t>
      </w:r>
    </w:p>
    <w:p w14:paraId="182ADD2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Invalid responses should be retried or marked as evaluation failures rather than silently accepted.</w:t>
      </w:r>
    </w:p>
    <w:p w14:paraId="3F73788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2E13C5">
          <v:rect id="_x0000_i104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Semantic-Operation Usage Contract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paid semantic-operation attempt must produce a persistent, domain-neutral usage record linked to its evaluation and opportunity.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provider, model identifier, prompt version, semantic operation or stage, attempt number, duration, status, estimated cost, pricing-configuration version,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input, output, cached, reasoning, and total token counts when reported by the provider. Unreported token categories remain nullable or Unknown and must not be converted to zero.</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retry creates another attempt record and consumes both the per-evaluation call allowance and any applicable reserved or reconciled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Milestone 9 already records semantic-operation usage and provides a restart-safe per-evaluation call budget. These existing capabilities remain the baseline for the broader controls in this version.</w:t>
      </w:r>
    </w:p>
    <w:p w14:paraId="4BE314C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Evidence Ledger</w:t>
      </w:r>
    </w:p>
    <w:p w14:paraId="61A0F2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Every evaluation creates or references evidence records.</w:t>
      </w:r>
    </w:p>
    <w:p w14:paraId="767C764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EvidenceRecord</w:t>
      </w:r>
    </w:p>
    <w:p w14:paraId="1FD2306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5D97924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opportunityId</w:t>
      </w:r>
    </w:p>
    <w:p w14:paraId="1AD42D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stageId</w:t>
      </w:r>
    </w:p>
    <w:p w14:paraId="58F1A48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criterionId</w:t>
      </w:r>
    </w:p>
    <w:p w14:paraId="4942807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claim</w:t>
      </w:r>
    </w:p>
    <w:p w14:paraId="1746A3B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sourceType</w:t>
      </w:r>
    </w:p>
    <w:p w14:paraId="0C0307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sourceReference</w:t>
      </w:r>
    </w:p>
    <w:p w14:paraId="6B4D6F5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sourceText</w:t>
      </w:r>
    </w:p>
    <w:p w14:paraId="14B67D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evidenceLevel</w:t>
      </w:r>
    </w:p>
    <w:p w14:paraId="3805301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createdAt</w:t>
      </w:r>
    </w:p>
    <w:p w14:paraId="3A11A2B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Levels</w:t>
      </w:r>
    </w:p>
    <w:p w14:paraId="519B21B6"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confirmed</w:t>
      </w:r>
      <w:r>
        <w:rPr>
          <w:rFonts w:ascii="Times New Roman" w:eastAsia="Times New Roman" w:hAnsi="Times New Roman" w:cs="Times New Roman"/>
          <w:kern w:val="0"/>
          <w14:ligatures w14:val="none"/>
        </w:rPr>
        <w:t xml:space="preserve"> </w:t>
      </w:r>
    </w:p>
    <w:p w14:paraId="476932E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strong_evidence</w:t>
      </w:r>
      <w:r>
        <w:rPr>
          <w:rFonts w:ascii="Times New Roman" w:eastAsia="Times New Roman" w:hAnsi="Times New Roman" w:cs="Times New Roman"/>
          <w:kern w:val="0"/>
          <w14:ligatures w14:val="none"/>
        </w:rPr>
        <w:t xml:space="preserve"> </w:t>
      </w:r>
    </w:p>
    <w:p w14:paraId="29D2EEC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possible</w:t>
      </w:r>
      <w:r>
        <w:rPr>
          <w:rFonts w:ascii="Times New Roman" w:eastAsia="Times New Roman" w:hAnsi="Times New Roman" w:cs="Times New Roman"/>
          <w:kern w:val="0"/>
          <w14:ligatures w14:val="none"/>
        </w:rPr>
        <w:t xml:space="preserve"> </w:t>
      </w:r>
    </w:p>
    <w:p w14:paraId="1C1F5C34"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unknown</w:t>
      </w:r>
      <w:r>
        <w:rPr>
          <w:rFonts w:ascii="Times New Roman" w:eastAsia="Times New Roman" w:hAnsi="Times New Roman" w:cs="Times New Roman"/>
          <w:kern w:val="0"/>
          <w14:ligatures w14:val="none"/>
        </w:rPr>
        <w:t xml:space="preserve"> </w:t>
      </w:r>
    </w:p>
    <w:p w14:paraId="7A20FFCB"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conflicting</w:t>
      </w:r>
      <w:r>
        <w:rPr>
          <w:rFonts w:ascii="Times New Roman" w:eastAsia="Times New Roman" w:hAnsi="Times New Roman" w:cs="Times New Roman"/>
          <w:kern w:val="0"/>
          <w14:ligatures w14:val="none"/>
        </w:rPr>
        <w:t xml:space="preserve"> </w:t>
      </w:r>
    </w:p>
    <w:p w14:paraId="5F0204D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B9491B">
          <v:rect id="_x0000_i1049" style="width:0;height:1.5pt" o:hralign="center" o:hrstd="t" o:hr="t" fillcolor="#a0a0a0" stroked="f"/>
        </w:pict>
      </w:r>
    </w:p>
    <w:p w14:paraId="6B80436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Evidence-Grounded AI Rule</w:t>
      </w:r>
    </w:p>
    <w:p w14:paraId="32A6D9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architecture must follow:</w:t>
      </w:r>
    </w:p>
    <w:p w14:paraId="45F01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Material → Evidence Extraction → Interpretation → Conclusion</w:t>
      </w:r>
    </w:p>
    <w:p w14:paraId="261A750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must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operate as:</w:t>
      </w:r>
    </w:p>
    <w:p w14:paraId="6007CB6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Material → Guess → Score</w:t>
      </w:r>
    </w:p>
    <w:p w14:paraId="261239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major conclusion, the system should be capable of displaying the evidence that caused it.</w:t>
      </w:r>
    </w:p>
    <w:p w14:paraId="2435E2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3650CC">
          <v:rect id="_x0000_i1050" style="width:0;height:1.5pt" o:hralign="center" o:hrstd="t" o:hr="t" fillcolor="#a0a0a0" stroked="f"/>
        </w:pict>
      </w:r>
    </w:p>
    <w:p w14:paraId="423D8A5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Buzzword Resistance</w:t>
      </w:r>
    </w:p>
    <w:p w14:paraId="4DF1957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must not classify an opportunity simply because expected terminology appears.</w:t>
      </w:r>
    </w:p>
    <w:p w14:paraId="47FF7F8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seeing:</w:t>
      </w:r>
    </w:p>
    <w:p w14:paraId="2FCBFF3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w:t>
      </w:r>
    </w:p>
    <w:p w14:paraId="400B8C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is not enough to conclude that a company has a mature lifecycle model.</w:t>
      </w:r>
    </w:p>
    <w:p w14:paraId="161B91F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should reconstruct what the JD actually describes:</w:t>
      </w:r>
    </w:p>
    <w:p w14:paraId="3ABC09B9"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happens? </w:t>
      </w:r>
    </w:p>
    <w:p w14:paraId="5ACDD93E"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Who owns it? </w:t>
      </w:r>
    </w:p>
    <w:p w14:paraId="261413F7"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 what point? </w:t>
      </w:r>
    </w:p>
    <w:p w14:paraId="6B4EA88B"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tools/processes are involved? </w:t>
      </w:r>
    </w:p>
    <w:p w14:paraId="43A4D714"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outcome is expected? </w:t>
      </w:r>
    </w:p>
    <w:p w14:paraId="25DBFA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architecture rule applies across all semantic evaluation stages.</w:t>
      </w:r>
    </w:p>
    <w:p w14:paraId="0321F69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68097">
          <v:rect id="_x0000_i1051" style="width:0;height:1.5pt" o:hralign="center" o:hrstd="t" o:hr="t" fillcolor="#a0a0a0" stroked="f"/>
        </w:pict>
      </w:r>
    </w:p>
    <w:p w14:paraId="48FEE3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Contradiction Detection</w:t>
      </w:r>
    </w:p>
    <w:p w14:paraId="757969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layer should explicitly detect conflicting signals.</w:t>
      </w:r>
    </w:p>
    <w:p w14:paraId="4DC437B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7B9B3296"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"Entry level" + 7 years required </w:t>
      </w:r>
    </w:p>
    <w:p w14:paraId="0BF0980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CSM" + primarily support-ticket responsibilities </w:t>
      </w:r>
    </w:p>
    <w:p w14:paraId="28054858"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 mandatory office attendance </w:t>
      </w:r>
    </w:p>
    <w:p w14:paraId="6DB51ED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"Flexible schedule" + fixed regional hours </w:t>
      </w:r>
    </w:p>
    <w:p w14:paraId="586D64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Contradictions should be stored rather than silently resolved.</w:t>
      </w:r>
    </w:p>
    <w:p w14:paraId="77B8D5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Contradiction</w:t>
      </w:r>
    </w:p>
    <w:p w14:paraId="08D5893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claimA</w:t>
      </w:r>
    </w:p>
    <w:p w14:paraId="02FDD3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claimB</w:t>
      </w:r>
    </w:p>
    <w:p w14:paraId="5E9D468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interpretation</w:t>
      </w:r>
    </w:p>
    <w:p w14:paraId="52A705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significance</w:t>
      </w:r>
    </w:p>
    <w:p w14:paraId="6C9498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logic determines whether the contradiction affects scoring.</w:t>
      </w:r>
    </w:p>
    <w:p w14:paraId="1BB4DD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4022EE">
          <v:rect id="_x0000_i1052" style="width:0;height:1.5pt" o:hralign="center" o:hrstd="t" o:hr="t" fillcolor="#a0a0a0" stroked="f"/>
        </w:pict>
      </w:r>
    </w:p>
    <w:p w14:paraId="049723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Confidence Model</w:t>
      </w:r>
    </w:p>
    <w:p w14:paraId="354C12F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Confidence measures </w:t>
      </w:r>
      <w:r>
        <w:rPr>
          <w:rFonts w:ascii="Times New Roman" w:eastAsia="Times New Roman" w:hAnsi="Times New Roman" w:cs="Times New Roman"/>
          <w:b/>
          <w:bCs/>
          <w:kern w:val="0"/>
          <w14:ligatures w14:val="none"/>
        </w:rPr>
        <w:t>evidence strength</w:t>
      </w:r>
      <w:r>
        <w:rPr>
          <w:rFonts w:ascii="Times New Roman" w:eastAsia="Times New Roman" w:hAnsi="Times New Roman" w:cs="Times New Roman"/>
          <w:kern w:val="0"/>
          <w14:ligatures w14:val="none"/>
        </w:rPr>
        <w:t>, not how certain the AI feels.</w:t>
      </w:r>
    </w:p>
    <w:p w14:paraId="4280BC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Confidence should therefore be derived from factors such as:</w:t>
      </w:r>
    </w:p>
    <w:p w14:paraId="5FCDCB0E"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Explicit JD statement </w:t>
      </w:r>
    </w:p>
    <w:p w14:paraId="74F3B88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corroborating statements </w:t>
      </w:r>
    </w:p>
    <w:p w14:paraId="44FA976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External company evidence </w:t>
      </w:r>
    </w:p>
    <w:p w14:paraId="5C8E9F7C"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Indirect evidence </w:t>
      </w:r>
    </w:p>
    <w:p w14:paraId="66892ED0"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information </w:t>
      </w:r>
    </w:p>
    <w:p w14:paraId="37D5C871"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evidence </w:t>
      </w:r>
    </w:p>
    <w:p w14:paraId="1F7759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not simply generate arbitrary percentages such as "87% confident."</w:t>
      </w:r>
    </w:p>
    <w:p w14:paraId="40B4B4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8EAE3">
          <v:rect id="_x0000_i1053" style="width:0;height:1.5pt" o:hralign="center" o:hrstd="t" o:hr="t" fillcolor="#a0a0a0" stroked="f"/>
        </w:pict>
      </w:r>
    </w:p>
    <w:p w14:paraId="6F85DFE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External Company Information</w:t>
      </w:r>
    </w:p>
    <w:p w14:paraId="7DEB20F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descriptions remain the primary source for evaluating the role.</w:t>
      </w:r>
    </w:p>
    <w:p w14:paraId="405D91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company information may supplement questions the JD cannot answer.</w:t>
      </w:r>
    </w:p>
    <w:p w14:paraId="609680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sources include:</w:t>
      </w:r>
    </w:p>
    <w:p w14:paraId="08BE283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Official company website </w:t>
      </w:r>
    </w:p>
    <w:p w14:paraId="021A731F"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Careers pages </w:t>
      </w:r>
    </w:p>
    <w:p w14:paraId="4BBF2043"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company documentation </w:t>
      </w:r>
    </w:p>
    <w:p w14:paraId="7E45866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Supported public sources </w:t>
      </w:r>
    </w:p>
    <w:p w14:paraId="4C42FD8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evidence must retain:</w:t>
      </w:r>
    </w:p>
    <w:p w14:paraId="41042C1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URL/source </w:t>
      </w:r>
    </w:p>
    <w:p w14:paraId="581C02E2"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retrieval date </w:t>
      </w:r>
    </w:p>
    <w:p w14:paraId="45A78F76"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text/fact </w:t>
      </w:r>
    </w:p>
    <w:p w14:paraId="4837894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confidence </w:t>
      </w:r>
    </w:p>
    <w:p w14:paraId="1599E90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Absence of public information does not constitute negative evidence.</w:t>
      </w:r>
    </w:p>
    <w:p w14:paraId="4C8D2D3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A7EBEA">
          <v:rect id="_x0000_i1054" style="width:0;height:1.5pt" o:hralign="center" o:hrstd="t" o:hr="t" fillcolor="#a0a0a0" stroked="f"/>
        </w:pict>
      </w:r>
    </w:p>
    <w:p w14:paraId="5F0BC2D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User Profile</w:t>
      </w:r>
    </w:p>
    <w:p w14:paraId="613E66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Personalized domain evaluation requires a structured user profile.</w:t>
      </w:r>
    </w:p>
    <w:p w14:paraId="31E5B5A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UserProfile</w:t>
      </w:r>
    </w:p>
    <w:p w14:paraId="547608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careerGoals</w:t>
      </w:r>
    </w:p>
    <w:p w14:paraId="4F3F71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experience</w:t>
      </w:r>
    </w:p>
    <w:p w14:paraId="4FEBC2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skills</w:t>
      </w:r>
    </w:p>
    <w:p w14:paraId="2297C6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transferableSkills</w:t>
      </w:r>
    </w:p>
    <w:p w14:paraId="3397C53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locationPreferences</w:t>
      </w:r>
    </w:p>
    <w:p w14:paraId="607491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compensationPreferences</w:t>
      </w:r>
    </w:p>
    <w:p w14:paraId="730F734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workPreferences</w:t>
      </w:r>
    </w:p>
    <w:p w14:paraId="32C796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domainPreferences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limitations[]</w:t>
      </w:r>
    </w:p>
    <w:p w14:paraId="0C173C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preferences should live inside domain configuration rather than Core Platform code.</w:t>
      </w:r>
    </w:p>
    <w:p w14:paraId="727D1F8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126E1E">
          <v:rect id="_x0000_i1055" style="width:0;height:1.5pt" o:hralign="center" o:hrstd="t" o:hr="t" fillcolor="#a0a0a0" stroked="f"/>
        </w:pict>
      </w:r>
    </w:p>
    <w:p w14:paraId="452FB61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Rule Configuration</w:t>
      </w:r>
    </w:p>
    <w:p w14:paraId="5268883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Hard-coded user preferences should be avoided where practical.</w:t>
      </w:r>
    </w:p>
    <w:p w14:paraId="0F3E57E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5BE51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customer-success.config</w:t>
      </w:r>
    </w:p>
    <w:p w14:paraId="51587B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salaryThresholds</w:t>
      </w:r>
    </w:p>
    <w:p w14:paraId="4A74CE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locationRules</w:t>
      </w:r>
    </w:p>
    <w:p w14:paraId="7E27BF7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travelRules</w:t>
      </w:r>
    </w:p>
    <w:p w14:paraId="55E9354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targetCompanies</w:t>
      </w:r>
    </w:p>
    <w:p w14:paraId="6EAE11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targetProducts</w:t>
      </w:r>
    </w:p>
    <w:p w14:paraId="26E24F7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customerSegments</w:t>
      </w:r>
    </w:p>
    <w:p w14:paraId="53104F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evaluationStages</w:t>
      </w:r>
    </w:p>
    <w:p w14:paraId="33B9050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recommendationRules</w:t>
      </w:r>
    </w:p>
    <w:p w14:paraId="5C02951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requirements to change without rewriting the evaluation architecture.</w:t>
      </w:r>
    </w:p>
    <w:p w14:paraId="6A1D778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71CFC">
          <v:rect id="_x0000_i1056" style="width:0;height:1.5pt" o:hralign="center" o:hrstd="t" o:hr="t" fillcolor="#a0a0a0" stroked="f"/>
        </w:pict>
      </w:r>
    </w:p>
    <w:p w14:paraId="077E70E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Scoring Architecture</w:t>
      </w:r>
    </w:p>
    <w:p w14:paraId="18BDE3A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 every criterion should behave the same way.</w:t>
      </w:r>
    </w:p>
    <w:p w14:paraId="47D324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support:</w:t>
      </w:r>
    </w:p>
    <w:p w14:paraId="0A33FF96"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w:t>
      </w:r>
    </w:p>
    <w:p w14:paraId="07E0CA14"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Weighted scores </w:t>
      </w:r>
    </w:p>
    <w:p w14:paraId="55B517A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Alignment ratings </w:t>
      </w:r>
    </w:p>
    <w:p w14:paraId="1F59A9A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ratings </w:t>
      </w:r>
    </w:p>
    <w:p w14:paraId="4DCE3DC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Classifications </w:t>
      </w:r>
    </w:p>
    <w:p w14:paraId="7C254B3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Informational fields </w:t>
      </w:r>
    </w:p>
    <w:p w14:paraId="3DC37F3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supports these result mechanisms but does not require every domain to use all of them. A domain PRD/TDD determines which mechanisms apply. Numeric scoring must never be invented merely because the Core Platform can represent it; categorical, contextual, risk, classification, and informational results are equally valid when defined by the domain.</w:t>
      </w:r>
    </w:p>
    <w:p w14:paraId="0FF3E26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BFD034">
          <v:rect id="_x0000_i1057" style="width:0;height:1.5pt" o:hralign="center" o:hrstd="t" o:hr="t" fillcolor="#a0a0a0" stroked="f"/>
        </w:pict>
      </w:r>
    </w:p>
    <w:p w14:paraId="1A41749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Score Record</w:t>
      </w:r>
    </w:p>
    <w:p w14:paraId="5C21AEC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ScoreResult</w:t>
      </w:r>
    </w:p>
    <w:p w14:paraId="133AC27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criterion</w:t>
      </w:r>
    </w:p>
    <w:p w14:paraId="50421AB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score</w:t>
      </w:r>
    </w:p>
    <w:p w14:paraId="13083BD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scale</w:t>
      </w:r>
    </w:p>
    <w:p w14:paraId="3DEBB07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weight</w:t>
      </w:r>
    </w:p>
    <w:p w14:paraId="15DEBD6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classification</w:t>
      </w:r>
    </w:p>
    <w:p w14:paraId="1D13B90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w:t>
      </w:r>
    </w:p>
    <w:p w14:paraId="18AF3C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explanation</w:t>
      </w:r>
    </w:p>
    <w:p w14:paraId="15A67D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score should never exist without an explanation.</w:t>
      </w:r>
    </w:p>
    <w:p w14:paraId="2F31F75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340DF">
          <v:rect id="_x0000_i1058" style="width:0;height:1.5pt" o:hralign="center" o:hrstd="t" o:hr="t" fillcolor="#a0a0a0" stroked="f"/>
        </w:pict>
      </w:r>
    </w:p>
    <w:p w14:paraId="2AEA122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Recommendation Engine</w:t>
      </w:r>
    </w:p>
    <w:p w14:paraId="70C83F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Recommendation Engine receives completed stage results and applies domain-defined recommendation rules.</w:t>
      </w:r>
    </w:p>
    <w:p w14:paraId="4D2CCB0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Flow</w:t>
      </w:r>
    </w:p>
    <w:p w14:paraId="4A76E8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Stage Results → Rule Evaluation → Recommendation → Explanation</w:t>
      </w:r>
    </w:p>
    <w:p w14:paraId="4EBB84E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LLM should </w:t>
      </w:r>
      <w:r>
        <w:rPr>
          <w:rFonts w:ascii="Times New Roman" w:eastAsia="Times New Roman" w:hAnsi="Times New Roman" w:cs="Times New Roman"/>
          <w:b/>
          <w:bCs/>
          <w:kern w:val="0"/>
          <w14:ligatures w14:val="none"/>
        </w:rPr>
        <w:t>not independently decide Apply / Review / Skip</w:t>
      </w:r>
      <w:r>
        <w:rPr>
          <w:rFonts w:ascii="Times New Roman" w:eastAsia="Times New Roman" w:hAnsi="Times New Roman" w:cs="Times New Roman"/>
          <w:kern w:val="0"/>
          <w14:ligatures w14:val="none"/>
        </w:rPr>
        <w:t xml:space="preserve"> unless the domain rules explicitly delegate part of that decision to semantic analysis.</w:t>
      </w:r>
    </w:p>
    <w:p w14:paraId="0AE5859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FC66A8">
          <v:rect id="_x0000_i1059" style="width:0;height:1.5pt" o:hralign="center" o:hrstd="t" o:hr="t" fillcolor="#a0a0a0" stroked="f"/>
        </w:pict>
      </w:r>
    </w:p>
    <w:p w14:paraId="2242507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Record</w:t>
      </w:r>
    </w:p>
    <w:p w14:paraId="6514B2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Recommendation</w:t>
      </w:r>
    </w:p>
    <w:p w14:paraId="6600777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decision</w:t>
      </w:r>
    </w:p>
    <w:p w14:paraId="3AF4E8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scoreSummary</w:t>
      </w:r>
    </w:p>
    <w:p w14:paraId="60894F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strongestPositives[]</w:t>
      </w:r>
    </w:p>
    <w:p w14:paraId="0EA953B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strongestConcerns[]</w:t>
      </w:r>
    </w:p>
    <w:p w14:paraId="10FCCE8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w:t>
      </w:r>
    </w:p>
    <w:p w14:paraId="4D8CA6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w:t>
      </w:r>
    </w:p>
    <w:p w14:paraId="27DC6D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explanation</w:t>
      </w:r>
    </w:p>
    <w:p w14:paraId="4E72908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FB04FC">
          <v:rect id="_x0000_i1060" style="width:0;height:1.5pt" o:hralign="center" o:hrstd="t" o:hr="t" fillcolor="#a0a0a0" stroked="f"/>
        </w:pict>
      </w:r>
    </w:p>
    <w:p w14:paraId="1C1FDD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31. Recommendation Precedence</w:t>
      </w:r>
    </w:p>
    <w:p w14:paraId="0D8A93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 filters should override aggregate scoring where the relevant domain PRD requires it.</w:t>
      </w:r>
    </w:p>
    <w:p w14:paraId="183CCDF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FB61B1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job could otherwise score highly but violate a mandatory location requirement.</w:t>
      </w:r>
    </w:p>
    <w:p w14:paraId="3839976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platform should not allow numerous positive soft scores to mathematically erase a genuine disqualifier.</w:t>
      </w:r>
    </w:p>
    <w:p w14:paraId="1471E2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configuration determines precedence.</w:t>
      </w:r>
    </w:p>
    <w:p w14:paraId="70043B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FB1C19">
          <v:rect id="_x0000_i1061" style="width:0;height:1.5pt" o:hralign="center" o:hrstd="t" o:hr="t" fillcolor="#a0a0a0" stroked="f"/>
        </w:pict>
      </w:r>
    </w:p>
    <w:p w14:paraId="6D69BEE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32. Storage Architecture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should serve as the primary persistent data store.</w:t>
      </w:r>
    </w:p>
    <w:p w14:paraId="4E7901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entities include:</w:t>
      </w:r>
    </w:p>
    <w:p w14:paraId="13474A3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Users </w:t>
      </w:r>
    </w:p>
    <w:p w14:paraId="30F664D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Profiles </w:t>
      </w:r>
    </w:p>
    <w:p w14:paraId="7788400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w:t>
      </w:r>
    </w:p>
    <w:p w14:paraId="410E6E1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Records </w:t>
      </w:r>
    </w:p>
    <w:p w14:paraId="61A359A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Companies </w:t>
      </w:r>
    </w:p>
    <w:p w14:paraId="52B42773"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Evaluations </w:t>
      </w:r>
    </w:p>
    <w:p w14:paraId="645A4C4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Stage Results </w:t>
      </w:r>
    </w:p>
    <w:p w14:paraId="772E2AE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Records </w:t>
      </w:r>
    </w:p>
    <w:p w14:paraId="413075D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w:t>
      </w:r>
    </w:p>
    <w:p w14:paraId="7B26CE6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Actions </w:t>
      </w:r>
    </w:p>
    <w:p w14:paraId="1AC8BF20"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Metrics </w:t>
      </w:r>
    </w:p>
    <w:p w14:paraId="2258FE9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Raw source payloads may be stored separately if size becomes significant.</w:t>
      </w:r>
    </w:p>
    <w:p w14:paraId="4B2B1FF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71E224">
          <v:rect id="_x0000_i106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Budget Persistence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must persist the accounting state required to enforce AI limits across workers and restarts.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Semantic-operation usage records store provider and model identity, prompt version, attempts, duration, provider-reported token categories, estimated cost, pricing version, and evaluation, opportunity, domain, and source references.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versioned model-pricing configuration stores the provider/model pricing basis, currency, effective period, and version used to estimate and reconcile cost. Pricing values are configuration, not stage-code constants.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persistent monthly budget ledger stores the configured monthly limit, configurable warning thresholds, reserved amount, estimated or reconciled spend, remaining budget, period, and concurrency version.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Persistent reservation records link an evaluation task to the pricing version, estimated amount, reserved amount, reconciliation state, and timestamps needed for recovery.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Limit configuration also supports configurable per-evaluation call limits, output-token limits, daily evaluation-volume limits, and weekly evaluation-volume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user may lower or update the budget configuration. No platform process may increase it or purchase credits automatically.</w:t>
      </w:r>
    </w:p>
    <w:p w14:paraId="507673B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33. Opportunity State</w:t>
      </w:r>
    </w:p>
    <w:p w14:paraId="6B4303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Opportunities should have lifecycle states such as:</w:t>
      </w:r>
    </w:p>
    <w:p w14:paraId="04DD0C2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DISCOVERED</w:t>
      </w:r>
    </w:p>
    <w:p w14:paraId="2F27AF9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NORMALIZED</w:t>
      </w:r>
    </w:p>
    <w:p w14:paraId="20885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EVALUATED</w:t>
      </w:r>
    </w:p>
    <w:p w14:paraId="298BD83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RECOMMENDED</w:t>
      </w:r>
    </w:p>
    <w:p w14:paraId="74F252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SAVED</w:t>
      </w:r>
    </w:p>
    <w:p w14:paraId="0F46876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APPLIED</w:t>
      </w:r>
    </w:p>
    <w:p w14:paraId="1FC516D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REJECTED_BY_USER</w:t>
      </w:r>
    </w:p>
    <w:p w14:paraId="670923B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CLOSED</w:t>
      </w:r>
    </w:p>
    <w:p w14:paraId="64AB40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ARCHIVED</w:t>
      </w:r>
    </w:p>
    <w:p w14:paraId="18D08AA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actions should not destroy evaluation history.</w:t>
      </w:r>
    </w:p>
    <w:p w14:paraId="1362CC0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FD70F9">
          <v:rect id="_x0000_i1063"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Budget-Deferred Opportunity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generic deferral reason AI_BUDGET_LIMIT when an otherwise eligible job cannot begin paid AI processing within the available budget.</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USAGE_LIMIT_REACHED when an otherwise eligible job is held only by a configured non-dollar usage limit (daily evaluations, weekly evaluations, or monthly output tokens). When the monthly budget is among the limits reached, AI_BUDGET_LIMIT applies. Rows recorded with the earlier reason BUDGET_UNAVAILABLE are read as AI_BUDGET_LIMIT and are not rewritten.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deferral is an operational queue state, not an evaluation result, failure, rejection, recommendation, or suitability conclusion.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the normalized opportunity, raw source record, provenance, domain eligibility, queue metadata, and prior valid results while deferred.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later queue release, recheck the current budget, active limits, opportunity eligibility, duplicate and stale state, and any persisted reservation or attempt information.</w:t>
      </w:r>
    </w:p>
    <w:p w14:paraId="50391ED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34. Evaluation Versioning</w:t>
      </w:r>
    </w:p>
    <w:p w14:paraId="3A60640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results must record which rules produced them.</w:t>
      </w:r>
    </w:p>
    <w:p w14:paraId="1EEA8F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evaluationVersion</w:t>
      </w:r>
    </w:p>
    <w:p w14:paraId="279E5F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domainVersion</w:t>
      </w:r>
    </w:p>
    <w:p w14:paraId="01CAB31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promptVersion</w:t>
      </w:r>
    </w:p>
    <w:p w14:paraId="584466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userProfileVersion</w:t>
      </w:r>
    </w:p>
    <w:p w14:paraId="532B4EB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scoring rules change later, old evaluations remain reproducible and distinguishable from new ones.</w:t>
      </w:r>
    </w:p>
    <w:p w14:paraId="3F7844F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will be important when testing whether changes actually improve recommendations.</w:t>
      </w:r>
    </w:p>
    <w:p w14:paraId="03FB445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3B788">
          <v:rect id="_x0000_i1064" style="width:0;height:1.5pt" o:hralign="center" o:hrstd="t" o:hr="t" fillcolor="#a0a0a0" stroked="f"/>
        </w:pict>
      </w:r>
    </w:p>
    <w:p w14:paraId="5979EB2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35. API Boundary</w:t>
      </w:r>
    </w:p>
    <w:p w14:paraId="353E91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frontend and browser extension should communicate with the Core Platform through defined APIs.</w:t>
      </w:r>
    </w:p>
    <w:p w14:paraId="3C65A7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Initial endpoints may include:</w:t>
      </w:r>
    </w:p>
    <w:p w14:paraId="22CE335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w:t>
      </w:r>
    </w:p>
    <w:p w14:paraId="5B9387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w:t>
      </w:r>
    </w:p>
    <w:p w14:paraId="45D2D00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/opportunities/:id</w:t>
      </w:r>
    </w:p>
    <w:p w14:paraId="4383DEE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/opportunities/:id/evaluate</w:t>
      </w:r>
    </w:p>
    <w:p w14:paraId="350B4AD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/opportunities/:id/evaluation</w:t>
      </w:r>
    </w:p>
    <w:p w14:paraId="0D43DF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/opportunities/:id/action</w:t>
      </w:r>
    </w:p>
    <w:p w14:paraId="7FDA265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Source-specific collectors should not expose their implementation directly to the frontend.</w:t>
      </w:r>
    </w:p>
    <w:p w14:paraId="6EFEFA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04A349">
          <v:rect id="_x0000_i106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 and Deferral API Boundary</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API boundary must expose domain-neutral budget, usage, capacity, and budget-deferral information without exposing provider credentials.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reading and user-authorized updating of the monthly spending limit, warning thresholds, and applicable call, output-token, daily-volume, and weekly-volume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reported token usage, estimated spending, remaining budget, estimated remaining capacity, estimated eligible-backlog cost, and the pricing/configuration versions used for estimates.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t>Expose eligible-for-evaluation under the active domain/model configuration, evaluated, queued, running, AI_BUDGET_LIMIT-deferred and USAGE_LIMIT_REACHED-deferred counts, with relevant breakdowns by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budget-deferred opportunities and user actions needed to keep deferred, release when eligible, or independently dismiss them without converting deferral into a negative evaluation.</w:t>
      </w:r>
    </w:p>
    <w:p w14:paraId="46DB1C5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36. Background Processing</w:t>
      </w:r>
    </w:p>
    <w:p w14:paraId="5EDC0F1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Tasks that do not require immediate UI responses should run asynchronously.</w:t>
      </w:r>
    </w:p>
    <w:p w14:paraId="3B3C20D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0CC42A54"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collection </w:t>
      </w:r>
    </w:p>
    <w:p w14:paraId="5C988CAA"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Large-scale deduplication </w:t>
      </w:r>
    </w:p>
    <w:p w14:paraId="63593FC8"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evaluation </w:t>
      </w:r>
    </w:p>
    <w:p w14:paraId="71F0B651"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company research </w:t>
      </w:r>
    </w:p>
    <w:p w14:paraId="3A8F3963"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aggregation </w:t>
      </w:r>
    </w:p>
    <w:p w14:paraId="23995D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Flow</w:t>
      </w:r>
    </w:p>
    <w:p w14:paraId="4DA351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Task Created → Queue → Worker → Result Stored → UI Updated</w:t>
      </w:r>
    </w:p>
    <w:p w14:paraId="0D6E3F5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the earliest MVP, a simple database-backed worker is sufficient.</w:t>
      </w:r>
    </w:p>
    <w:p w14:paraId="59806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complex distributed queue is unnecessary.</w:t>
      </w:r>
    </w:p>
    <w:p w14:paraId="2F4C0A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F92147">
          <v:rect id="_x0000_i1066"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Atomic Budget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paid AI processing, calculate an estimate using the active versioned pricing configuration and atomically reserve sufficient monthly budget in the same persistent transaction or equivalent concurrency-safe operation.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task may start paid processing only after reservation succeeds. Insufficient availability produces AI_BUDGET_LIMIT deferral when the task is otherwise eligible.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each attempt, reconcile the reservation against provider-reported usage and estimated cost, release unused reservation, and retain an auditable record of discrepancies or missing usage.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Reservation, reconciliation, retry accounting, and limit enforcement must be safe across worker concurrency, process crashes, retries, and restarts. A restarted or resumed task must use persisted attempts and reservations rather than receiving a new allowance.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Queue release must claim deferred work atomically so multiple workers cannot evaluate the same opportunity or spend the same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never increase a configured budget or purchase provider credits automatically.</w:t>
      </w:r>
    </w:p>
    <w:p w14:paraId="1343F2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37. Failure Handling</w:t>
      </w:r>
    </w:p>
    <w:p w14:paraId="30C9B13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Failures should be isolated by stage.</w:t>
      </w:r>
    </w:p>
    <w:p w14:paraId="44A0D1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external company research fails, for example, the entire opportunity should not disappear.</w:t>
      </w:r>
    </w:p>
    <w:p w14:paraId="689F01C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result should instead indicate:</w:t>
      </w:r>
    </w:p>
    <w:p w14:paraId="371496A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company information: Unknown — retrieval failed.</w:t>
      </w:r>
    </w:p>
    <w:p w14:paraId="2BE51A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Similarly:</w:t>
      </w:r>
    </w:p>
    <w:p w14:paraId="0F3F2E09"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failure should be retryable. </w:t>
      </w:r>
    </w:p>
    <w:p w14:paraId="05D5C84B"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failure should be retryable. </w:t>
      </w:r>
    </w:p>
    <w:p w14:paraId="7571A17C"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Schema failure should trigger validation. </w:t>
      </w:r>
    </w:p>
    <w:p w14:paraId="234D13C0"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Individual stage failure should be recorded. </w:t>
      </w:r>
    </w:p>
    <w:p w14:paraId="5EFB706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7E8113">
          <v:rect id="_x0000_i1067" style="width:0;height:1.5pt" o:hralign="center" o:hrstd="t" o:hr="t" fillcolor="#a0a0a0" stroked="f"/>
        </w:pict>
      </w:r>
    </w:p>
    <w:p w14:paraId="6F1446C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38. Observability</w:t>
      </w:r>
    </w:p>
    <w:p w14:paraId="77ED44C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log:</w:t>
      </w:r>
    </w:p>
    <w:p w14:paraId="6475189B"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Collector failures </w:t>
      </w:r>
    </w:p>
    <w:p w14:paraId="7B3DCBB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failures </w:t>
      </w:r>
    </w:p>
    <w:p w14:paraId="0CBC604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decisions </w:t>
      </w:r>
    </w:p>
    <w:p w14:paraId="31C5695E"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calls </w:t>
      </w:r>
    </w:p>
    <w:p w14:paraId="7D68071F"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Validation failures </w:t>
      </w:r>
    </w:p>
    <w:p w14:paraId="1AE6378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duration </w:t>
      </w:r>
    </w:p>
    <w:p w14:paraId="0CEC4AD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results </w:t>
      </w:r>
    </w:p>
    <w:p w14:paraId="5FFF36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Sensitive user information should not be unnecessarily written to logs.</w:t>
      </w:r>
    </w:p>
    <w:p w14:paraId="5CEA02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2A9F66">
          <v:rect id="_x0000_i106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Budget Observability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views must show provider-reported token usage, estimated spending, remaining monthly budget, estimated remaining evaluation capacity, and estimated eligible-backlog cost.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counts must distinguish eligible-for-evaluation, evaluated, queued, running, AI_BUDGET_LIMIT-deferred and USAGE_LIMIT_REACHED-deferred jobs and support relevant domain and job-source breakdowns.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Warning state must be derived from configurable thresholds and identify the budget period and configuration version.</w:t>
      </w:r>
    </w:p>
    <w:p w14:paraId="187D25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39. Analytics Events</w:t>
      </w:r>
    </w:p>
    <w:p w14:paraId="141D9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 should capture basic events including:</w:t>
      </w:r>
    </w:p>
    <w:p w14:paraId="4F86454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discovered </w:t>
      </w:r>
    </w:p>
    <w:p w14:paraId="6D1D1F17"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detected </w:t>
      </w:r>
    </w:p>
    <w:p w14:paraId="113EB53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completed </w:t>
      </w:r>
    </w:p>
    <w:p w14:paraId="2DB9A16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produced </w:t>
      </w:r>
    </w:p>
    <w:p w14:paraId="45725B7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viewed </w:t>
      </w:r>
    </w:p>
    <w:p w14:paraId="4F2AC22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saved </w:t>
      </w:r>
    </w:p>
    <w:p w14:paraId="36677D01"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dismissed </w:t>
      </w:r>
    </w:p>
    <w:p w14:paraId="3B336E9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recorded </w:t>
      </w:r>
    </w:p>
    <w:p w14:paraId="3F26B84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provides the foundation for the source analytics planned in the PRDs.</w:t>
      </w:r>
    </w:p>
    <w:p w14:paraId="4B7752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3202AA">
          <v:rect id="_x0000_i1069"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Budget-Aware Source Analytics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events must preserve AI_BUDGET_LIMIT and USAGE_LIMIT_REACHED as separate operational deferral reasons.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count budget-deferred or usage-limit-deferred opportunities as source failures, unsuitable opportunities, rejected recommendations, or evidence of poor source performance.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and domain reporting may show how many eligible opportunities remain unevaluated because of budget, but performance conclusions must separate that capacity constraint from source quality.</w:t>
      </w:r>
    </w:p>
    <w:p w14:paraId="3BB1783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40. Security &amp; Data Handling</w:t>
      </w:r>
    </w:p>
    <w:p w14:paraId="225DB0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w:t>
      </w:r>
    </w:p>
    <w:p w14:paraId="7F515B68"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credentials securely. </w:t>
      </w:r>
    </w:p>
    <w:p w14:paraId="6F2C9971"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expose API keys to the browser. </w:t>
      </w:r>
    </w:p>
    <w:p w14:paraId="1D077D36"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collected personal information. </w:t>
      </w:r>
    </w:p>
    <w:p w14:paraId="435B4F8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Validate extension/API input. </w:t>
      </w:r>
    </w:p>
    <w:p w14:paraId="21065F0F"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Sanitize externally collected content. </w:t>
      </w:r>
    </w:p>
    <w:p w14:paraId="0C798FB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 job descriptions and websites as </w:t>
      </w:r>
      <w:r>
        <w:rPr>
          <w:rFonts w:ascii="Times New Roman" w:eastAsia="Times New Roman" w:hAnsi="Times New Roman" w:cs="Times New Roman"/>
          <w:b/>
          <w:bCs/>
          <w:kern w:val="0"/>
          <w14:ligatures w14:val="none"/>
        </w:rPr>
        <w:t>untrusted input</w:t>
      </w:r>
      <w:r>
        <w:rPr>
          <w:rFonts w:ascii="Times New Roman" w:eastAsia="Times New Roman" w:hAnsi="Times New Roman" w:cs="Times New Roman"/>
          <w:kern w:val="0"/>
          <w14:ligatures w14:val="none"/>
        </w:rPr>
        <w:t xml:space="preserve">. </w:t>
      </w:r>
    </w:p>
    <w:p w14:paraId="2E8AAA4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page content must never be allowed to override system instructions or evaluation rules.</w:t>
      </w:r>
    </w:p>
    <w:p w14:paraId="18B3675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9D2233">
          <v:rect id="_x0000_i1070" style="width:0;height:1.5pt" o:hralign="center" o:hrstd="t" o:hr="t" fillcolor="#a0a0a0" stroked="f"/>
        </w:pict>
      </w:r>
    </w:p>
    <w:p w14:paraId="359076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41. Prompt-Injection Protection</w:t>
      </w:r>
    </w:p>
    <w:p w14:paraId="023157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the platform analyzes arbitrary web content, job descriptions could contain text that resembles AI instructions.</w:t>
      </w:r>
    </w:p>
    <w:p w14:paraId="39E8153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evaluation layer must treat all collected content as </w:t>
      </w:r>
      <w:r>
        <w:rPr>
          <w:rFonts w:ascii="Times New Roman" w:eastAsia="Times New Roman" w:hAnsi="Times New Roman" w:cs="Times New Roman"/>
          <w:b/>
          <w:bCs/>
          <w:kern w:val="0"/>
          <w14:ligatures w14:val="none"/>
        </w:rPr>
        <w:t>data only</w:t>
      </w:r>
      <w:r>
        <w:rPr>
          <w:rFonts w:ascii="Times New Roman" w:eastAsia="Times New Roman" w:hAnsi="Times New Roman" w:cs="Times New Roman"/>
          <w:kern w:val="0"/>
          <w14:ligatures w14:val="none"/>
        </w:rPr>
        <w:t>.</w:t>
      </w:r>
    </w:p>
    <w:p w14:paraId="178351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prompt architecture should explicitly separate:</w:t>
      </w:r>
    </w:p>
    <w:p w14:paraId="23DB7166"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rules </w:t>
      </w:r>
    </w:p>
    <w:p w14:paraId="349A293A"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 evaluation instructions </w:t>
      </w:r>
    </w:p>
    <w:p w14:paraId="192C6160"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User configuration </w:t>
      </w:r>
    </w:p>
    <w:p w14:paraId="56A06868"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Untrusted source content </w:t>
      </w:r>
    </w:p>
    <w:p w14:paraId="62D2310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Instructions contained inside a JD or webpage must never modify evaluation behavior.</w:t>
      </w:r>
    </w:p>
    <w:p w14:paraId="34AFABD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35F4D6">
          <v:rect id="_x0000_i1071" style="width:0;height:1.5pt" o:hralign="center" o:hrstd="t" o:hr="t" fillcolor="#a0a0a0" stroked="f"/>
        </w:pict>
      </w:r>
    </w:p>
    <w:p w14:paraId="525F355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42. Testing Architecture</w:t>
      </w:r>
    </w:p>
    <w:p w14:paraId="298DF7D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Testing should occur at three levels.</w:t>
      </w:r>
    </w:p>
    <w:p w14:paraId="466AA809"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Unit Tests</w:t>
      </w:r>
    </w:p>
    <w:p w14:paraId="04BD37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deterministic components such as:</w:t>
      </w:r>
    </w:p>
    <w:p w14:paraId="6A04992E"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parsing </w:t>
      </w:r>
    </w:p>
    <w:p w14:paraId="4D755D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 parsing </w:t>
      </w:r>
    </w:p>
    <w:p w14:paraId="2A85E9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normalization </w:t>
      </w:r>
    </w:p>
    <w:p w14:paraId="6E509B79"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calculations </w:t>
      </w:r>
    </w:p>
    <w:p w14:paraId="25696F83"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Rule precedence </w:t>
      </w:r>
    </w:p>
    <w:p w14:paraId="58E7C67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Integration Tests</w:t>
      </w:r>
    </w:p>
    <w:p w14:paraId="4EB6715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w:t>
      </w:r>
    </w:p>
    <w:p w14:paraId="4826FED5"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Collector → Normalization </w:t>
      </w:r>
    </w:p>
    <w:p w14:paraId="1B0AFE4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 Deduplication </w:t>
      </w:r>
    </w:p>
    <w:p w14:paraId="0FC8EB64"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 Recommendation </w:t>
      </w:r>
    </w:p>
    <w:p w14:paraId="29FB24C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Extension → API </w:t>
      </w:r>
    </w:p>
    <w:p w14:paraId="22BE009E"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AI Evaluation Tests</w:t>
      </w:r>
    </w:p>
    <w:p w14:paraId="6E2A749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 representative JDs with expected evaluation characteristics.</w:t>
      </w:r>
    </w:p>
    <w:p w14:paraId="6DC7410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whether the AI correctly identifies:</w:t>
      </w:r>
    </w:p>
    <w:p w14:paraId="1016C612"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54B9653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676E116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w:t>
      </w:r>
    </w:p>
    <w:p w14:paraId="049D9AD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Contradictions </w:t>
      </w:r>
    </w:p>
    <w:p w14:paraId="2D4B0E5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337100D5"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1139C93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Exact prose does not need to match.</w:t>
      </w:r>
    </w:p>
    <w:p w14:paraId="70E820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underlying classification and evidence should.</w:t>
      </w:r>
    </w:p>
    <w:p w14:paraId="1426AA0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FEAEC0">
          <v:rect id="_x0000_i107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Accounting and Budget Test Coverage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token-category persistence, estimated-cost calculation, pricing-version attribution, and Unknown handling when provider usage fields are omitted.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retries create attempt records and consume the same evaluation's call and budget allowances without double counting.</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restart-safe recovery from persisted attempts, usage, reservations, and reconciliation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concurrency-safe reservation, prevention of overspend and duplicate claims, and correct reconciliation when multiple workers compete for limited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budget exhaustion creates AI_BUDGET_LIMIT deferral, preserves the opportunity and source data, and does not create a negative evaluation or failure.</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reaching only a non-dollar usage limit creates USAGE_LIMIT_REACHED deferral with the same preservation guarantees, and that legacy BUDGET_UNAVAILABLE rows read as AI_BUDGET_LIMIT.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lowering or updating the budget changes later eligibility checks without automatic budget increases or credit purchases.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deferred queue release rechecks budget and eligibility and releases work once sufficient configured budget is available.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API and UI aggregates for usage, spending, remaining budget, capacity, backlog cost, operational counts, domains, and sources.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Source Analytics excludes budget deferral from negative source-performance outcomes.</w:t>
      </w:r>
    </w:p>
    <w:p w14:paraId="2A56709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43. Evaluation Regression Dataset</w:t>
      </w:r>
    </w:p>
    <w:p w14:paraId="512A2F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real jobs are tested, preserve representative examples.</w:t>
      </w:r>
    </w:p>
    <w:p w14:paraId="5A7557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evaluation-tests/</w:t>
      </w:r>
    </w:p>
    <w:p w14:paraId="62B1334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clear-good-fit/</w:t>
      </w:r>
    </w:p>
    <w:p w14:paraId="430A1E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clear-bad-fit/</w:t>
      </w:r>
    </w:p>
    <w:p w14:paraId="764725B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ambiguous/</w:t>
      </w:r>
    </w:p>
    <w:p w14:paraId="227FB6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misleading-title/</w:t>
      </w:r>
    </w:p>
    <w:p w14:paraId="188A1E0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inflated-requirements/</w:t>
      </w:r>
    </w:p>
    <w:p w14:paraId="05AFBDB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scope-creep/</w:t>
      </w:r>
    </w:p>
    <w:p w14:paraId="420E5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conflicting-jd/</w:t>
      </w:r>
    </w:p>
    <w:p w14:paraId="3C07B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becomes increasingly important as prompts and evaluation logic change.</w:t>
      </w:r>
    </w:p>
    <w:p w14:paraId="0E36E6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change should not fix one type of JD while silently breaking previously correct evaluations.</w:t>
      </w:r>
    </w:p>
    <w:p w14:paraId="6B3A603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82E301">
          <v:rect id="_x0000_i1073" style="width:0;height:1.5pt" o:hralign="center" o:hrstd="t" o:hr="t" fillcolor="#a0a0a0" stroked="f"/>
        </w:pict>
      </w:r>
    </w:p>
    <w:p w14:paraId="398AF56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44. MVP Boundary</w:t>
      </w:r>
    </w:p>
    <w:p w14:paraId="22F44F6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first build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attempt to implement the entire platform.</w:t>
      </w:r>
    </w:p>
    <w:p w14:paraId="1196C8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first vertical slice should prove that the core evaluation architecture works.</w:t>
      </w:r>
    </w:p>
    <w:p w14:paraId="609BBAC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MVP 1</w:t>
      </w:r>
    </w:p>
    <w:p w14:paraId="5158580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Manual JD Input → Normalization → Customer Success Domain Evaluation → Evidence Validation → Recommendation → Results UI</w:t>
      </w:r>
    </w:p>
    <w:p w14:paraId="4535DD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is the first reference implementation used to prove the generic Core evaluation architecture. The Core Platform must remain domain-agnostic so later domains, including Freelance Writing, can plug into the same interfaces.</w:t>
      </w:r>
    </w:p>
    <w:p>
      <w:pPr/>
      <w:r>
        <w:t>Current Implementation Alignment — August 16, 2026</w:t>
      </w:r>
    </w:p>
    <w:p>
      <w:pPr/>
      <w:r>
        <w:t>Milestones 1–3 have established the repository/platform foundation, manual opportunity ingestion and PostgreSQL persistence, and the shared Core evaluation framework with ordered stages, evidence records, Unknowns, contradictions, validation, and retryable failure isolation. Milestone 4 is the first real domain integration and begins Customer Success-specific evaluation logic. Discovery expansion remains later in the sequence.</w:t>
      </w:r>
    </w:p>
    <w:p w14:paraId="3E73295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4B5C60">
          <v:rect id="_x0000_i1074"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Current Implementation Alignment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platform now implements semantic-operation usage/cost accounting, a persistent monthly AI budget ledger, atomic reservation/reconciliation, warning thresholds, configurable call/output-token/daily/weekly limits, AI_BUDGET_LIMIT deferral, and persistent resume/cancel behavior. Unknown provider usage remains Unknown rather than becoming zero.</w:t>
      </w:r>
    </w:p>
    <w:p w14:paraId="6305E3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45. MVP 2</w:t>
      </w:r>
    </w:p>
    <w:p w14:paraId="73F820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evaluation works reliably:</w:t>
      </w:r>
    </w:p>
    <w:p w14:paraId="10FAD4C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Domain/Source Adapter → Opportunity Capture → Deduplication → Existing Domain Evaluation Pipeline</w:t>
      </w:r>
    </w:p>
    <w:p>
      <w:r>
        <w:t>Implementation note (Feature 14B, October 20, 2026): an extension capture enters retrieval ingestion and deduplication and stops there; it never starts an evaluation. The existing domain evaluation is entered only when the user explicitly requests it, through the same evaluation path, budget admission and duplicate-spend protection as the web application.</w:t>
      </w:r>
    </w:p>
    <w:p w14:paraId="01C29F4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D23C5DC">
          <v:rect id="_x0000_i1075" style="width:0;height:1.5pt" o:hralign="center" o:hrstd="t" o:hr="t" fillcolor="#a0a0a0" stroked="f"/>
        </w:pict>
      </w:r>
    </w:p>
    <w:p w14:paraId="22663D3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MVP 3</w:t>
      </w:r>
    </w:p>
    <w:p w14:paraId="4747449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 automated discovery:</w:t>
      </w:r>
    </w:p>
    <w:p w14:paraId="141E5A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ATS/Public/Domain Sources → Collection → Normalization → Deduplication → Domain Evaluation → Dashboard</w:t>
      </w:r>
    </w:p>
    <w:p w14:paraId="6B82A29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sequencing prevents us from building a large discovery system before knowing whether the evaluation engine is actually useful.</w:t>
      </w:r>
    </w:p>
    <w:p w14:paraId="0DA4364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6A73D8">
          <v:rect id="_x0000_i1076" style="width:0;height:1.5pt" o:hralign="center" o:hrstd="t" o:hr="t" fillcolor="#a0a0a0" stroked="f"/>
        </w:pict>
      </w:r>
    </w:p>
    <w:p w14:paraId="6FC2F6EA"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Main-Product Completion Scope and Later Add-ons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early manual MVP did not require the full retrieval/intelligence stack, but final main-product acceptance now includes retrieval and intelligence features 11–18.</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work still required before final acceptance includes: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discovery/retrieval/scraping</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 Ghost Job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(feature 14B: required; implemented and verified, awaiting acceptance)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0107D26A"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513A37A8"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Calendar integration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Application assistance, including resume tailoring, cover letters, application questions, interview preparation, and learning recommendations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Complex distributed infrastructure and a mobile application remain unnecessary unless future scale/product requirements justify them.</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and automatic applications remain outside the current main-product scope.</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Budget-Control Implementation Status</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persistent budget ledger, atomic reservation/reconciliation, configurable warnings/volume enforcement, AI_BUDGET_LIMIT deferral, queue release, and related usage/capacity reporting are implemented. Already-admitted queued/running evaluations are not retroactively cancelled when the user lowers limits; later admission/resume checks use the current configuration.</w:t>
      </w:r>
    </w:p>
    <w:p w14:paraId="1975E2A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48. Technical Acceptance Criteria</w:t>
      </w:r>
    </w:p>
    <w:p w14:paraId="5A83E12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architecture is successfully implemented when it can:</w:t>
      </w:r>
    </w:p>
    <w:p w14:paraId="1061648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Data</w:t>
      </w:r>
    </w:p>
    <w:p w14:paraId="035A0382"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Accept raw opportunities. </w:t>
      </w:r>
    </w:p>
    <w:p w14:paraId="2F4546C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original source data. </w:t>
      </w:r>
    </w:p>
    <w:p w14:paraId="0FB81A4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listings into a common schema. </w:t>
      </w:r>
    </w:p>
    <w:p w14:paraId="24D3F5AC"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Track field provenance. </w:t>
      </w:r>
    </w:p>
    <w:p w14:paraId="72849AF4"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Represent unknown values without guessing. </w:t>
      </w:r>
    </w:p>
    <w:p w14:paraId="643969D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099D556A"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Load a domain evaluator. </w:t>
      </w:r>
    </w:p>
    <w:p w14:paraId="73E278DB"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ordered evaluation stages. </w:t>
      </w:r>
    </w:p>
    <w:p w14:paraId="52434FFC"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Separate deterministic rules from semantic AI analysis. </w:t>
      </w:r>
    </w:p>
    <w:p w14:paraId="7B605C1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Validate structured AI responses. </w:t>
      </w:r>
    </w:p>
    <w:p w14:paraId="3AB92376"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for major conclusions. </w:t>
      </w:r>
    </w:p>
    <w:p w14:paraId="6B9248B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contradictions. </w:t>
      </w:r>
    </w:p>
    <w:p w14:paraId="65FBC4E8"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evaluation versions. </w:t>
      </w:r>
    </w:p>
    <w:p w14:paraId="06BDD60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w:t>
      </w:r>
    </w:p>
    <w:p w14:paraId="3BC83A36"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domain-defined scoring and precedence. </w:t>
      </w:r>
    </w:p>
    <w:p w14:paraId="0B6DEC88"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structured recommendations. </w:t>
      </w:r>
    </w:p>
    <w:p w14:paraId="1317D8C1"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why each recommendation was produced. </w:t>
      </w:r>
    </w:p>
    <w:p w14:paraId="14E312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Platform</w:t>
      </w:r>
    </w:p>
    <w:p w14:paraId="663DD6D6"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opportunities and evaluations. </w:t>
      </w:r>
    </w:p>
    <w:p w14:paraId="6D67C54D"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evaluation results. </w:t>
      </w:r>
    </w:p>
    <w:p w14:paraId="41091AF3"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retryable failures. </w:t>
      </w:r>
    </w:p>
    <w:p w14:paraId="155BBF69"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 future domain evaluators without rewriting the Core Platform. </w:t>
      </w:r>
    </w:p>
    <w:p w14:paraId="7BCADE8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795E0D">
          <v:rect id="_x0000_i1078" style="width:0;height:1.5pt" o:hralign="center" o:hrstd="t" o:hr="t" fillcolor="#a0a0a0" stroked="f"/>
        </w:pic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auditable semantic-operation token and estimated-cost records using versioned provider/model pricing configuration.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configured monthly spending and throughput limits through restart-safe, concurrency-safe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and later release AI_BUDGET_LIMIT-deferred opportunities without converting operational deferral into a negative evaluation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 usage, capacity, backlog-cost, operational-state, domain, and source information through the API and user interface.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Pass accounting, retry, restart, concurrency, budget-exhaustion, preservation, queue-release, and Source Analytics tests.</w:t>
      </w:r>
    </w:p>
    <w:p w14:paraId="30C7FAD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49. Initial Build Sequence</w:t>
      </w:r>
    </w:p>
    <w:p w14:paraId="02F0136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should proceed in this order:</w:t>
      </w:r>
    </w:p>
    <w:p w14:paraId="4F2540D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Project Setup → Database Schema → Opportunity Model → Manual JD Input → Evaluation Interface → Evidence Ledger → Customer Success Reference Evaluator → Recommendation Engine → Results UI → Test Against Real JDs</w:t>
      </w:r>
    </w:p>
    <w:p w14:paraId="6334691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remains the first implemented domain, not a Core dependency. Once the shared vertical slice works reliably, additional domain evaluators such as Freelance Writing should reuse the same Core contracts rather than duplicating platform infrastructure.</w:t>
      </w:r>
    </w:p>
    <w:p w14:paraId="6CAFAB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Deduplication → ATS/Public/Domain Discovery → Analytics</w:t>
      </w:r>
    </w:p>
    <w:p w14:paraId="2A54720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19EFA4">
          <v:rect id="_x0000_i1079" style="width:0;height:1.5pt" o:hralign="center" o:hrstd="t" o:hr="t" fillcolor="#a0a0a0" stroked="f"/>
        </w:pict>
      </w:r>
    </w:p>
    <w:p w14:paraId="04A62B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50. Relationship to Other Documents</w:t>
      </w:r>
    </w:p>
    <w:p w14:paraId="75E20AA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authoritative documentation hierarchy is:</w:t>
      </w:r>
    </w:p>
    <w:p w14:paraId="7BC0871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AI Framework PRD — Defines what the shared platform must do.</w:t>
      </w:r>
    </w:p>
    <w:p w14:paraId="240C05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C2F7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Platform Technical Design Document — Defines how the shared platform implements those requirements.</w:t>
      </w:r>
    </w:p>
    <w:p w14:paraId="45194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530E0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PRD — Defines what a specific domain assistant must do.</w:t>
      </w:r>
    </w:p>
    <w:p w14:paraId="6F1963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3C0C1A9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TDD — Defines how the Domain PRD becomes executable domain logic, including extraction, ordered evaluation stages, deterministic rules, AI/semantic responsibilities, schemas, recommendation logic, validation, testing, and domain-specific presentation.</w:t>
      </w:r>
    </w:p>
    <w:p w14:paraId="376415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No separate Domain Evaluation Technical Specification is required when the authoritative Domain TDD contains that executable design. The finalized Customer Success PRD/TDD and Freelance Writing PRD/TDD satisfy this layer. The prerequisite documentation for the current implementation sequence is complete.</w:t>
      </w:r>
    </w:p>
    <w:p w14:paraId="1599AD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B3507">
          <v:rect id="_x0000_i1080" style="width:0;height:1.5pt" o:hralign="center" o:hrstd="t" o:hr="t" fillcolor="#a0a0a0" stroked="f"/>
        </w:pict>
      </w:r>
    </w:p>
    <w:p>
      <w:pPr>
        <w:pStyle w:val="Heading1"/>
      </w:pPr>
      <w:r>
        <w:t>51. Current Technical Implementation Status</w:t>
      </w:r>
    </w:p>
    <w:p>
      <w:pPr>
        <w:pStyle w:val="Heading2"/>
      </w:pPr>
      <w:r>
        <w:t>Implemented Platform Foundation</w:t>
      </w:r>
    </w:p>
    <w:p>
      <w:r>
        <w:t>The Core Platform supports manual opportunity capture, raw source/provenance preservation, deterministic normalization, PostgreSQL persistence, dashboard/search/filter workflows, background evaluation, persisted stage results/history, lifecycle actions, profile versioning with structured limitations, AI usage/cost accounting, and persistent budget controls. The application tracker and operational hardening are complete after the Task 8 and Task 9 completion passes (October 16, 2026).</w:t>
      </w:r>
    </w:p>
    <w:p>
      <w:r>
        <w:t>The results UI polls the evaluation API until completion or failure using bounded polling, stops polling when the page is left, renders untrusted job-description content as text, and reads the persisted recommendation rather than recalculating it in the client.</w:t>
      </w:r>
    </w:p>
    <w:p>
      <w:pPr>
        <w:pStyle w:val="Heading2"/>
      </w:pPr>
      <w:r>
        <w:t>Normalized Opportunity Contract</w:t>
      </w:r>
    </w:p>
    <w:p>
      <w:r>
        <w:t>Task 7 populates salary bounds/currency, work arrangement, seniority, department, employment type, closing date, residency requirement, and residency regions when deterministic source evidence supports them. Raw source text and field provenance remain authoritative; ambiguous or missing facts remain Unknown. FX-converted salaries are not persisted. A time-zone requirement is withheld from evaluator input. (Clarified in Version 1.15. The Task 7 implementation read these facts only from structured or dedicated fields and never from the job text, and recorded a time-zone requirement only when the user stated it; that narrowed this requirement and is corrected by the job-text fallback below. Earlier versions read: “A time-zone requirement is recorded only when the user states it and is withheld from evaluator input.”)</w:t>
      </w:r>
    </w:p>
    <w:p>
      <w:r>
        <w:t>Job-text fallback (restored in Version 1.15). Structured metadata is preferred when available, but the job posting’s own text is a deterministic fallback for already-supported normalized facts the source does not supply structurally. One pure, source-agnostic reader in the shared normalization package (readJobTextFacts) is used by the manual and the retrieved normalizers, and so by every ingestion path: manual capture, every retrieval adapter (ATS, job board, marketplace, aggregator, browser-assisted) and the browser extension. Adapters and the extension collect and preserve source data and neutral context; they never interpret these facts themselves. A page-based collector may supply bounded job-page context beside a structured description (for the browser extension, the job’s main content or the nearest container of its heading, without navigation, header, footer, side panels, forms and recommendation, related-job, sharing and cookie widgets; never on LinkedIn); the fallback reads it only through labelled values (“Remote Type: Hybrid”, “Location: …”, “Salary: …”, “Closing date: …”), never as prose, so a fact a site shows in a job-metadata block outside its structured description is not left Unknown. A posting supplied with materially the same information normalizes to the same facts on every path.</w:t>
      </w:r>
    </w:p>
    <w:p>
      <w:r>
        <w:t>Precedence for each fact: (1) the user’s stated or corrected value; (2) the source’s authoritative structured value; (3) a deterministic reading of a higher-confidence dedicated field (the title for seniority, the location field for work arrangement, the salary text for compensation); (4) reliable page context (the page title, for the company only); (5) the job-text fallback, read from the posting text and from bounded job-page context alike; (6) Unknown. A candidate from the posting text and one from page context that disagree leave the fact Unknown. A fallback only fills a missing value and never overwrites a higher-precedence one; a stated but unrecognized value (for example a combined employment type) stays Unknown rather than being replaced, and a field the user cleared stays Unknown.</w:t>
      </w:r>
    </w:p>
    <w:p>
      <w:r>
        <w:t>What the fallback reads: labelled lines (for example “Company:”, “Location:”, “Remote type:”, “Workplace type:”, “Employment type:”, “Posted on:”, “Closing date:”, “Anticipated role close date:”, “Apply by:”, “Deadline:”, “Seniority:”, “Experience level:”, “Department:”, “Team:”, “Required working hours:”), and bounded job-specific constructions: “This position is based in New York.”, “This role is located in Chicago.”, “Work from our Boston office.”, “This is a full-time, NYC-Hybrid position.” (employment type, work arrangement and location), “This position is hybrid.”, “This is a fully remote role.”, “As a &lt;exact title&gt; at &lt;Company&gt;, …”, a page title of the form “&lt;exact title&gt; at &lt;Company&gt;” or “&lt;Company&gt; – &lt;exact title&gt;” (a part naming a place — a supported geography, “City, ST”, the posting’s own location or a place the posting names — a work arrangement, an employment type or a department is never the employer, and a dash-separated name must also appear in the posting), a compensation statement with a clear compensation cue, and an explicit time-zone requirement. It never uses word frequency or unrestricted place-name guessing, company prose (“offices around the world”), vague wording (“flexible work”, “remote-friendly”, “full-time employees”, “full-time equivalent”), seniority implied by coworkers or reporting lines, or a hosting platform’s name (Greenhouse, Lever, LinkedIn, Workday and similar) as the employer. Two candidates that disagree leave the fact Unknown.</w:t>
      </w:r>
    </w:p>
    <w:p>
      <w:r>
        <w:t>Facts that receive the fallback: company, location, work arrangement, employment type, salary text with base salary minimum and maximum, posting date, closing date, time-zone requirement, seniority (labelled evidence, after the title rule), department (labelled evidence, then an explicit team statement), and work authorization, sponsorship, relocation and employer of record (Version 1.15 correction). Dates must be unambiguous: ISO dates, written months, or numeric dates whose order cannot be misread (11/30/2026); two-digit years, relative dates in the posting’s prose, copyright, build and “updated” dates, and ambiguous numeric dates (03/04/2027) are rejected. Residency keeps its existing explicit-statement reader, unchanged, applied the same way on every path, and is never inferred from work-authorization language.</w:t>
      </w:r>
    </w:p>
    <w:p>
      <w:r>
        <w:t>Compensation: a statement counts only with a clear compensation cue (salary, pay or pays, base, compensation, OTE or on-target earnings, per year, annual, hiring range) and an amount of at least 10,000, and never when it describes business metrics or perks (ARR, revenue, book of business, quota, funding, valuation, spend, contract value, customer base, stipends, allowances and similar). The whole statement becomes the salary text and is parsed as one unit by the existing compensation parser; amounts from different statements are never combined, and statements that disagree leave compensation Unknown. Structured compensation always wins. A stated range keeps its numeric bounds whatever its basis (Version 1.15 correction, October 25, 2026): the compensation basis records OTE when the statement uses OTE or on-target wording, which takes precedence over a mention of base in the same statement (“$120,000–$150,000 OTE (base + commission)” is OTE), records BASE only when the statement names base salary without OTE wording, and stays Unknown when it says neither. Separate figures in one statement (a base range and an OTE amount) remain ambiguous, and the amounts stay Unknown. When the amounts come from elsewhere (structured source amounts, a source salary field, or a user-stated salary text), the basis is OTE when a compensation statement in the posting’s own description states that same range as OTE: both bounds equal, no other currency, and the statement naming no other figure; OTE wording about any other figure, or in page context only, adds nothing. (Version 1.15 v5 correction, October 25, 2026; earlier wording: “stays Unknown when it says neither or names both”.) The bounds are the stated numbers in the stated currency, and a base range with separate variable commission keeps the base range. Whether an OTE range qualifies as base salary is evaluator policy (the Customer Success salary hard filter), never a reason to drop stated facts, and no currency conversion is ever stored: the evaluator’s USD-equivalent stays inside the evaluator. (Earlier wording: “On-target earnings are never stored as base salary (the statement is kept and the salary bounds stay Unknown).”) The model has no separate OTE, commission, bonus or equity representation in use, and the fallback does not populate those columns.</w:t>
      </w:r>
    </w:p>
    <w:p>
      <w:r>
        <w:t>Currency (product-wide, all paths, including salary text a source supplies): an explicit code or symbol is read as stated; a bare “$” is US dollars only with clear U.S. evidence — the location, the eligible residency regions or the compensation statement itself name only U.S. geography (the country, a state, DC or Puerto Rico). With Canada, Australia, New Zealand, Singapore or another dollar country, a global or ambiguous location (“Remote”, “CA”), a city alone or no location, the currency stays Unknown (BARE_DOLLAR_WITHOUT_US_EVIDENCE); no currency is ever inferred from a place. A region abbreviation that could mean two places (“CA”) is settled by a country the same location names as its last or first part (“Sunnyvale, CA, United States”, “USA, CA, Pleasanton” are U.S. evidence; “Sunnyvale, CA” or “US or CA” stay ambiguous), and an explicit currency always wins (Version 1.15 correction, October 25, 2026). A currency the user selects is unchanged. (Version 1.14 and earlier: a bare “$” was always read as US dollars.)</w:t>
      </w:r>
    </w:p>
    <w:p>
      <w:r>
        <w:t>Time-zone requirement: timeZoneRequirements is an existing normalized Opportunity fact, so an explicit job-specific requirement is eligible for the fallback (“Must overlap Eastern Time business hours.”, “Required working hours: 9am–5pm PT”, “Candidates must be available for CET working hours.”). A requirement word and a time zone are both required; a two-letter U.S. zone counts only next to a time or “hours”, so a state abbreviation is not read as one; optional or flexible wording and conflicting zones stay Unknown; a stated preference (“Candidates in the Eastern, Central or Mountain time zones are preferred.”) is kept as stated, as a preference (rawText:explicit-time-zone-preference); a statement spanning Pacific through Eastern (“between Pacific and Eastern time zones”, or all four U.S. zones) is continental-U.S. geography, not a time-zone requirement or preference; and a time zone is never inferred from a location. (Earlier wording, October 23, 2026: “preferred, optional or flexible wording and conflicting zones stay Unknown”.) The fact stays withheld from evaluator input.</w:t>
      </w:r>
    </w:p>
    <w:p>
      <w:r>
        <w:t>Provenance: facts read from the text are DETERMINISTIC, never DIRECT, with source-field markers naming how they were read: rawText:explicit-compensation-statement, rawText:explicit-work-arrangement-statement, rawText:explicit-employment-type-statement, rawText:explicit-posting-date-statement, rawText:explicit-closing-date-statement, rawText:explicit-location-statement, rawText:explicit-company-statement, rawText:explicit-time-zone-statement, rawText:labelled-company, rawText:labelled-location, rawText:labelled-work-arrangement, rawText:labelled-employment-type, rawText:labelled-time-zone, rawText:labelled-seniority and rawText:labelled-department, each with the statement it came from; a company read from the page title is marked pageContext:page-title-company, and a fact read from bounded job-page context carries the same marker with the pageContext prefix (for example pageContext:labelled-work-arrangement, pageContext:labelled-location, pageContext:explicit-compensation-statement), never a structured-source field. The existing residency and bare-dollar markers are unchanged. Version 1.15 correction markers: rawText:explicit-team-statement, rawText:explicit-work-authorization-statement, rawText:explicit-citizenship-statement, rawText:explicit-sponsorship-statement, rawText:explicit-relocation-statement, rawText:explicit-employer-of-record-statement and the labelled work-authorization, sponsorship and relocation markers (also with the pageContext prefix); a compensation basis carries its statement’s marker; a structured closing date is source.closingDate. No backfill: records normalized earlier keep their stored facts.</w:t>
      </w:r>
    </w:p>
    <w:p>
      <w:r>
        <w:t>Work authorization (Version 1.15 correction, October 25, 2026; replaces the recorded gap): explicit statements are a normalized fact for every job and country, never residency and never derived from it: a required right to work (including a required work permit or visa) or citizenship and the countries named (“U.S. work authorization is required.”, “must be legally authorized to work in the United States”, “the right to work in the UK”, “must be a Canadian citizen”); visa sponsorship available or not (“we are unable to sponsor visas”, “without sponsorship”, “visa sponsorship is available”); relocation support available or not; and the countries an employer of record is stated for. Preferred, conditional, negated or conflicting wording stays Unknown, and page context counts only through labelled values. Residency and location eligibility stay a separate internal fact where evaluator policy needs it. Core never depends on the user: a separate relevance layer compares these facts with the user’s own work eligibility (the countries the user may work in and is a citizen of, stored outside the evaluator profile) to decide what to surface — a requirement the user already meets raises no warning; a requirement, citizenship restriction or unavailable sponsorship outside the user’s countries is shown for review; sponsorship, relocation or an employer of record outside them is shown as favorable; and a job outside them that states nothing stays factually Unknown and is only flagged as worth checking. The facts and the user’s eligibility are withheld from evaluator input until a coordinated evaluator decision.</w:t>
      </w:r>
    </w:p>
    <w:p>
      <w:r>
        <w:t>Application URL (Version 1.15 correction): the application URL is captured whenever the source exposes one, on every path, with provenance saying how it was established: a distinct application destination the source states (source.applyUrl); the source’s posting page when the source’s posting page hosts the application, as for an ATS posting (source.postingPageIsApplication); an explicit apply link on a captured page (page:apply-link); the captured page itself when it holds the application form (page:application-form) or its JobPosting data says it is applied to directly (structured.directApply). The posting URL equals the application URL only on such explicit evidence; a job board’s own listing page, which links on to the employer, is not an application destination and is stored as no application URL (its content hash is unchanged). Distinct source and application URLs stay distinct. A changed version of the originating listing updates the link only when the current link came from that listing or there is none; a user-entered link or a higher-precedence attached link is kept, and attach-time precedence is unchanged.</w:t>
      </w:r>
    </w:p>
    <w:p>
      <w:r>
        <w:t>Department (Version 1.15 correction): after the source’s own field and a labelled line, an explicit statement of the team the role joins counts (“You’ll join Healthie’s Customer Success team”, “join our Revenue Operations team”, “be part of the Support organization”). The name must be written as a name (each word capitalized, at most four), is never a description (“our growing team”) or the employer, and is never read from the job title or responsibilities; two different team names leave the department Unknown. (October 26, 2026: Department is no longer a user-facing product field: it is not shown on the opportunity, filtered on the dashboard or entered manually, and stays withheld from the evaluator. The column and this reading remain only for compatibility.)</w:t>
      </w:r>
    </w:p>
    <w:p>
      <w:r>
        <w:t>Source facts (Version 1.15): a retrieval source that states a supported fact in its own field passes it on as stated, never interpreted, in a neutral sourceFacts record: a department or team name, seniority or experience-level labels, and a compensation text whose source states no pay period. The shared retrieved normalizer interprets them: the department as DIRECT source.department; a seniority label only when it is in the shared vocabulary (a level the title also states must agree, and two different stated levels leave seniority Unknown); and the compensation text as salary text, whose amounts count only when the text itself states an annual period. Greenhouse (a single department), Lever and Ashby (department, else team), SmartRecruiters and Workable (department), SmartRecruiters, Himalayas and LinkedIn (seniority) and Wellfound (compensation) supply them. Each value is also one of the adapter’s material fields, so it takes part in change detection, and no stored listing’s content hash changed.</w:t>
      </w:r>
    </w:p>
    <w:p>
      <w:r>
        <w:t xml:space="preserve">Cross-source correction (Version 1.15, October 26, 2026), from the live acceptance of every implemented source. Remote-hiring geography: a source may state where a remote role may be done from (sourceFacts.remoteLocations: schema.org applicantLocationRequirements on a job page, Wellfound’s accepted remote locations, Himalayas’ location restrictions); the role’s location is then “Remote (&lt;places&gt;)”, recorded as source.remoteLocations, and read as its eligible geography; an office the source also names is not the location. An ordinary job or office location never sets eligible geography on its own. A posting’s statement that the remote role itself is based somewhere (“This is a U.S.-based, full-time remote role.”, rawText:explicit-remote-base-statement) does, as the weakest reading: an explicit residency statement or a “Remote - …” location replaces it; for an on-site role the same words name an office and are not read. Eligible places listed one per line under a lead-in (“must reside in one of the following states:”) are read as one statement, and the “continental U.S.” is U.S. geography. A labelled location in the posting’s own text that contains the source’s location and names more (“Location: Chicago Office or Remote, North America (US &amp; Canada)” beside “Canada”) is the fuller statement of the same fact and is used, with its own marker; one that names another place is a conflict and never replaces the source; prose never does. Several work arrangements a posting offers as options (“Office or Remote”, “Remote or Hybrid”, “Hybrid or On-site”, or a remote-or-hybrid role statement) are kept in Opportunity.workArrangements in the posting’s order, with remoteStatus null; remoteStatus stays the one stated arrangement; a single arrangement stated elsewhere agrees when it is one of the options, and statements that otherwise disagree, or “remote and hybrid”, leave the arrangement Unknown; one to four office days a week (“1 day a week in office”) is hybrid; “Full-time/Permanent” is full-time. Compensation: the compensation statements agree when they say the same thing, or when exactly one pay range is stated and the others only detail it (a single amount within it, such as its OTE, or a breakdown none of whose amounts exceeds it); pay stated in two or more ranges each labelled with its own place or zone (“U.S.: USD 63,000–75,000” / “Canada: CAD 88,000–110,000”) has no single range: its tiers, each with its label, become the salary text, its bounds stay Unknown even when a source field states one tier, and its currency is kept only when the tiers share one; ranges that do not each name their place are conflicting evidence and stay Unknown; a heading may introduce several amount lines. The opportunity’s Salary field shows only a normalized amount or range, otherwise Unknown; the compensation text is kept as a fact and in provenance, not shown in its place. Posting age: a source’s own stated age (“2 weeks ago”, “Posted 1 week ago”) in its posted-date field or as a page metadata line is dated from the observation, at day precision, for minutes, hours, days and weeks only, and marked (postingDate:relative-posted-age, pageContext:relative-posted-age); a month or more stays Unknown, and the posting’s prose is never read this way. Such an approximate date is withheld from the evaluator subject (null, without its provenance row) until its evaluator use is approved. Seniority: the stated label is kept in Opportunity.seniorityLabel (“Mid-Senior level”, “Junior and Mid level”) even when it names no single level, in which case the normalized level stays Unknown; it is withheld from the evaluator like the level. Requisition: a labelled requisition ID (“Job Requisition ID: JR115971”) fills a missing source value. Page context: it is sent with every non-LinkedIn description, one visible item per line, so a label and its value in separate elements (“Visa Sponsorship” / “Not Available”) are read together; besides labelled values, Core reads a page line that is only a salary, an employment type, a work arrangement or office cadence, a seniority label, a country or region list, or a posting age. Content hashes of adapter listings are unchanged.</w:t>
      </w:r>
    </w:p>
    <w:p>
      <w:r>
        <w:t>Page-context change detection (Version 1.15): bounded page context is never hashed as text, so layout, navigation and widget changes are not a change. A browser capture’s content hash includes instead, as material, the canonical page-context evidence: the sorted, case-folded labelled values the shared reader takes from the page context, and the employer the page title names, for each fact the capture does not already supply at a higher precedence. Unchanged evidence is an UNCHANGED re-observation; a changed labelled fact is a CHANGED re-observation whose new source record carries the new evidence; a capture with no such evidence keeps the hash it had before. As for every source, a CHANGED re-observation adds a linked source record, and when it is the listing the opportunity was found from, its newer facts become the opportunity’s current facts (Section 51, automated retrieval).</w:t>
      </w:r>
    </w:p>
    <w:p>
      <w:pPr>
        <w:pStyle w:val="Heading2"/>
      </w:pPr>
      <w:r>
        <w:t>Domain Boundary</w:t>
      </w:r>
    </w:p>
    <w:p>
      <w:r>
        <w:t>Core owns factual normalization and reusable infrastructure. Customer Success salary thresholds, U.S./non-U.S. bands, cost-viability policy, and hard-filter outcomes remain inside the Customer Success domain. A shared/versioned FX utility may be reused as infrastructure, but Core must not contain Customer Success thresholds.</w:t>
      </w:r>
    </w:p>
    <w:p>
      <w:pPr>
        <w:pStyle w:val="Heading2"/>
      </w:pPr>
      <w:r>
        <w:t>AI Budget and Capacity Controls</w:t>
      </w:r>
    </w:p>
    <w:p>
      <w:r>
        <w:t>The persistent monthly budget ledger, reservation/reconciliation, warning thresholds, call/output-token/daily/weekly limits, AI_BUDGET_LIMIT deferral, resume/cancel workflow, and usage/capacity/backlog reporting are implemented. Unknown provider usage remains nullable/Unknown. Usage reporting also shows provider-reported tokens and known spend by domain and job source for the budget period, with unreported tokens and unknown-cost attempts counted separately. Deferral uses AI_BUDGET_LIMIT when the monthly dollar budget is among the limits reached and USAGE_LIMIT_REACHED when only a non-dollar limit is.</w:t>
      </w:r>
    </w:p>
    <w:p>
      <w:pPr>
        <w:pStyle w:val="Heading2"/>
      </w:pPr>
      <w:r>
        <w:t>Application Tracker</w:t>
      </w:r>
    </w:p>
    <w:p>
      <w:r>
        <w:t xml:space="preserve">Each opportunity has at most one application. Stages are Planned, Applied, Screening, Interviewing, Final round, Offer and Closed; a closed application records one outcome (offer accepted, offer declined, rejected, withdrawn, no response, or not submitted). Notes, contacts, follow-ups and interviews belong to the application. Every change is recorded in a dated, append-only, gap-free application event history, which supplies the facts that later application analytics (main-product features 15 and 17) need. No analytics event stream is emitted yet.</w:t>
      </w:r>
    </w:p>
    <w:p>
      <w:r>
        <w:t xml:space="preserve">Every tracker write locks the opportunity row. Versioned commands use compare-and-set and refuse a stale write with APPLICATION_CHANGED, leaving no partial write. Applied and closed dates are UTC calendar dates: neither may be later than the current UTC date, and a close may not precede the applied date. Follow-ups can be added, rescheduled, reworded, completed and reopened. Only open applications of non-archived opportunities have a next action, and that rule drives due, overdue and due-today visibility, filters and counts.</w:t>
      </w:r>
    </w:p>
    <w:p>
      <w:r>
        <w:t xml:space="preserve">Lifecycle interaction is guarded: an opportunity lifecycle action takes the opportunity lock, then applies the application guard, then performs the lifecycle transition, in one transaction. Submitting an application marks the opportunity Applied in the same transaction; later stage changes and closing never change the opportunity lifecycle; archiving makes the application read-only. Evaluation and reevaluation never read or write application data.</w:t>
      </w:r>
    </w:p>
    <w:p>
      <w:pPr>
        <w:pStyle w:val="Heading2"/>
      </w:pPr>
      <w:r>
        <w:t>Operations and Worker Model</w:t>
      </w:r>
    </w:p>
    <w:p>
      <w:r>
        <w:t xml:space="preserve">One evaluation worker runs at a time. It holds a PostgreSQL advisory lock on its own dedicated database connection, and expired-lease recovery runs only while the worker holds that lock and is idle. The lock is not a heartbeat: if the lock connection drops during a run and a second worker starts, the second worker’s recovery can fail a still-running task whose lease expired on its final attempt. Lease renewal and claim ownership remain documented limitations for review at final integration.</w:t>
      </w:r>
    </w:p>
    <w:p>
      <w:r>
        <w:t xml:space="preserve">GET /api/health reports database reachability and whether AI is configured, and returns 503 with no error detail when the database is unavailable. pnpm app:doctor is a read-only operational check; among other things, it reports evaluations waiting for the AI budget separately from those waiting for usage limits. API routes log only the error name, never raw error objects. End-to-end tests always use a deterministic, non-live AI credential and an isolated test database.</w:t>
      </w:r>
    </w:p>
    <w:p>
      <w:pPr>
        <w:pStyle w:val="Heading2"/>
      </w:pPr>
      <w:r>
        <w:t>Deduplication and Provenance Retention</w:t>
      </w:r>
    </w:p>
    <w:p>
      <w:r>
        <w:t xml:space="preserve">Capture normalizes first and then writes in one transaction under a capture lock: the raw SourceRecord, the duplicate decision, and either a new NORMALIZED opportunity with field provenance or the attachment of that SourceRecord to the existing opportunity. A failure leaves nothing behind; a capture whose normalization fails still preserves its raw SourceRecord, unlinked (Section 11).</w:t>
      </w:r>
    </w:p>
    <w:p>
      <w:r>
        <w:t xml:space="preserve">The deterministic engine (core-dedup-v2 since October 18, 2026; records decided earlier keep their core-dedup-v1 evidence label) returns MATCH for the same listing URL with no conflicting title, company or listing ID, or for the same source listing or requisition ID at the same normalized company; PROBABLE_MATCH for a confidence-scored similarity of title, location and description within the same normalized company, or for a shared identifier with a conflict; and NO_MATCH otherwise. MATCH attaches the new SourceRecord to the earliest-seen matching opportunity instead of creating another opportunity; that canonical opportunity’s fields, lifecycle, evaluations and application are unchanged except its last-seen time. Before saving, the user is shown the exact duplicate and may instead keep the capture as a separate opportunity, recorded as a DISTINCT decision on the duplicate relationship. PROBABLE_MATCH creates the opportunity and records the relationship, with its confidence and evidence, for review; nothing is merged on a probable match. For any detected pair, exact or probable, the user can record that the two are different jobs (DISTINCT) and can reverse that decision later, which reopens the pair as a duplicate; only the user decision changes, never the engine’s recorded decision or either opportunity.</w:t>
      </w:r>
    </w:p>
    <w:p>
      <w:r>
        <w:t xml:space="preserve">Provenance is retained on every path. An attached SourceRecord keeps its raw text and payload exactly as captured and records the duplicate decision and its evidence (matched identifiers, engine version, confidence); the canonical opportunity keeps its first-seen date and existing field provenance, and its last-seen date reflects the latest capture. Duplicate relationships record the engine’s decision, confidence and evidence. Opportunities that already exist, including those with evaluations or application records, are never merged retroactively: existing duplicates keep their own history and are linked by duplicate relationships, and the duplicate recheck above prevents paying again for the same listing. Retrieval does not merge them either (feature 11A); merging opportunities that already have history remains a separately designed step.</w:t>
      </w:r>
    </w:p>
    <w:p>
      <w:r>
        <w:t xml:space="preserve">Companies are reused by a normalized name that ignores case, punctuation, “&amp;” and one recognized trailing legal-entity suffix; stored names are never rewritten, and the entered spelling stays in the raw source and field provenance. An explicit, additive and idempotent backfill command, run deliberately against a chosen database and never as part of application setup, fills missing normalized company names and records missing duplicate relationships among existing opportunities. It never renames, merges, deletes or re-links a company or an opportunity and never changes an existing relationship; a dry run reports what it would do, and the read-only operational check reports when it is needed.</w:t>
      </w:r>
    </w:p>
    <w:p>
      <w:r>
        <w:t xml:space="preserve">Before admission, a paid evaluation request or deferred-evaluation release is refused for an opportunity that has never completed an evaluation while an unresolved exact duplicate already has a completed or active evaluation, a live admission or an open deferral (Section 33). This duplicate recheck runs together with the existing eligibility, pinned-profile and active-evaluation rechecks; a refused release leaves the deferral open and writes nothing. The check and the admission, evaluation or deferral it permits are serialized by an advisory lock held on its own connection until that write is committed, so simultaneous requests for two exact duplicates cannot both be admitted. Cross-source matching and canonical-link selection by source type (Section 15) are implemented with retrieval (below); posting history follows in feature 13.</w:t>
      </w:r>
    </w:p>
    <w:p>
      <w:pPr>
        <w:pStyle w:val="Heading2"/>
      </w:pPr>
      <w:r>
        <w:t>Automated Retrieval (Feature 11A)</w:t>
      </w:r>
    </w:p>
    <w:p>
      <w:r>
        <w:t xml:space="preserve">Collectors implement the shared contract (Section 8) in the discovery package: each source adapter maps its source’s public interface to RawOpportunity listings with retrieval provenance (retrieval type, source category, retrieval source and run, and a content hash) and never judges suitability. Production requests go through one injectable transport: plain GET requests with an identifying User-Agent, a 20-second timeout and a hard 10 MB response ceiling (a larger response is refused, never truncated), without cookies and without following redirects. Within a run, requests to one host are serialized at least one second apart, and an HTTP 429 (RATE_LIMITED) or 401/403 (ACCESS_DENIED, an access failure rather than a rate limit) stops all further requests to that host. Credentials are redacted from errors, logs and run history. Tests use a fixture transport only.</w:t>
      </w:r>
    </w:p>
    <w:p>
      <w:r>
        <w:t xml:space="preserve">Verified Type #1 adapters (each verified on October 17–18, 2026 with one approved live request, plus the approved follow-up requests named below, and a committed fixture of at most three items with recorded metadata): Greenhouse, Lever, Ashby and SmartRecruiters (employer ATS), and Remote OK, We Work Remotely, Himalayas and Working Nomads. Pagination is used only where verified: Himalayas follows its documented cursor up to the per-run page cap, and SmartRecruiters pages its list by offset (verified with one approved page-2 request) up to the same cap. With 100 postings per page, a SmartRecruiters run sees at most the newest 500 postings visible through the list interface; postings outside that window are out of scope for Feature 11A. Because the list carries no description, SmartRecruiters reads posting details, filtered by title first and capped at 25 per run: postings never stored from the source go first, oldest first (they are closest to leaving the window), and any remaining capacity goes to stored postings, longest since last checked first, so stored postings take turns and never displace unseen ones. Lever and Ashby return no employer name, so the source configuration supplies it, and field provenance records that origin. Adzuna is registered but unverified and cannot be enabled; its documented search response carries a description excerpt, which conflicts with the complete-description requirement and remains an open issue.</w:t>
      </w:r>
    </w:p>
    <w:p>
      <w:r>
        <w:t>A listing is kept only when its title contains one of the domain’s role-family terms as a whole phrase; the description is never used to keep a listing, and the complete description is preserved. The retrieved-listing normalizer records structured source facts with DIRECT provenance and text-derived facts as DETERMINISTIC. Salary amounts are normalized only when stated as annual, with a recognized currency, as one unambiguous range; several compensation tiers, or amounts without a currency, are kept as source data only. Residency comes only from explicit statements. (Clarified in Version 1.15: facts the source does not supply, including an explicit time-zone requirement, are read through the shared job-text fallback in Section 51; a time zone is never inferred from a place. Earlier versions read: “Residency comes only from explicit statements, and a time-zone requirement is never inferred.”) The source item is stored under rawPayload.source, never as posting history.</w:t>
      </w:r>
    </w:p>
    <w:p>
      <w:r>
        <w:t xml:space="preserve">RetrievalSource holds each configured source: disabled when created, scheduled every 12 hours by default, and due at once when first enabled. RetrievalRun records each run with its trigger, status (COMPLETED, PARTIAL or FAILED), counts and a safe error code. A source or run that produced records cannot be deleted (the foreign keys restrict deletion): removing it archives it, and only a source that never produced anything is deleted. One retrieval worker runs at a time under its own advisory lock; it queues due runs, claims one with SKIP LOCKED and a lease, and ingests each listing in its own capture transaction, so one failing listing does not stop the run. Retrieval never creates an evaluation, admission or deferral.</w:t>
      </w:r>
    </w:p>
    <w:p>
      <w:r>
        <w:t>A listing already stored from the same source with the same source listing ID is a re-observation. Unchanged content (the same hash over the listing’s material fields, which excludes volatile metadata such as fetch times, counters, tracking parameters and source update stamps) moves only the last-seen times. Changed content adds a new SourceRecord linked to the previous one, and the earlier records are never changed or deleted. When the changed listing is the opportunity’s originating listing (the same source and source listing ID as the opportunity’s first source record), its new version is normalized by the shared normalizer and becomes the opportunity’s current facts (current-version projection, below); a changed copy attached from another source is history only. Any other listing takes the capture path: MATCH attaches it as another source, PROBABLE_MATCH creates the opportunity and records the relationship, and NO_MATCH creates the opportunity. On attachment, the canonical application link moves to a strictly higher-precedence source (employer ATS or careers site, then job board or marketplace, then aggregator) with field provenance; a link the user entered is never replaced.</w:t>
      </w:r>
    </w:p>
    <w:p>
      <w:r>
        <w:t>Current-version projection (Version 1.15 correction): the newest version of the originating listing is that listing’s current evidence. Its normalized title, company, location, work arrangement, employment type, seniority, department, time-zone and residency requirements, salary text, bounds and currency, posting and closing dates and job description replace the opportunity’s current values, under the usual precedence (user-corrected, then structured, then dedicated field, then page context, then job text, then Unknown); a fact the newest version no longer supports becomes Unknown. Identity and link fields (listing IDs, canonical URL, application link) keep their existing rules, so an attached copy never writes the opportunity’s facts, there is no newest-website-wins rule and no cross-source merging, and a manual opportunity is never re-projected by retrieval. A value whose provenance is user-corrected stays until the user changes or clears it through an authorized action (a capture in which the user edited that field). Field provenance is never deleted or rewritten: the rows a new version replaces are marked superseded (FieldProvenance.supersededAt) and new rows linked to the new SourceRecord are added, so current views show only non-superseded rows, the earlier rows stay queryable as history, and every evidence reference by provenance ID stays valid. For versions V1, V2 and V3, all three stay stored and V3 alone is current; an older version never overwrites, contradicts or appears as current provenance. Unchanged re-observations (the same content hash, including page noise) change nothing.</w:t>
      </w:r>
    </w:p>
    <w:p>
      <w:r>
        <w:t>Evaluated source version: an evaluation records the source version it evaluates (Evaluation.sourceRecordId), bound when the user requests it to the current version of the originating listing (for a manual opportunity, its source record). Its subject is that version as it stood then: the provenance current at binding, and the bound record’s description and facts if the listing changed later; domain stages read the bound record rather than the first one, and semantic-operation attempts and evidence record the same source record. A historical evaluation stays bound to its own version; an evaluation made before this binding existed evaluated the opportunity’s first source record. A listing change never evaluates, queues or reserves budget: there is no automatic reevaluation and no new lifecycle status. Reevaluation stays the user’s request and adds a new evaluation, keeping the earlier one. When the latest completed evaluation used an earlier version, the opportunity page says so: “The latest evaluation was made using the listing version first seen on &lt;date&gt;. The listing has changed since then (latest version seen on &lt;date&gt;). Reevaluate to evaluate the current version; the earlier evaluation is kept.”</w:t>
      </w:r>
    </w:p>
    <w:p>
      <w:r>
        <w:t>History of this rule: Task 7 anticipated re-normalizing changed listings but left it incomplete. Feature 11A (Version 1.8) then recorded deliberately that a changed listing left the opportunity and its canonical description unchanged, and Versions 1.8 to 1.14 said so. The Feature 14B closeout exposed the stale current facts this produced (a listing that moved from Hybrid to Remote still showed Hybrid), and the contract was corrected in this version. Opportunities saved earlier keep their facts until their originating listing is next observed as changed; nothing is backfilled.</w:t>
      </w:r>
    </w:p>
    <w:p>
      <w:r>
        <w:t xml:space="preserve">Deduplication engine core-dedup-v2 scopes source listing IDs by source, so a Greenhouse 123 never matches a Lever 123; manually entered IDs keep their plain form, and requisition IDs and listing URLs still match across sources. Differing listing IDs count as a conflict only when both come from the same source, so a genuine cross-source URL or requisition match is not demoted because providers use different internal IDs.</w:t>
      </w:r>
    </w:p>
    <w:p>
      <w:r>
        <w:t>Sources are managed on the Sources page (add, configure, enable, disable, Run now, run history, remove or restore); an unverified adapter, or one whose required environment variables are missing, cannot be enabled. The opportunity page shows where a listing was found, the retrieval source and run, a source’s required attribution as a link back, and a “Listing changed since first seen” notice (Version 1.15: the opportunity shows the latest version of the listing it was found from, every earlier version is kept, an earlier evaluation may describe an earlier version, and reevaluating is optional); dashboard rows show “Found via” and “Listing changed”. pnpm worker:retrieval runs the worker; pnpm sources:verify makes an adapter’s verification request and checks the mapping offline; the read-only operational check reports enabled sources, the retrieval worker and recent failed runs. Source health, backoff and freshness (feature 12), posting history and Ghost Job Risk input (feature 13), browser-assisted sources (feature 14) and source-quality analytics (feature 15) are not part of feature 11A.</w:t>
      </w:r>
    </w:p>
    <w:p>
      <w:pPr>
        <w:pStyle w:val="Heading2"/>
      </w:pPr>
      <w:r>
        <w:t>Automated Retrieval: Type #3 and Type #4 Sources (Feature 11B)</w:t>
      </w:r>
    </w:p>
    <w:p>
      <w:r>
        <w:t xml:space="preserve">Feature 11B adds the verified public/guest-endpoint (Type #3) and public-HTML (Type #4) sources to the same collector contract, worker, normalization, deduplication and provenance path, without schema change. The transport gains one method, a JSON POST, used only where a source’s verified listing request is one; it has the same identifying User-Agent, timeout, 10 MB ceiling, no-cookie and no-redirect rules, politeness queue and status handling (429 stops the host as RATE_LIMITED; 401/403 as ACCESS_DENIED). An adapter may declare a longer minimum interval between requests to its host and its own page cap. Each source was verified on October 18, 2026 with individually approved live requests (raw responses kept outside the repository) and committed fixtures of at most three items with recorded metadata.</w:t>
      </w:r>
    </w:p>
    <w:p>
      <w:r>
        <w:t xml:space="preserve">Workday (employer ATS, Type #3) is configured by the employer’s career-site address, from which the tenant and site are read. The list is a stateless JSON POST to the site’s jobs endpoint (limit 20, offset paging; the total is reported on the first page only), and each title-matching posting’s detail is a stateless GET of its posting path, capped per run with unseen postings first. Listing IDs are qualified by tenant and site, so the same posting path at two career sites is two listings while a shared requisition at the same company still matches. The company comes from the detail’s hiring organization (an optional configured name is used only when it is absent); the posting date is the absolute start date; only Remote and Onsite map to a workplace type; location-dependent pay ranges stay in the description; and daily-changing presentation fields are excluded from change detection. A run reads a bounded window: the first 100 postings the listing endpoint returns (five pages of 20). Workday does not state the order of its listing; the verified pages appeared newest first, which the adapter does not rely on.</w:t>
      </w:r>
    </w:p>
    <w:p>
      <w:r>
        <w:t xml:space="preserve">Workable (job board, Type #3) uses the Jobs by Workable search for “customer success”, following nextPageToken as pageToken up to the page cap; the results are a bounded relevance-ordered window, not the newest jobs. Each result carries the complete posting text in description, requirements and benefits sections (combined in that order), the company, locations, workplace and posting date, so no detail requests are made, and freshness stamps are excluded from change detection. A rate limit seen from one network is handled by the existing stop; Workable’s official whole-feed XML export (about 850 MB) was verified as a contingency only and is not used.</w:t>
      </w:r>
    </w:p>
    <w:p>
      <w:r>
        <w:t xml:space="preserve">Wellfound (marketplace, Type #4) parses the Next.js state embedded in its logged-out Customer Success role page instead of the visual markup: the results entry gives the page count, and each company result lists its job listings with complete descriptions (Markdown-style text, converted to plain text). Pages are read as ?page=N up to the verified page count with a source-specific cap of 11 pages and at least two seconds between requests; no job pages are requested. Compensation text is kept as source data only. Welcome to the Jungle / Otta (Type #3) is registered but unverified and cannot be enabled: on October 18, 2026 its logged-out search returned a sign-up and matching flow with no listings, job IDs, paging or anonymous listing endpoint. Browser-assisted collection (feature 14) may reconsider it.</w:t>
      </w:r>
    </w:p>
    <w:p>
      <w:pPr>
        <w:pStyle w:val="Heading2"/>
      </w:pPr>
      <w:r>
        <w:t>Source Health and Conservative Retrieval (Feature 12)</w:t>
      </w:r>
    </w:p>
    <w:p>
      <w:r>
        <w:t xml:space="preserve">Feature 12 adds deterministic source health and conservative retrieval around the existing adapters, without changing any adapter contract, ingestion, deduplication or the evaluator. Within a run, the transport classifies HTTP 5xx responses as SERVER_ERROR (other unexpected statuses remain HTTP_STATUS) and stops all further requests to a host after any server error, as it already did after a 429 (RATE_LIMITED) or a 401/403 (ACCESS_DENIED); adapters that request posting details stop requesting them on the same failures. A valid Retry-After sent with a 429 or 503 (delta-seconds, or an HTTP date in the future) is carried with the failure; an unparsable, zero, negative or past value is ignored. Nothing is retried within a run, and no source is ever disabled automatically.</w:t>
      </w:r>
    </w:p>
    <w:p>
      <w:r>
        <w:t xml:space="preserve">After each run the worker records the run’s outcome and, in the same transaction, the source’s single gate, RetrievalSource.nextEligibleAt; RetrievalRun.retryAfterUntil keeps the exact wait the source asked for in that run. A successful retrieval is a COMPLETED run, or a PARTIAL run caused only by listings that could not be stored; it clears the gate. A run stopped by a source failure, including a PARTIAL one, is a source failure and never counts as a successful retrieval. Failures on the platform’s side (an internal error, an interrupted worker, a source disabled before its run started, an unavailable adapter) are neutral and change neither health nor backoff. With S the source’s schedule and n its consecutive source failures: a rate limit waits min(S·2^(n−1), 7 days); a server error, network failure or other HTTP failure keeps the normal schedule the first time and then waits min(S·2^(n−1), 7 days); an access refusal, contract mismatch, settings problem or oversized response waits min(max(S, 1 day)·2^(n−1), 7 days). A valid Retry-After is honoured in full, however long: the gate is the later of it and the computed backoff.</w:t>
      </w:r>
    </w:p>
    <w:p>
      <w:r>
        <w:t xml:space="preserve">The scheduler queues a source only once its gate has passed. Run now can never pass a live rate limit (after a 429) or a wait the source asked for with Retry-After on another response such as a 503, and reports the two distinctly (SOURCE_RATE_LIMITED and SOURCE_PROVIDER_WAIT, each with its date). When the platform’s own backoff outlasts a source’s Retry-After, the gate is a provider wait until the source’s date and backoff after it. Backoff (SOURCE_BACKING_OFF) can be passed only by an explicit “Run now anyway”, which permits one run whose outcome recalculates the gate as usual. A change to a source’s settings clears only the platform’s own backoff, never a rate limit or a provider wait, and enabling or disabling a source never changes its gate.</w:t>
      </w:r>
    </w:p>
    <w:p>
      <w:r>
        <w:t xml:space="preserve">Source health is derived from the run history rather than stored: a status (Healthy, Degraded, Failing, Needs attention, Rate limited, Waiting as requested by the source, Not yet run, Queued, Running or Cannot run; disabled and archived sources stay neutral), the failure streak, the last attempt, the last successful retrieval, the latest failure, and the next run with its reason. A source whose last successful retrieval is older than two schedule intervals is stale, and a successful retrieval that returned no listings is noted as information, never as a failure. The Sources page shows this health, disables Run now with “Rate limited until …” or “Retry after … (requested by the source)”, and asks for confirmation before running past backoff; the read-only operational check warns about enabled sources that are rate limited, waiting, failing, needing attention or stale. Listing expiry and removal detection belongs to feature 13 (posting history).</w:t>
      </w:r>
    </w:p>
    <w:p>
      <w:pPr>
        <w:pStyle w:val="Heading2"/>
      </w:pPr>
      <w:r>
        <w:t>Posting History and Listing Removal (Feature 13)</w:t>
      </w:r>
    </w:p>
    <w:p>
      <w:r>
        <w:t xml:space="preserve">Feature 13 records each retrieved listing’s posting history without changing what is retrieved, how listings are ingested or deduplicated, or the evaluator. A run may report its listing coverage: the IDs of every listing the source listed, read before the local title filter (which still decides what enters Customer Success ingestion), and whether the run read the whole listing as one consistent snapshot. Only Greenhouse, Lever and Ashby (a successful whole-board response) and Workday and SmartRecruiters (only when the source’s stated total fits within the page cap and every page needed was read) can confirm that a listing is gone. Where a source states a total, a run is complete only when its unique listing IDs equal that total exactly; any listed item without a usable ID, a halted run, or a stop at the page cap makes it incomplete. Wellfound (complete only within its role scope), Himalayas, Remote OK, Working Nomads, Workable and We Work Remotely never confirm removal; they record positive sightings only.</w:t>
      </w:r>
    </w:p>
    <w:p>
      <w:r>
        <w:t xml:space="preserve">RetrievedListing holds one row per stored listing of a configured source within a tracking-scope generation: when it was first and last seen listed, the state (HISTORICAL, LISTED, MISSING, REMOVED or UNTRACKED), the start and count of its absences, the confirmed removal, reappearances, and any expiry the source states (display only). RetrievalSource.trackingScopeKey is an opaque generation key: a new source gets a fresh key, and a settings change to the fields that decide which listings the source retrieves (the board, site, company identifier or career site, never a display-only name or page size) assigns a new key and makes every earlier row UNTRACKED history, so a source that returns to earlier settings starts fresh rather than inheriting that earlier history. Listings retrieved before feature 13 were backfilled as HISTORICAL in a baseline scope (first discovered and last observed, never currently listed); a source’s first run adopts that baseline into its first generation unless a scope-changing settings change came first, in which case it stays UNTRACKED.</w:t>
      </w:r>
    </w:p>
    <w:p>
      <w:r>
        <w:t xml:space="preserve">After each run, in one transaction: every listing the run saw listed becomes LISTED and moves its opportunity’s last-seen time (SourceRecord.lastObservedAt keeps meaning content observed); a REMOVED listing seen again counts as a reappearance, a MISSING one simply clears. On a qualifying run (complete, from a removal-capable source, a successful retrieval in the feature 12 sense, in the current scope), a LISTED listing not seen becomes MISSING, and a MISSING one is confirmed REMOVED only after two consecutive qualifying misses at least 24 hours after the first. Absence on any other run is ignored, HISTORICAL rows change only when seen, and nothing changes an opportunity’s lifecycle status.</w:t>
      </w:r>
    </w:p>
    <w:p>
      <w:r>
        <w:t xml:space="preserve">Deterministic posting-history facts are derived from the ledger and the stored content versions, using the evaluator’s posting-history fact types: ACTIVE_ATS and CURRENT_POSTING (a positive sighting within two schedule intervals), REPOSTED (listed again after a confirmed removal in the same scope), CLOSED_ATS_VISIBLE_ELSEWHERE (an employer-ATS removal followed by a later sighting on a job board, aggregator or marketplace), AGGREGATOR_VISIBILITY, and UNCHANGED_OVER_TIME (the latest content version re-observed through a content-bearing retrieval at least 30 days after it was stored). They are contract-tested against the evaluator’s input schema but withheld from it: loadSubject() is unchanged, so Ghost Job Risk still receives no posting history and evaluation routing, cost and recommendations are unchanged until the coordinated evaluator integration. The opportunity page shows each listing’s history and these facts without a risk label; a dashboard row shows “No longer listed” only when every current-scope listing from a removal-capable source is confirmed removed and no source saw it afterwards, and requesting an evaluation then shows a warning, not a block. Text-based signals and repost patterns across new listing IDs are not derived (feature 18).</w:t>
      </w:r>
    </w:p>
    <w:p>
      <w:pPr>
        <w:pStyle w:val="Heading2"/>
      </w:pPr>
      <w:r>
        <w:t>Browser-Assisted Retrieval and Source Corrections (Feature 14A)</w:t>
      </w:r>
    </w:p>
    <w:p>
      <w:r>
        <w:t xml:space="preserve">Feature 14A adds a reusable browser-assisted retrieval layer and uses it for one source, LinkedIn’s public, logged-out job pages, without changing ingestion, deduplication, the listing ledger’s rules or the evaluator, and without a migration. A browser-assisted adapter declares that it requires a browser; for each of its runs the retrieval worker launches a fresh, non-persistent headless Chromium context (Playwright), asserted to start with no cookies, with no profile, storage state, credentials, extensions or service workers, and closes it when the run ends. The adapter receives a browser session that can only open a URL and return the page’s status, final address and document: there is no way to click, type, submit, scroll or use an account, and any navigation the page starts by itself (a script reload or a meta refresh) is refused, so a challenge page cannot cause a further request. The session loads one page at a time, at least the adapter’s minimum interval apart (5 seconds for LinkedIn), within a per-run navigation cap, a 30-second timeout and a page-size limit; images, fonts and media are not downloaded. Proxy rotation, IP changes, stealth tooling, fingerprint or user-agent changes, CAPTCHA solving and any bypass of a challenge, login wall or access control are excluded.</w:t>
      </w:r>
    </w:p>
    <w:p>
      <w:r>
        <w:t xml:space="preserve">After every page the session checks for access friction: HTTP 429 stops the run as RATE_LIMITED (keeping a valid Retry-After); HTTP 401, 403 or 999, a redirect to a login, signup, authwall, checkpoint or challenge address, a CAPTCHA or challenge in the page, LinkedIn’s sign-in wall or security check, or an account cookie appearing stop it as ACCESS_DENIED; a 5xx stops it as SERVER_ERROR and a failed load as NETWORK. After a stop, every later page request in the run is refused without navigating, nothing is retried, and the feature 12 health policy backs the source off (at least a day after an access refusal, escalating to seven days); a browser that cannot start is a neutral failure on our side. The browser package is loaded only by the retrieval worker and the verification tool, never by the web application, and needs a configured Chromium or Chrome executable.</w:t>
      </w:r>
    </w:p>
    <w:p>
      <w:r>
        <w:t xml:space="preserve">The LinkedIn adapter (job board, browser-assisted, bounded) separates discovery from detail. Discovery reads deterministic public search pages (keywords, optional location, posted-within and remote filters), paged only by the number of results each page actually returned, up to a configurable page cap and discovery cap (defaults 4 pages and 100 results, hard limits 8 and 200), and applies the existing title filter to the search results; no query is split to get around the source’s caps. Detail reads at most a configurable number of public job pages per run (default 20, hard limit 25): title matches discovered earlier whose details are not yet stored go first, oldest first, for up to 30 days, then this run’s new matches, then stored listings last checked more than seven days ago. Matches whose details are not yet stored are kept as listing-ledger rows without an opportunity in the current tracking scope, so a large pool is worked through across runs; such a row gains its opportunity when its details are stored and is dropped if the job page is gone. A job page is parsed from its schema.org JobPosting data, then its public fields; nothing is invented, the source link is the public job page, and an application link is kept only when the page states one. LinkedIn coverage is never complete, so it never confirms removal. The adapter is registered unverified and cannot be enabled until a live logged-out verification of one search page and one job page succeeds; its single logged-out verification request from the Claude cloud environment’s automated headless browser (October 19, 2026) was answered with HTTP 429 and LinkedIn’s anti-bot interstitial, which the session treats as a stop, so it was built and tested against synthetic pages and stays disabled. That result is specific to that environment: a separate logged-out check from a local browser loaded normal public search results (job cards with title, company, location and link) under a “Sign in to view more jobs” modal, which the adapter does not treat as a block while results are present. LinkedIn therefore remains a viable source. On October 20, 2026 the exact adapter (commit dd77d29) was run from a local runtime with one search page and one job page: the public search page answered HTTP 200 and 60 job cards were discovered under the sign-in modal; the first job-detail request answered HTTP 429, and the run stopped at once as rate-limited, with no retry and no listing emitted. The adapter implementation is accepted; LinkedIn as a source stays unverified and disabled, and any future live detail-page verification is a separate, explicitly approved source-enablement decision.</w:t>
      </w:r>
    </w:p>
    <w:p>
      <w:r>
        <w:t xml:space="preserve">Source corrections and audit: We Work Remotely now reads its official all-jobs RSS feed and applies the local title filter, instead of one category feed, and still never reads its web pages; Wellfound waits at least 12 seconds between its sequential page requests. The source methods are, in order of preference: official API or feed (Greenhouse, Lever, Ashby, SmartRecruiters, Himalayas, Remote OK, We Work Remotely, and Adzuna once credentialed and verified); public feed (Working Nomads’ exposed jobs feed, not its internal search endpoint); public structured data without a browser (Workday tenant career-site JSON, Workable’s anonymous search JSON); public data in a logged-out webpage (Wellfound’s embedded state; Welcome to the Jungle / Otta as a candidate); and browser-assisted, public and logged-out (LinkedIn). Welcome to the Jungle / Otta, which has no public jobs API, is classified as public logged-out webpage retrieval and remains an unverified candidate rather than being excluded for its terms: on October 19, 2026 its public search page carried no listings in its HTML; its public company jobs page, which a local logged-out browser loaded without any block (the Claude cloud environment’s browser had received an HTTP 403, so that refusal was environment-specific), needs JavaScript and, once rendered, showed a job count but no job records. With no tested public surface exposing usable job records, it stays unverified and disabled, and no internal endpoint is discovered to force one. No adapter reads robots.txt; pacing, caps, stop rules and backoff are the politeness controls. The browser-extension companion is not part of Feature 14A; it is Feature 14B (below).</w:t>
      </w:r>
    </w:p>
    <w:p>
      <w:r>
        <w:t>Feature 14 has two parts. Feature 14A, browser-assisted automated retrieval and the related source-method corrections described above, is implemented and accepted (commit dd77d298cfb0888f8914e1592d30d426b30fe6c4, October 20, 2026). Feature 14B, the browser-extension companion (Section 47), was committed on October 20, 2026 (e6bacc6) and remains open: the user’s local acceptance showed that the shared normalizers left already-supported facts Unknown when a page stated them only in its job description, and the approved correction (the job-text fallback in this section) is implemented and verified and awaits the user’s review and a minimal retest; it uses the same backend, data, evaluator, lifecycle, provenance, budget and dashboard as the main application, never becomes a second evaluator, and its infrastructure belongs to the shared Core Platform. Automated browser-assisted retrieval (14A) and capture through the extension companion (14B) are separate capabilities. Feature 14 is not complete until 14B is accepted, and feature 15 follows it. There is no further Feature 14 part. Versions 1.12 and earlier described the extension as deferred or an optional future idea; those statements were superseded in Version 1.13, which corrected an October 19, 2026 implementation instruction that had incorrectly treated Feature 14B as deferred, optional and not required.</w:t>
      </w:r>
    </w:p>
    <w:p>
      <w:pPr>
        <w:pStyle w:val="Heading2"/>
      </w:pPr>
      <w:r>
        <w:t>Browser-Extension Companion (Feature 14B)</w:t>
      </w:r>
    </w:p>
    <w:p>
      <w:r>
        <w:t>Feature 14B adds a TypeScript Manifest V3 browser extension (apps/extension) as a source-collection companion to the same application. It has no evaluator, model calls, prompts, budget, recommendation logic, lifecycle or database of its own, and model routing is invisible to it. It requests only the activeTab, scripting and storage permissions and host access to the local application (127.0.0.1 and localhost); it has no content scripts, and its minimal service worker only restricts the extension’s storage to its own pages. It is built with esbuild and loaded unpacked.</w:t>
      </w:r>
    </w:p>
    <w:p>
      <w:r>
        <w:t>Nothing is read until the user presses “Read this page”: a single self-contained reader is then injected once into the current tab, with no arguments and no access to extension storage, cookies or the network, and returns plain job-posting fields. Order: schema.org JobPosting data; on LinkedIn job pages (a job view or a jobs page showing one job), a reader limited to LinkedIn’s job-detail areas; the user’s selected text; and, everywhere except LinkedIn, the page’s main content without navigation, header, footer and side panels. On LinkedIn there is no whole-page reading, any other LinkedIn page is refused, and account, profile, messaging, feed and cookie content is never read. Welcome to the Jungle and Otta use the generic path with no site-specific reader. A field the page does not state stays Unknown; no company, identifier or application link is invented. The user checks and may correct the title, company, location and description in an editable preview; nothing is sent until Save, and corrected fields are named in the capture’s provenance. Page text is treated as untrusted data and never inserted as HTML.</w:t>
      </w:r>
    </w:p>
    <w:p>
      <w:r>
        <w:t>A capture is a strict, size-limited JSON envelope (at most 128 KB; a 50,000-character description; no HTML, cookies, page scripts or page data) sent to POST /api/extension/captures and parsed again by the server with the same schema. The server derives the host and source category: recognised ATS hosts are ATS, recognised job boards (including LinkedIn, Welcome to the Jungle and Otta) are job boards, Wellfound is a marketplace, and every other host is an aggregator, the lowest application-link precedence, with its real host kept. Listing identity is LinkedIn’s canonical job URL and job ID for LinkedIn, and otherwise the cleaned page URL; an identifier an unrecognised page declares is kept as provenance but not trusted as identity. The capture becomes a retrieved listing with browser-extension provenance and goes through the existing retrieval ingestion in the capture transaction: normalization, deduplication (attachment to an existing opportunity, possible-duplicate flags), re-observation of an unchanged listing, a linked version for changed content, and the existing application-link precedence, so a capture never replaces a stronger employer or ATS link. Title filtering is not applied; a title outside the role families is reported for information only. A capture never starts an evaluation, queues work or reserves budget.</w:t>
      </w:r>
    </w:p>
    <w:p>
      <w:r>
        <w:t>After a save, the extension may offer “Request evaluation”. The request and the status read go to extension routes that only authenticate the pairing and then call the existing production evaluation handler and latest-evaluation read unchanged, so admission, budget, duplicate-spend protection, queueing, retries, persistence, evaluator execution and recommendation logic stay where they are. The extension only shows the persisted queued, running, completed or failed state and any recommendation, read-only.</w:t>
      </w:r>
    </w:p>
    <w:p>
      <w:r>
        <w:t>A browser is paired from the application’s Extension page: a random credential is shown once, the server stores only its SHA-256 hash with a label, its last characters and created, last-used and revoked times, and revoking it stops it at once. The credential authenticates only the extension’s capture, status, lookup, evaluation-request and evaluation-status routes; it authenticates no other route, and pairing management accepts only same-origin requests from the application and refuses it. Requests from web-page origins are refused, no cross-origin headers are sent, and request bodies are limited in size and must be JSON. The extension keeps the credential only in chrome.storage.local, never synchronized storage, restricted to trusted extension contexts; it is never logged, embedded, shown again or given to page scripts, and no provider or application-wide secret is stored in the extension. This narrowly scoped, revocable pairing credential is the approved application-authentication mechanism for the extension and the explicit exception to the general rule against secrets in browser storage, which still applies to provider credentials and every other secret.</w:t>
      </w:r>
    </w:p>
    <w:p>
      <w:r>
        <w:t>Schema: one additive table, ExtensionPairing (no foreign keys; the pairing appears in a capture’s provenance only). The operations doctor names the database it connected to (name and host, never credentials) so a separate local acceptance database can be confirmed before use. Verification used only the isolated test database, local fixture pages and the deterministic evaluation transport; the remaining step is the user’s local acceptance in Chrome against a dedicated acceptance database.</w:t>
      </w:r>
    </w:p>
    <w:p>
      <w:r>
        <w:t>Correction from local acceptance (Version 1.15): the extension does not interpret the posting. It sends what it read, plus neutral page context in optional, additive envelope fields (never on LinkedIn, where the server also discards them): the tab’s document title, and, beside a structured description or a selection, the job’s bounded page content as plain text (at most 20,000 characters, left out rather than exceeding the capture size limit); the server keeps them as source metadata, where the shared job-text fallback may read the employer from the title and labelled job metadata from the page content, and keeps the fields the user corrected in the preview, whose values are recorded as DIRECT with a userCorrected source field. Neither enters the listing’s content hash, so a repeat capture stays a re-observation. Deduplication is unchanged: a capture attaches to an existing opportunity only through a shared listing URL, or a shared listing or requisition ID at the same company; a copy from another site without that identity may remain separate, or is flagged as a possible duplicate when the company, title, location and description agree closely enough, and similarity alone never merges listings.</w:t>
      </w:r>
    </w:p>
    <w:p>
      <w:r>
        <w:t xml:space="preserve">Cross-source collection correction (Version 1.15, October 26, 2026). The page reader also reads schema.org JobPosting microdata (itemprop) and uses structured data that has no description of its own, taking the description from the page’s main content. On a remote (TELECOMMUTE) posting, a jobLocation with a street or city is an office and is not sent as the location, and applicantLocationRequirements are sent as remoteLocations. The job’s container is &lt;main&gt; (or role=main), otherwise the &lt;article&gt; that holds the job’s title, otherwise the title’s nearest substantial container, never the page’s first &lt;article&gt;; lists of other jobs (“Related Jobs”, “Similar roles”, “More jobs at …”) are left out of the description and page context. Where to apply ranks the page’s own application form first, then one explicit application link (an apply phrase, “I’m interested”, or this posting’s own “…/apply” or “…/application” page), then structured directApply, which never outranks a stated application page. On LinkedIn the reader also reads the public job page’s criteria list (seniority level, employment type) and its stated posting age, as the automated LinkedIn reader does. The envelope gains two optional fields, remoteLocations and seniority (schemaVersion stays 1); the server passes them on as sourceFacts and keeps them as material facts.</w:t>
      </w:r>
    </w:p>
    <w:p>
      <w:pPr>
        <w:pStyle w:val="Heading2"/>
      </w:pPr>
      <w:r>
        <w:t>Per-Operation Model Routing</w:t>
      </w:r>
    </w:p>
    <w:p>
      <w:r>
        <w:t>Semantic execution remains versioned per operation. The current Customer Success routing lock uses GPT-5.6 Terra for JD Reconstruction and Resume Match; GPT-5.6 Luna for Job Evaluation, Organizational Maturity, Alex Fit, and Opportunity Priority; GPT-6 Luna for Company Alignment and Burnout Risk; and deterministic logic for Hard Filters, no-history Ghost Job Risk, and Final Recommendation.</w:t>
      </w:r>
    </w:p>
    <w:p>
      <w:r>
        <w:t xml:space="preserve">Branch state (October 15, 2026): the GPT-6 Luna routes and the Customer Success release of salary/currency/residency fields to evaluator input are implemented on the Codex evaluator branch and are combined with the main-product branch at final integration. Until then, the main-product branch keeps the earlier routing and withholds all normalized Task 7 fields from evaluator input.</w:t>
      </w:r>
    </w:p>
    <w:p>
      <w:r>
        <w:t>Semantic execution now supports versioned per-operation model routing rather than a single global model. Routing configuration may select different provider models for different semantic operations while preserving the same provider-to-domain conversion, domain validation, persistence, API, UI, and recommendation contracts.</w:t>
      </w:r>
    </w:p>
    <w:p>
      <w:pPr>
        <w:pStyle w:val="Heading2"/>
      </w:pPr>
      <w:r>
        <w:t>Cost-Optimization Architecture</w:t>
      </w:r>
    </w:p>
    <w:p>
      <w:r>
        <w:t>Cost optimization is performed at semantic-operation boundaries. Provider transport schemas and provider inputs may be reduced when authoritative application data can be restored deterministically after the model call. These optimizations must not change persisted domain schemas, evidence semantics, Unknown handling, recommendation behavior, or user-facing result meaning.</w:t>
      </w:r>
    </w:p>
    <w:p>
      <w:r>
        <w:t>Accepted optimization work has already reduced Resume Match and JD Reconstruction request volume. Further optimization remains limited to semantics-preserving changes and must be verified against the last known-good behavior before adoption.</w:t>
      </w:r>
    </w:p>
    <w:p>
      <w:pPr>
        <w:pStyle w:val="Heading2"/>
      </w:pPr>
      <w:r>
        <w:t>Current Product Sequence</w:t>
      </w:r>
    </w:p>
    <w:p>
      <w:r>
        <w:t>The Task 1–9 completion pass for features 1–10 is complete (Task 8 Application Tracker and Task 9 operational hardening, October 16, 2026). The features 1–10 gap audit and the Features 1–10 Gap Closure followed (October 17, 2026), then feature 11, automated retrieval: 11A, the verified official API and feed sources, and 11B, the verified public/guest-endpoint and public-HTML sources (both October 18, 2026), feature 12, source health and conservative retrieval (October 18, 2026), feature 13, posting history and listing removal (October 19, 2026), and feature 14A, browser-assisted retrieval for public, logged-out LinkedIn pages and source corrections (accepted October 20, 2026); feature 14B, the browser-extension companion, is committed and its shared-normalization correction awaits review, and feature 14 is not complete until it is accepted. Main-product features 11–18 together add retrieval/source health/posting history/browser extension/source intelligence/market analytics/personal analytics/company intelligence.</w:t>
      </w:r>
    </w:p>
    <w:p>
      <w:r>
        <w:t xml:space="preserve">Retrieval/source adapters connect through the existing RawOpportunity → Normalization → Deduplication → Domain Evaluation boundary.</w:t>
      </w:r>
    </w:p>
    <w:p>
      <w:pPr>
        <w:pStyle w:val="Heading2"/>
      </w:pPr>
      <w:r>
        <w:t>Final Integration Rule</w:t>
      </w:r>
    </w:p>
    <w:p>
      <w:r>
        <w:t>Final branch integration, full migrations/typecheck/lint/build/integration/E2E acceptance, any explicitly authorized live evaluation, evaluator freeze, and deliberate merge occur only after all intended main-product work is complete. DB-backed tests must use a dedicated isolated test database; the normal application database must not be used for experiments or validation without explicit authorization.</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End of Document</w:t>
      </w:r>
    </w:p>
    <w:p w14:paraId="32A324B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Core Platform Technical Design Document</w:t>
      </w:r>
    </w:p>
    <w:p w14:paraId="37C4FE4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Version: 1.15</w:t>
        <w:br/>
        <w:t>Status: Updated Technical Design</w:t>
      </w:r>
    </w:p>
    <w:p w14:paraId="44C4EA2B"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0C5A"/>
    <w:multiLevelType w:val="multilevel"/>
    <w:tmpl w:val="2FA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0FE9"/>
    <w:multiLevelType w:val="multilevel"/>
    <w:tmpl w:val="0B4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4680E"/>
    <w:multiLevelType w:val="multilevel"/>
    <w:tmpl w:val="7B9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66346"/>
    <w:multiLevelType w:val="multilevel"/>
    <w:tmpl w:val="681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B59C1"/>
    <w:multiLevelType w:val="multilevel"/>
    <w:tmpl w:val="37C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27759"/>
    <w:multiLevelType w:val="multilevel"/>
    <w:tmpl w:val="CED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42CEC"/>
    <w:multiLevelType w:val="multilevel"/>
    <w:tmpl w:val="078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86352"/>
    <w:multiLevelType w:val="multilevel"/>
    <w:tmpl w:val="2F84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36C37"/>
    <w:multiLevelType w:val="multilevel"/>
    <w:tmpl w:val="7052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45100"/>
    <w:multiLevelType w:val="multilevel"/>
    <w:tmpl w:val="7EE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45981"/>
    <w:multiLevelType w:val="multilevel"/>
    <w:tmpl w:val="0A1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B54E6"/>
    <w:multiLevelType w:val="multilevel"/>
    <w:tmpl w:val="A26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14A12"/>
    <w:multiLevelType w:val="multilevel"/>
    <w:tmpl w:val="C32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63A46"/>
    <w:multiLevelType w:val="multilevel"/>
    <w:tmpl w:val="D9E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A2526"/>
    <w:multiLevelType w:val="multilevel"/>
    <w:tmpl w:val="A63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B6FAD"/>
    <w:multiLevelType w:val="multilevel"/>
    <w:tmpl w:val="313A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B4669"/>
    <w:multiLevelType w:val="multilevel"/>
    <w:tmpl w:val="C46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81FDE"/>
    <w:multiLevelType w:val="multilevel"/>
    <w:tmpl w:val="89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41F99"/>
    <w:multiLevelType w:val="multilevel"/>
    <w:tmpl w:val="BAD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5274A"/>
    <w:multiLevelType w:val="multilevel"/>
    <w:tmpl w:val="0FF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E0DE4"/>
    <w:multiLevelType w:val="multilevel"/>
    <w:tmpl w:val="4E6C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E4DD4"/>
    <w:multiLevelType w:val="multilevel"/>
    <w:tmpl w:val="0F70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1719C"/>
    <w:multiLevelType w:val="multilevel"/>
    <w:tmpl w:val="844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37C55"/>
    <w:multiLevelType w:val="multilevel"/>
    <w:tmpl w:val="420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73F19"/>
    <w:multiLevelType w:val="multilevel"/>
    <w:tmpl w:val="A03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47913"/>
    <w:multiLevelType w:val="multilevel"/>
    <w:tmpl w:val="52B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C5683"/>
    <w:multiLevelType w:val="multilevel"/>
    <w:tmpl w:val="3FD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D7D42"/>
    <w:multiLevelType w:val="multilevel"/>
    <w:tmpl w:val="24D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A4352"/>
    <w:multiLevelType w:val="multilevel"/>
    <w:tmpl w:val="B46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433FD"/>
    <w:multiLevelType w:val="multilevel"/>
    <w:tmpl w:val="5F7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202E9"/>
    <w:multiLevelType w:val="multilevel"/>
    <w:tmpl w:val="9BA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03866"/>
    <w:multiLevelType w:val="multilevel"/>
    <w:tmpl w:val="D57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A581E"/>
    <w:multiLevelType w:val="multilevel"/>
    <w:tmpl w:val="A01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A1102"/>
    <w:multiLevelType w:val="multilevel"/>
    <w:tmpl w:val="4EAC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634351">
    <w:abstractNumId w:val="13"/>
  </w:num>
  <w:num w:numId="2" w16cid:durableId="1693678601">
    <w:abstractNumId w:val="27"/>
  </w:num>
  <w:num w:numId="3" w16cid:durableId="1992446371">
    <w:abstractNumId w:val="18"/>
  </w:num>
  <w:num w:numId="4" w16cid:durableId="1399673271">
    <w:abstractNumId w:val="12"/>
  </w:num>
  <w:num w:numId="5" w16cid:durableId="1759909028">
    <w:abstractNumId w:val="6"/>
  </w:num>
  <w:num w:numId="6" w16cid:durableId="1069691761">
    <w:abstractNumId w:val="3"/>
  </w:num>
  <w:num w:numId="7" w16cid:durableId="264919446">
    <w:abstractNumId w:val="15"/>
  </w:num>
  <w:num w:numId="8" w16cid:durableId="694766818">
    <w:abstractNumId w:val="7"/>
  </w:num>
  <w:num w:numId="9" w16cid:durableId="404567451">
    <w:abstractNumId w:val="16"/>
  </w:num>
  <w:num w:numId="10" w16cid:durableId="676886448">
    <w:abstractNumId w:val="8"/>
  </w:num>
  <w:num w:numId="11" w16cid:durableId="325016724">
    <w:abstractNumId w:val="32"/>
  </w:num>
  <w:num w:numId="12" w16cid:durableId="448818519">
    <w:abstractNumId w:val="23"/>
  </w:num>
  <w:num w:numId="13" w16cid:durableId="956986888">
    <w:abstractNumId w:val="22"/>
  </w:num>
  <w:num w:numId="14" w16cid:durableId="1717507983">
    <w:abstractNumId w:val="26"/>
  </w:num>
  <w:num w:numId="15" w16cid:durableId="428745692">
    <w:abstractNumId w:val="0"/>
  </w:num>
  <w:num w:numId="16" w16cid:durableId="639921748">
    <w:abstractNumId w:val="28"/>
  </w:num>
  <w:num w:numId="17" w16cid:durableId="757407462">
    <w:abstractNumId w:val="25"/>
  </w:num>
  <w:num w:numId="18" w16cid:durableId="1231884620">
    <w:abstractNumId w:val="4"/>
  </w:num>
  <w:num w:numId="19" w16cid:durableId="1995909334">
    <w:abstractNumId w:val="17"/>
  </w:num>
  <w:num w:numId="20" w16cid:durableId="1226179584">
    <w:abstractNumId w:val="21"/>
  </w:num>
  <w:num w:numId="21" w16cid:durableId="1260606566">
    <w:abstractNumId w:val="10"/>
  </w:num>
  <w:num w:numId="22" w16cid:durableId="46495235">
    <w:abstractNumId w:val="1"/>
  </w:num>
  <w:num w:numId="23" w16cid:durableId="1584141578">
    <w:abstractNumId w:val="5"/>
  </w:num>
  <w:num w:numId="24" w16cid:durableId="549341663">
    <w:abstractNumId w:val="24"/>
  </w:num>
  <w:num w:numId="25" w16cid:durableId="288360598">
    <w:abstractNumId w:val="11"/>
  </w:num>
  <w:num w:numId="26" w16cid:durableId="1523281070">
    <w:abstractNumId w:val="2"/>
  </w:num>
  <w:num w:numId="27" w16cid:durableId="1467774056">
    <w:abstractNumId w:val="9"/>
  </w:num>
  <w:num w:numId="28" w16cid:durableId="1218199334">
    <w:abstractNumId w:val="30"/>
  </w:num>
  <w:num w:numId="29" w16cid:durableId="27268937">
    <w:abstractNumId w:val="20"/>
  </w:num>
  <w:num w:numId="30" w16cid:durableId="1861357790">
    <w:abstractNumId w:val="31"/>
  </w:num>
  <w:num w:numId="31" w16cid:durableId="2117602897">
    <w:abstractNumId w:val="14"/>
  </w:num>
  <w:num w:numId="32" w16cid:durableId="746265192">
    <w:abstractNumId w:val="33"/>
  </w:num>
  <w:num w:numId="33" w16cid:durableId="1617713220">
    <w:abstractNumId w:val="19"/>
  </w:num>
  <w:num w:numId="34" w16cid:durableId="9247290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6A"/>
    <w:rsid w:val="0005386A"/>
    <w:rsid w:val="00131F19"/>
    <w:rsid w:val="001F18C5"/>
    <w:rsid w:val="00307A7E"/>
    <w:rsid w:val="0039572E"/>
    <w:rsid w:val="00670D11"/>
    <w:rsid w:val="007E65C3"/>
    <w:rsid w:val="00814372"/>
    <w:rsid w:val="00A2266A"/>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E46B"/>
  <w15:chartTrackingRefBased/>
  <w15:docId w15:val="{FD4CBDEA-52CC-4033-8831-D96FA8C3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2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2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2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2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66A"/>
    <w:rPr>
      <w:rFonts w:eastAsiaTheme="majorEastAsia" w:cstheme="majorBidi"/>
      <w:color w:val="272727" w:themeColor="text1" w:themeTint="D8"/>
    </w:rPr>
  </w:style>
  <w:style w:type="paragraph" w:styleId="Title">
    <w:name w:val="Title"/>
    <w:basedOn w:val="Normal"/>
    <w:next w:val="Normal"/>
    <w:link w:val="TitleChar"/>
    <w:uiPriority w:val="10"/>
    <w:qFormat/>
    <w:rsid w:val="00A22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66A"/>
    <w:pPr>
      <w:spacing w:before="160"/>
      <w:jc w:val="center"/>
    </w:pPr>
    <w:rPr>
      <w:i/>
      <w:iCs/>
      <w:color w:val="404040" w:themeColor="text1" w:themeTint="BF"/>
    </w:rPr>
  </w:style>
  <w:style w:type="character" w:customStyle="1" w:styleId="QuoteChar">
    <w:name w:val="Quote Char"/>
    <w:basedOn w:val="DefaultParagraphFont"/>
    <w:link w:val="Quote"/>
    <w:uiPriority w:val="29"/>
    <w:rsid w:val="00A2266A"/>
    <w:rPr>
      <w:i/>
      <w:iCs/>
      <w:color w:val="404040" w:themeColor="text1" w:themeTint="BF"/>
    </w:rPr>
  </w:style>
  <w:style w:type="paragraph" w:styleId="ListParagraph">
    <w:name w:val="List Paragraph"/>
    <w:basedOn w:val="Normal"/>
    <w:uiPriority w:val="34"/>
    <w:qFormat/>
    <w:rsid w:val="00A2266A"/>
    <w:pPr>
      <w:ind w:left="720"/>
      <w:contextualSpacing/>
    </w:pPr>
  </w:style>
  <w:style w:type="character" w:styleId="IntenseEmphasis">
    <w:name w:val="Intense Emphasis"/>
    <w:basedOn w:val="DefaultParagraphFont"/>
    <w:uiPriority w:val="21"/>
    <w:qFormat/>
    <w:rsid w:val="00A2266A"/>
    <w:rPr>
      <w:i/>
      <w:iCs/>
      <w:color w:val="2F5496" w:themeColor="accent1" w:themeShade="BF"/>
    </w:rPr>
  </w:style>
  <w:style w:type="paragraph" w:styleId="IntenseQuote">
    <w:name w:val="Intense Quote"/>
    <w:basedOn w:val="Normal"/>
    <w:next w:val="Normal"/>
    <w:link w:val="IntenseQuoteChar"/>
    <w:uiPriority w:val="30"/>
    <w:qFormat/>
    <w:rsid w:val="00A22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66A"/>
    <w:rPr>
      <w:i/>
      <w:iCs/>
      <w:color w:val="2F5496" w:themeColor="accent1" w:themeShade="BF"/>
    </w:rPr>
  </w:style>
  <w:style w:type="character" w:styleId="IntenseReference">
    <w:name w:val="Intense Reference"/>
    <w:basedOn w:val="DefaultParagraphFont"/>
    <w:uiPriority w:val="32"/>
    <w:qFormat/>
    <w:rsid w:val="00A2266A"/>
    <w:rPr>
      <w:b/>
      <w:bCs/>
      <w:smallCaps/>
      <w:color w:val="2F5496" w:themeColor="accent1" w:themeShade="BF"/>
      <w:spacing w:val="5"/>
    </w:rPr>
  </w:style>
  <w:style w:type="numbering" w:customStyle="1" w:styleId="NoList1">
    <w:name w:val="No List1"/>
    <w:next w:val="NoList"/>
    <w:uiPriority w:val="99"/>
    <w:semiHidden/>
    <w:unhideWhenUsed/>
    <w:rsid w:val="00A2266A"/>
  </w:style>
  <w:style w:type="paragraph" w:customStyle="1" w:styleId="msonormal0">
    <w:name w:val="msonormal"/>
    <w:basedOn w:val="Normal"/>
    <w:rsid w:val="00A2266A"/>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A2266A"/>
  </w:style>
  <w:style w:type="character" w:styleId="Strong">
    <w:name w:val="Strong"/>
    <w:basedOn w:val="DefaultParagraphFont"/>
    <w:uiPriority w:val="22"/>
    <w:qFormat/>
    <w:rsid w:val="00A2266A"/>
    <w:rPr>
      <w:b/>
      <w:bCs/>
    </w:rPr>
  </w:style>
  <w:style w:type="paragraph" w:styleId="NormalWeb">
    <w:name w:val="Normal (Web)"/>
    <w:basedOn w:val="Normal"/>
    <w:uiPriority w:val="99"/>
    <w:semiHidden/>
    <w:unhideWhenUsed/>
    <w:rsid w:val="00A2266A"/>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A226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A2266A"/>
    <w:rPr>
      <w:rFonts w:ascii="Courier New" w:eastAsia="Times New Roman" w:hAnsi="Courier New" w:cs="Courier New"/>
      <w:kern w:val="0"/>
      <w:sz w:val="20"/>
      <w:szCs w:val="20"/>
    </w:rPr>
  </w:style>
  <w:style w:type="character" w:customStyle="1" w:styleId="g">
    <w:name w:val="ͼg"/>
    <w:basedOn w:val="DefaultParagraphFont"/>
    <w:rsid w:val="00A2266A"/>
  </w:style>
  <w:style w:type="character" w:customStyle="1" w:styleId="m">
    <w:name w:val="ͼm"/>
    <w:basedOn w:val="DefaultParagraphFont"/>
    <w:rsid w:val="00A2266A"/>
  </w:style>
  <w:style w:type="character" w:customStyle="1" w:styleId="k">
    <w:name w:val="ͼk"/>
    <w:basedOn w:val="DefaultParagraphFont"/>
    <w:rsid w:val="00A22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3425</Words>
  <Characters>19527</Characters>
  <Application>Microsoft Office Word</Application>
  <DocSecurity>0</DocSecurity>
  <Lines>162</Lines>
  <Paragraphs>45</Paragraphs>
  <ScaleCrop>false</ScaleCrop>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2026-08-08T18:44:00Z</dcterms:created>
  <dcterms:modified xsi:type="dcterms:W3CDTF">2026-08-08T18:47:00Z</dcterms:modified>
</cp:coreProperties>
</file>