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2E33" w14:textId="77777777" w:rsidR="00A2266A" w:rsidRPr="00A2266A" w:rsidRDefault="00A2266A" w:rsidP="00A226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707"/>
      </w:tblGrid>
      <w:tr w:rsidR="00A2266A" w:rsidRPr="00A2266A" w14:paraId="365BE6C0" w14:textId="77777777">
        <w:trPr>
          <w:tblHeader/>
          <w:tblCellSpacing w:w="15" w:type="dxa"/>
        </w:trPr>
        <w:tc>
          <w:tcPr>
            <w:tcW w:w="0" w:type="auto"/>
            <w:vAlign w:val="center"/>
            <w:hideMark/>
          </w:tcPr>
          <w:p w14:paraId="383F40A8"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A0369C"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A2266A" w:rsidRPr="00A2266A" w14:paraId="2001BE94" w14:textId="77777777">
        <w:trPr>
          <w:tblCellSpacing w:w="15" w:type="dxa"/>
        </w:trPr>
        <w:tc>
          <w:tcPr>
            <w:tcW w:w="0" w:type="auto"/>
            <w:vAlign w:val="center"/>
            <w:hideMark/>
          </w:tcPr>
          <w:p w14:paraId="7EB012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43CCB9D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w:t>
            </w:r>
          </w:p>
        </w:tc>
      </w:tr>
      <w:tr w:rsidR="00A2266A" w:rsidRPr="00A2266A" w14:paraId="1C917D5F" w14:textId="77777777">
        <w:trPr>
          <w:tblCellSpacing w:w="15" w:type="dxa"/>
        </w:trPr>
        <w:tc>
          <w:tcPr>
            <w:tcW w:w="0" w:type="auto"/>
            <w:vAlign w:val="center"/>
            <w:hideMark/>
          </w:tcPr>
          <w:p w14:paraId="7DF8EEF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1F419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Platform Technical Design Document</w:t>
            </w:r>
          </w:p>
        </w:tc>
      </w:tr>
      <w:tr w:rsidR="00A2266A" w:rsidRPr="00A2266A" w14:paraId="5530CCF8" w14:textId="77777777">
        <w:trPr>
          <w:tblCellSpacing w:w="15" w:type="dxa"/>
        </w:trPr>
        <w:tc>
          <w:tcPr>
            <w:tcW w:w="0" w:type="auto"/>
            <w:vAlign w:val="center"/>
            <w:hideMark/>
          </w:tcPr>
          <w:p w14:paraId="1483549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1.11</w:t>
            </w:r>
          </w:p>
        </w:tc>
      </w:tr>
      <w:tr w:rsidR="00A2266A" w:rsidRPr="00A2266A" w14:paraId="59B3B7BF" w14:textId="77777777">
        <w:trPr>
          <w:tblCellSpacing w:w="15" w:type="dxa"/>
        </w:trPr>
        <w:tc>
          <w:tcPr>
            <w:tcW w:w="0" w:type="auto"/>
            <w:vAlign w:val="center"/>
            <w:hideMark/>
          </w:tcPr>
          <w:p w14:paraId="4C34249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076C1D7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A2266A" w:rsidRPr="00A2266A" w14:paraId="1D473D78" w14:textId="77777777">
        <w:trPr>
          <w:tblCellSpacing w:w="15" w:type="dxa"/>
        </w:trPr>
        <w:tc>
          <w:tcPr>
            <w:tcW w:w="0" w:type="auto"/>
            <w:vAlign w:val="center"/>
            <w:hideMark/>
          </w:tcPr>
          <w:p w14:paraId="5E9CFFD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19, 2026</w:t>
            </w:r>
          </w:p>
        </w:tc>
      </w:tr>
      <w:tr w:rsidR="00A2266A" w:rsidRPr="00A2266A" w14:paraId="475B2933" w14:textId="77777777">
        <w:trPr>
          <w:tblCellSpacing w:w="15" w:type="dxa"/>
        </w:trPr>
        <w:tc>
          <w:tcPr>
            <w:tcW w:w="0" w:type="auto"/>
            <w:vAlign w:val="center"/>
            <w:hideMark/>
          </w:tcPr>
          <w:p w14:paraId="510DE02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v1.10</w:t>
            </w:r>
          </w:p>
        </w:tc>
      </w:tr>
      <w:tr w:rsidR="00A2266A" w:rsidRPr="00A2266A" w14:paraId="0B3A6F91" w14:textId="77777777">
        <w:trPr>
          <w:tblCellSpacing w:w="15" w:type="dxa"/>
        </w:trPr>
        <w:tc>
          <w:tcPr>
            <w:tcW w:w="0" w:type="auto"/>
            <w:vAlign w:val="center"/>
            <w:hideMark/>
          </w:tcPr>
          <w:p w14:paraId="0F4859D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Scope</w:t>
            </w:r>
          </w:p>
        </w:tc>
        <w:tc>
          <w:tcPr>
            <w:tcW w:w="0" w:type="auto"/>
            <w:vAlign w:val="center"/>
            <w:hideMark/>
          </w:tcPr>
          <w:p w14:paraId="65ABCF3E"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Shared technical architecture used by all domain assistants</w:t>
            </w:r>
          </w:p>
        </w:tc>
      </w:tr>
    </w:tbl>
    <w:p w14:paraId="5BD6D2A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8E7360">
          <v:rect id="_x0000_i102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1.11 — October 19, 2026 — Added the implementation-status summary for posting history and listing removal (feature 13): listing coverage recorded independently of the title filter, the removal-capable sources and their exact-total completeness rule, the listing ledger with opaque tracking-scope generations and a conservative pre-feature-13 baseline, the removal and reappearance transitions, deterministic posting-history facts withheld from the evaluator, and the opportunity-page and dashboard display; updated the dependency to Core AI Framework PRD v1.10 and the main-product sequence. The design sections are unchanged.</w:t>
      </w:r>
    </w:p>
    <w:p>
      <w:r>
        <w:t xml:space="preserve">Version 1.10 — October 18, 2026 — Added the implementation-status summary for source health and conservative retrieval (feature 12): server errors classified and stopping a host for the rest of a run, Retry-After honoured in full, one deterministic backoff gate per source written with each run’s outcome, derived source health and freshness, Run now’s gate rules and the read-only operational warning; listing expiry and removal detection assigned to feature 13; updated the dependency to Core AI Framework PRD v1.9 and the main-product sequence. The design sections are unchanged.</w:t>
      </w:r>
    </w:p>
    <w:p>
      <w:r>
        <w:t xml:space="preserve">Version 1.9 — October 18, 2026 — Added the implementation-status summary for automated retrieval from the verified Type #3 and Type #4 sources (feature 11B): the JSON POST transport method, source-specific request intervals and page caps, the Workday, Workable and Wellfound adapters, and Welcome to the Jungle / Otta registered but unverified; updated the dependency to Core AI Framework PRD v1.8 and the main-product sequence. The design sections are unchanged.</w:t>
      </w:r>
    </w:p>
    <w:p>
      <w:r>
        <w:t xml:space="preserve">Version 1.8 — October 18, 2026 — Added the implementation-status summary for automated retrieval (feature 11A): the collector contract and transport limits, the verified Type #1 adapters, title-only discovery, retrieval sources and runs, re-observation and change detection, canonical application-link precedence and the retrieval worker; recorded deduplication engine core-dedup-v2 (source-scoped listing IDs); updated the dependency to Core AI Framework PRD v1.7 and the main-product sequence. The design sections are unchanged.</w:t>
      </w:r>
    </w:p>
    <w:p>
      <w:r>
        <w:t xml:space="preserve">Version 1.7 — October 17, 2026 — Added implementation-status summaries for deduplication and provenance retention (the capture transaction, duplicate outcomes, source retention, reversible user resolution, company-name normalization and the duplicate recheck before paid evaluation) and for usage reporting by domain and job source; updated the dependency to Core AI Framework PRD v1.6 and the main-product sequence. The design sections are unchanged.</w:t>
      </w:r>
    </w:p>
    <w:p>
      <w:r>
        <w:t xml:space="preserve">Version 1.6 — October 16, 2026 — Documented the USAGE_LIMIT_REACHED deferral reason and the legacy BUDGET_UNAVAILABLE mapping, completed the neutral eligibility wording, added implementation-status summaries for the completed application tracker and for the operations and worker model, updated the dependency to Core AI Framework PRD v1.5, and updated the main-product sequence.</w:t>
      </w:r>
    </w:p>
    <w:p>
      <w:r>
        <w:t>Version 1.5 — October 15, 2026 — Added the current normalized salary/residency data contract, documented isolated-test and domain-boundary rules, aligned implemented budget controls and routing status, and updated the complete main-product sequence.</w:t>
      </w:r>
    </w:p>
    <w:p>
      <w:r>
        <w:t>Version 1.4 — October 5, 2026 — Updated the implemented evaluation/results architecture, added per-operation semantic model routing, and documented the current completion state and next technical phases.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1.3 — August 20, 2026 — Added persistent AI usage and cost accounting, versioned model pricing, monthly budget-ledger requirements, atomic reservation and reconciliation, budget deferral, API/UI visibility, and verification requirements.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16, 2026 — Previous authoritative Core TDD version.</w:t>
      </w:r>
    </w:p>
    <w:p w14:paraId="5B5D689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2981C9E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Core AI Framework as a modular platform capable of:</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Discovering opportunities from multiple sources. </w:t>
      </w:r>
    </w:p>
    <w:p w14:paraId="71C38CE1"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Converting heterogeneous listings into a common data model. </w:t>
      </w:r>
    </w:p>
    <w:p w14:paraId="7600924A"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and merging duplicates. </w:t>
      </w:r>
    </w:p>
    <w:p w14:paraId="0EF91925"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Passing normalized opportunities to domain-specific evaluation modules. </w:t>
      </w:r>
    </w:p>
    <w:p w14:paraId="05466874"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Using AI for semantic interpretation without allowing unsupported conclusions. </w:t>
      </w:r>
    </w:p>
    <w:p w14:paraId="7921CC9B"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Recording evidence, inference, confidence, and unknowns separately. </w:t>
      </w:r>
    </w:p>
    <w:p w14:paraId="20B3456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structured recommendations. </w:t>
      </w:r>
    </w:p>
    <w:p w14:paraId="187B4ED3"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Tracking source and opportunity outcomes. </w:t>
      </w:r>
    </w:p>
    <w:p w14:paraId="4D8BC187"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additional domain assistants without rebuilding the platform. </w:t>
      </w:r>
    </w:p>
    <w:p w14:paraId="058C3FD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architecture should prioritize a </w:t>
      </w:r>
      <w:r>
        <w:rPr>
          <w:rFonts w:ascii="Times New Roman" w:eastAsia="Times New Roman" w:hAnsi="Times New Roman" w:cs="Times New Roman"/>
          <w:b/>
          <w:bCs/>
          <w:kern w:val="0"/>
          <w14:ligatures w14:val="none"/>
        </w:rPr>
        <w:t>working MVP</w:t>
      </w:r>
      <w:r>
        <w:rPr>
          <w:rFonts w:ascii="Times New Roman" w:eastAsia="Times New Roman" w:hAnsi="Times New Roman" w:cs="Times New Roman"/>
          <w:kern w:val="0"/>
          <w14:ligatures w14:val="none"/>
        </w:rPr>
        <w:t xml:space="preserve"> over premature infrastructure complexity.</w:t>
      </w:r>
    </w:p>
    <w:p w14:paraId="707924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D0CDC">
          <v:rect id="_x0000_i1026" style="width:0;height:1.5pt" o:hralign="center" o:hrstd="t" o:hr="t" fillcolor="#a0a0a0" stroked="f"/>
        </w:pict>
      </w:r>
    </w:p>
    <w:p w14:paraId="728280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Architecture Principles</w:t>
      </w:r>
    </w:p>
    <w:p w14:paraId="139B0AC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3DFA50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normalization, deduplication, evaluation, evidence, recommendations, and analytics should remain separable components.</w:t>
      </w:r>
    </w:p>
    <w:p w14:paraId="46FA019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Domain-Agnostic Core</w:t>
      </w:r>
    </w:p>
    <w:p w14:paraId="001BDE2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Core Platform must not contain Customer Success or Freelance Writing evaluation rules.</w:t>
      </w:r>
    </w:p>
    <w:p w14:paraId="4825CE3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logic plugs into the shared evaluation framework.</w:t>
      </w:r>
    </w:p>
    <w:p w14:paraId="6D64E4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First</w:t>
      </w:r>
    </w:p>
    <w:p w14:paraId="529481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AI-generated conclusions must be traceable to source evidence.</w:t>
      </w:r>
    </w:p>
    <w:p w14:paraId="26484613"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Structured AI Output</w:t>
      </w:r>
    </w:p>
    <w:p w14:paraId="3DB5017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should not depend on free-form AI prose for program logic.</w:t>
      </w:r>
    </w:p>
    <w:p w14:paraId="6407409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evaluation should return validated structured data.</w:t>
      </w:r>
    </w:p>
    <w:p w14:paraId="05470BA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Where Possible</w:t>
      </w:r>
    </w:p>
    <w:p w14:paraId="1196AA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ordinary program logic for things such as:</w:t>
      </w:r>
    </w:p>
    <w:p w14:paraId="5C21AAF1"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12A7D0EC"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Dates </w:t>
      </w:r>
    </w:p>
    <w:p w14:paraId="4B069A6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percentages </w:t>
      </w:r>
    </w:p>
    <w:p w14:paraId="575DD20E"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identifiers </w:t>
      </w:r>
    </w:p>
    <w:p w14:paraId="45505A39"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Known location restrictions </w:t>
      </w:r>
    </w:p>
    <w:p w14:paraId="36A20F3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scoring </w:t>
      </w:r>
    </w:p>
    <w:p w14:paraId="022E1736"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Required-field validation </w:t>
      </w:r>
    </w:p>
    <w:p w14:paraId="3D3D138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where semantic interpretation is actually necessary.</w:t>
      </w:r>
    </w:p>
    <w:p w14:paraId="6B2258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Over Assumption</w:t>
      </w:r>
    </w:p>
    <w:p w14:paraId="1FA8AF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should remain </w:t>
      </w: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w:t>
      </w:r>
    </w:p>
    <w:p w14:paraId="256E801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Human-Controlled Rules</w:t>
      </w:r>
    </w:p>
    <w:p w14:paraId="1B34693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may interpret evidence, but user-defined rules determine how that evidence affects recommendations.</w:t>
      </w:r>
    </w:p>
    <w:p w14:paraId="44B536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130560">
          <v:rect id="_x0000_i1027" style="width:0;height:1.5pt" o:hralign="center" o:hrstd="t" o:hr="t" fillcolor="#a0a0a0" stroked="f"/>
        </w:pict>
      </w:r>
    </w:p>
    <w:p w14:paraId="76FF609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High-Level Architecture</w:t>
      </w:r>
    </w:p>
    <w:p w14:paraId="3E286C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Sources → Collection → Normalization → Deduplication → Domain Evaluation → Evidence Validation → Scoring/Recommendation → Storage → UI → Analytics</w:t>
      </w:r>
    </w:p>
    <w:p w14:paraId="2FDFCB2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platform should initially be implemented as a </w:t>
      </w:r>
      <w:r>
        <w:rPr>
          <w:rFonts w:ascii="Times New Roman" w:eastAsia="Times New Roman" w:hAnsi="Times New Roman" w:cs="Times New Roman"/>
          <w:b/>
          <w:bCs/>
          <w:kern w:val="0"/>
          <w14:ligatures w14:val="none"/>
        </w:rPr>
        <w:t>modular monolith</w:t>
      </w:r>
      <w:r>
        <w:rPr>
          <w:rFonts w:ascii="Times New Roman" w:eastAsia="Times New Roman" w:hAnsi="Times New Roman" w:cs="Times New Roman"/>
          <w:kern w:val="0"/>
          <w14:ligatures w14:val="none"/>
        </w:rPr>
        <w:t>, not a collection of microservices.</w:t>
      </w:r>
    </w:p>
    <w:p w14:paraId="378157C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keeps Version 1 substantially easier to build, test, and modify while preserving clean module boundaries for future separation.</w:t>
      </w:r>
    </w:p>
    <w:p w14:paraId="781076F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20938">
          <v:rect id="_x0000_i1028" style="width:0;height:1.5pt" o:hralign="center" o:hrstd="t" o:hr="t" fillcolor="#a0a0a0" stroked="f"/>
        </w:pict>
      </w:r>
    </w:p>
    <w:p w14:paraId="2AB15C4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Proposed Technology Stack</w:t>
      </w:r>
    </w:p>
    <w:p w14:paraId="712E6C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technologies can change during implementation if a practical limitation appears, but Version 1 should use a conventional web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935"/>
      </w:tblGrid>
      <w:tr w:rsidR="00A2266A" w:rsidRPr="00A2266A" w14:paraId="0B077D22" w14:textId="77777777">
        <w:trPr>
          <w:tblHeader/>
          <w:tblCellSpacing w:w="15" w:type="dxa"/>
        </w:trPr>
        <w:tc>
          <w:tcPr>
            <w:tcW w:w="0" w:type="auto"/>
            <w:vAlign w:val="center"/>
            <w:hideMark/>
          </w:tcPr>
          <w:p w14:paraId="1CFDDBFB"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Layer</w:t>
            </w:r>
          </w:p>
        </w:tc>
        <w:tc>
          <w:tcPr>
            <w:tcW w:w="0" w:type="auto"/>
            <w:vAlign w:val="center"/>
            <w:hideMark/>
          </w:tcPr>
          <w:p w14:paraId="51ECF889"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Proposed Technology</w:t>
            </w:r>
          </w:p>
        </w:tc>
      </w:tr>
      <w:tr w:rsidR="00A2266A" w:rsidRPr="00A2266A" w14:paraId="0AEB352E" w14:textId="77777777">
        <w:trPr>
          <w:tblCellSpacing w:w="15" w:type="dxa"/>
        </w:trPr>
        <w:tc>
          <w:tcPr>
            <w:tcW w:w="0" w:type="auto"/>
            <w:vAlign w:val="center"/>
            <w:hideMark/>
          </w:tcPr>
          <w:p w14:paraId="3958414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Frontend</w:t>
            </w:r>
          </w:p>
        </w:tc>
        <w:tc>
          <w:tcPr>
            <w:tcW w:w="0" w:type="auto"/>
            <w:vAlign w:val="center"/>
            <w:hideMark/>
          </w:tcPr>
          <w:p w14:paraId="09CCA53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React + TypeScript</w:t>
            </w:r>
          </w:p>
        </w:tc>
      </w:tr>
      <w:tr w:rsidR="00A2266A" w:rsidRPr="00A2266A" w14:paraId="6937EFD0" w14:textId="77777777">
        <w:trPr>
          <w:tblCellSpacing w:w="15" w:type="dxa"/>
        </w:trPr>
        <w:tc>
          <w:tcPr>
            <w:tcW w:w="0" w:type="auto"/>
            <w:vAlign w:val="center"/>
            <w:hideMark/>
          </w:tcPr>
          <w:p w14:paraId="7C63E5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Web Application Framework</w:t>
            </w:r>
          </w:p>
        </w:tc>
        <w:tc>
          <w:tcPr>
            <w:tcW w:w="0" w:type="auto"/>
            <w:vAlign w:val="center"/>
            <w:hideMark/>
          </w:tcPr>
          <w:p w14:paraId="1F64630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w:t>
            </w:r>
          </w:p>
        </w:tc>
      </w:tr>
      <w:tr w:rsidR="00A2266A" w:rsidRPr="00A2266A" w14:paraId="44543065" w14:textId="77777777">
        <w:trPr>
          <w:tblCellSpacing w:w="15" w:type="dxa"/>
        </w:trPr>
        <w:tc>
          <w:tcPr>
            <w:tcW w:w="0" w:type="auto"/>
            <w:vAlign w:val="center"/>
            <w:hideMark/>
          </w:tcPr>
          <w:p w14:paraId="21F7EA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Backend/API</w:t>
            </w:r>
          </w:p>
        </w:tc>
        <w:tc>
          <w:tcPr>
            <w:tcW w:w="0" w:type="auto"/>
            <w:vAlign w:val="center"/>
            <w:hideMark/>
          </w:tcPr>
          <w:p w14:paraId="3EEA79E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 server/API layer</w:t>
            </w:r>
          </w:p>
        </w:tc>
      </w:tr>
      <w:tr w:rsidR="00A2266A" w:rsidRPr="00A2266A" w14:paraId="3801ECD0" w14:textId="77777777">
        <w:trPr>
          <w:tblCellSpacing w:w="15" w:type="dxa"/>
        </w:trPr>
        <w:tc>
          <w:tcPr>
            <w:tcW w:w="0" w:type="auto"/>
            <w:vAlign w:val="center"/>
            <w:hideMark/>
          </w:tcPr>
          <w:p w14:paraId="6CD16E7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Database</w:t>
            </w:r>
          </w:p>
        </w:tc>
        <w:tc>
          <w:tcPr>
            <w:tcW w:w="0" w:type="auto"/>
            <w:vAlign w:val="center"/>
            <w:hideMark/>
          </w:tcPr>
          <w:p w14:paraId="39882B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w:t>
            </w:r>
          </w:p>
        </w:tc>
      </w:tr>
      <w:tr w:rsidR="00A2266A" w:rsidRPr="00A2266A" w14:paraId="0DC41A7B" w14:textId="77777777">
        <w:trPr>
          <w:tblCellSpacing w:w="15" w:type="dxa"/>
        </w:trPr>
        <w:tc>
          <w:tcPr>
            <w:tcW w:w="0" w:type="auto"/>
            <w:vAlign w:val="center"/>
            <w:hideMark/>
          </w:tcPr>
          <w:p w14:paraId="3CE6BF8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ORM</w:t>
            </w:r>
          </w:p>
        </w:tc>
        <w:tc>
          <w:tcPr>
            <w:tcW w:w="0" w:type="auto"/>
            <w:vAlign w:val="center"/>
            <w:hideMark/>
          </w:tcPr>
          <w:p w14:paraId="7B4E815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Prisma</w:t>
            </w:r>
          </w:p>
        </w:tc>
      </w:tr>
      <w:tr w:rsidR="00A2266A" w:rsidRPr="00A2266A" w14:paraId="3E0A1CB3" w14:textId="77777777">
        <w:trPr>
          <w:tblCellSpacing w:w="15" w:type="dxa"/>
        </w:trPr>
        <w:tc>
          <w:tcPr>
            <w:tcW w:w="0" w:type="auto"/>
            <w:vAlign w:val="center"/>
            <w:hideMark/>
          </w:tcPr>
          <w:p w14:paraId="3738A58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Browser Extension</w:t>
            </w:r>
          </w:p>
        </w:tc>
        <w:tc>
          <w:tcPr>
            <w:tcW w:w="0" w:type="auto"/>
            <w:vAlign w:val="center"/>
            <w:hideMark/>
          </w:tcPr>
          <w:p w14:paraId="13339C9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TypeScript + Chrome Manifest V3</w:t>
            </w:r>
          </w:p>
        </w:tc>
      </w:tr>
      <w:tr w:rsidR="00A2266A" w:rsidRPr="00A2266A" w14:paraId="4315DD42" w14:textId="77777777">
        <w:trPr>
          <w:tblCellSpacing w:w="15" w:type="dxa"/>
        </w:trPr>
        <w:tc>
          <w:tcPr>
            <w:tcW w:w="0" w:type="auto"/>
            <w:vAlign w:val="center"/>
            <w:hideMark/>
          </w:tcPr>
          <w:p w14:paraId="24FBD77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AI Layer</w:t>
            </w:r>
          </w:p>
        </w:tc>
        <w:tc>
          <w:tcPr>
            <w:tcW w:w="0" w:type="auto"/>
            <w:vAlign w:val="center"/>
            <w:hideMark/>
          </w:tcPr>
          <w:p w14:paraId="6C84F0C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API with structured JSON outputs</w:t>
            </w:r>
          </w:p>
        </w:tc>
      </w:tr>
      <w:tr w:rsidR="00A2266A" w:rsidRPr="00A2266A" w14:paraId="4FA09F16" w14:textId="77777777">
        <w:trPr>
          <w:tblCellSpacing w:w="15" w:type="dxa"/>
        </w:trPr>
        <w:tc>
          <w:tcPr>
            <w:tcW w:w="0" w:type="auto"/>
            <w:vAlign w:val="center"/>
            <w:hideMark/>
          </w:tcPr>
          <w:p w14:paraId="38D5F43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Validation</w:t>
            </w:r>
          </w:p>
        </w:tc>
        <w:tc>
          <w:tcPr>
            <w:tcW w:w="0" w:type="auto"/>
            <w:vAlign w:val="center"/>
            <w:hideMark/>
          </w:tcPr>
          <w:p w14:paraId="030771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Zod / JSON Schema</w:t>
            </w:r>
          </w:p>
        </w:tc>
      </w:tr>
      <w:tr w:rsidR="00A2266A" w:rsidRPr="00A2266A" w14:paraId="3BF167FE" w14:textId="77777777">
        <w:trPr>
          <w:tblCellSpacing w:w="15" w:type="dxa"/>
        </w:trPr>
        <w:tc>
          <w:tcPr>
            <w:tcW w:w="0" w:type="auto"/>
            <w:vAlign w:val="center"/>
            <w:hideMark/>
          </w:tcPr>
          <w:p w14:paraId="6003F3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Background Jobs</w:t>
            </w:r>
          </w:p>
        </w:tc>
        <w:tc>
          <w:tcPr>
            <w:tcW w:w="0" w:type="auto"/>
            <w:vAlign w:val="center"/>
            <w:hideMark/>
          </w:tcPr>
          <w:p w14:paraId="129D69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Lightweight job queue/worker</w:t>
            </w:r>
          </w:p>
        </w:tc>
      </w:tr>
      <w:tr w:rsidR="00A2266A" w:rsidRPr="00A2266A" w14:paraId="48F20E49" w14:textId="77777777">
        <w:trPr>
          <w:tblCellSpacing w:w="15" w:type="dxa"/>
        </w:trPr>
        <w:tc>
          <w:tcPr>
            <w:tcW w:w="0" w:type="auto"/>
            <w:vAlign w:val="center"/>
            <w:hideMark/>
          </w:tcPr>
          <w:p w14:paraId="372F58C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Testing</w:t>
            </w:r>
          </w:p>
        </w:tc>
        <w:tc>
          <w:tcPr>
            <w:tcW w:w="0" w:type="auto"/>
            <w:vAlign w:val="center"/>
            <w:hideMark/>
          </w:tcPr>
          <w:p w14:paraId="2E6DE4D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Vitest/Jest + Playwright</w:t>
            </w:r>
          </w:p>
        </w:tc>
      </w:tr>
      <w:tr w:rsidR="00A2266A" w:rsidRPr="00A2266A" w14:paraId="48F7DB45" w14:textId="77777777">
        <w:trPr>
          <w:tblCellSpacing w:w="15" w:type="dxa"/>
        </w:trPr>
        <w:tc>
          <w:tcPr>
            <w:tcW w:w="0" w:type="auto"/>
            <w:vAlign w:val="center"/>
            <w:hideMark/>
          </w:tcPr>
          <w:p w14:paraId="091AE71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 Control</w:t>
            </w:r>
          </w:p>
        </w:tc>
        <w:tc>
          <w:tcPr>
            <w:tcW w:w="0" w:type="auto"/>
            <w:vAlign w:val="center"/>
            <w:hideMark/>
          </w:tcPr>
          <w:p w14:paraId="6820AF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Git</w:t>
            </w:r>
          </w:p>
        </w:tc>
      </w:tr>
    </w:tbl>
    <w:p w14:paraId="67A3AF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MVP should avoid introducing infrastructure such as Kubernetes, Kafka, or multiple independent backend services unless actual scale requires them later.</w:t>
      </w:r>
    </w:p>
    <w:p w14:paraId="0D96350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87EE9">
          <v:rect id="_x0000_i1029" style="width:0;height:1.5pt" o:hralign="center" o:hrstd="t" o:hr="t" fillcolor="#a0a0a0" stroked="f"/>
        </w:pict>
      </w:r>
    </w:p>
    <w:p w14:paraId="567CBFC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Repository Structure</w:t>
      </w:r>
    </w:p>
    <w:p w14:paraId="0AD53F2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single repository should contain the platform and domain modules.</w:t>
      </w:r>
    </w:p>
    <w:p w14:paraId="31E3C4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ai-career-assistant-platform/</w:t>
      </w:r>
    </w:p>
    <w:p w14:paraId="09E448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5AE646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apps/</w:t>
      </w:r>
    </w:p>
    <w:p w14:paraId="5E4DEF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web/</w:t>
      </w:r>
    </w:p>
    <w:p w14:paraId="6EDB6B3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extension/</w:t>
      </w:r>
    </w:p>
    <w:p w14:paraId="72AC75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D2FC6B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packages/</w:t>
      </w:r>
    </w:p>
    <w:p w14:paraId="0CE7F9F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core/</w:t>
      </w:r>
    </w:p>
    <w:p w14:paraId="3A6DEA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 discovery/</w:t>
      </w:r>
    </w:p>
    <w:p w14:paraId="25C256D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normalization/</w:t>
      </w:r>
    </w:p>
    <w:p w14:paraId="2B89C81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deduplication/</w:t>
      </w:r>
    </w:p>
    <w:p w14:paraId="5FCE53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evidence/</w:t>
      </w:r>
    </w:p>
    <w:p w14:paraId="0955101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evaluation/</w:t>
      </w:r>
    </w:p>
    <w:p w14:paraId="1F57DB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analytics/</w:t>
      </w:r>
    </w:p>
    <w:p w14:paraId="0894B14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shared/</w:t>
      </w:r>
    </w:p>
    <w:p w14:paraId="4B61DA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40E9ED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domains/</w:t>
      </w:r>
    </w:p>
    <w:p w14:paraId="3FF0C4A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customer-success/</w:t>
      </w:r>
    </w:p>
    <w:p w14:paraId="12B5CC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freelance-writing/</w:t>
      </w:r>
    </w:p>
    <w:p w14:paraId="6365F3E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94B72F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database/</w:t>
      </w:r>
    </w:p>
    <w:p w14:paraId="3E861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898583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477DFD0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76163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docs/</w:t>
      </w:r>
    </w:p>
    <w:p w14:paraId="7E33949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modules contain their own:</w:t>
      </w:r>
    </w:p>
    <w:p w14:paraId="1BD87CAA"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criteria </w:t>
      </w:r>
    </w:p>
    <w:p w14:paraId="5B333988"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rules </w:t>
      </w:r>
    </w:p>
    <w:p w14:paraId="573303F3"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configuration </w:t>
      </w:r>
    </w:p>
    <w:p w14:paraId="5B2B708B"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Prompts </w:t>
      </w:r>
    </w:p>
    <w:p w14:paraId="2C897A96"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Output schemas </w:t>
      </w:r>
    </w:p>
    <w:p w14:paraId="31308A29"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E310D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should consume Core Platform interfaces rather than modifying Core code.</w:t>
      </w:r>
    </w:p>
    <w:p w14:paraId="2AD35FB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99B1E">
          <v:rect id="_x0000_i1030" style="width:0;height:1.5pt" o:hralign="center" o:hrstd="t" o:hr="t" fillcolor="#a0a0a0" stroked="f"/>
        </w:pict>
      </w:r>
    </w:p>
    <w:p w14:paraId="0A0C170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Core Data Model</w:t>
      </w:r>
    </w:p>
    <w:p w14:paraId="0CDBFA5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central object is an </w:t>
      </w:r>
      <w:r>
        <w:rPr>
          <w:rFonts w:ascii="Times New Roman" w:eastAsia="Times New Roman" w:hAnsi="Times New Roman" w:cs="Times New Roman"/>
          <w:b/>
          <w:bCs/>
          <w:kern w:val="0"/>
          <w14:ligatures w14:val="none"/>
        </w:rPr>
        <w:t>Opportunity</w:t>
      </w:r>
      <w:r>
        <w:rPr>
          <w:rFonts w:ascii="Times New Roman" w:eastAsia="Times New Roman" w:hAnsi="Times New Roman" w:cs="Times New Roman"/>
          <w:kern w:val="0"/>
          <w14:ligatures w14:val="none"/>
        </w:rPr>
        <w:t>.</w:t>
      </w:r>
    </w:p>
    <w:p w14:paraId="6E2018D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source must ultimately produce the same normalized structure.</w:t>
      </w:r>
    </w:p>
    <w:p w14:paraId="60671C78"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Opportunity</w:t>
      </w:r>
    </w:p>
    <w:p w14:paraId="6EBC125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Opportunity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2B7B1B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w:t>
      </w:r>
    </w:p>
    <w:p w14:paraId="2CD3C89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53C344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052FDD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1855FEF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remoteStatus / workArrangement</w:t>
      </w:r>
    </w:p>
    <w:p w14:paraId="2617318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seniority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department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salaryText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salaryMin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salaryMax</w:t>
      </w:r>
    </w:p>
    <w:p w14:paraId="0B58D1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currency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residencyRequirement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residencyRegions[]</w:t>
      </w:r>
    </w:p>
    <w:p w14:paraId="69739F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travelRequirement</w:t>
      </w:r>
    </w:p>
    <w:p w14:paraId="13AB4E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timezoneRequirement</w:t>
      </w:r>
    </w:p>
    <w:p w14:paraId="2DF295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4E5B54A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closingDate</w:t>
      </w:r>
    </w:p>
    <w:p w14:paraId="20CAA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canonicalUrl</w:t>
      </w:r>
    </w:p>
    <w:p w14:paraId="18E08EB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applicationUrl</w:t>
      </w:r>
    </w:p>
    <w:p w14:paraId="79CED9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sourceRecords[]</w:t>
      </w:r>
    </w:p>
    <w:p w14:paraId="0F6D26C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firstSeen</w:t>
      </w:r>
    </w:p>
    <w:p w14:paraId="69764F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lastSeen</w:t>
      </w:r>
    </w:p>
    <w:p w14:paraId="7AD5CBB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status</w:t>
      </w:r>
    </w:p>
    <w:p w14:paraId="76F494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Fields may contain explicit unknown states when information is unavailable.</w:t>
      </w:r>
    </w:p>
    <w:p w14:paraId="1FE56F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0AC03">
          <v:rect id="_x0000_i1031" style="width:0;height:1.5pt" o:hralign="center" o:hrstd="t" o:hr="t" fillcolor="#a0a0a0" stroked="f"/>
        </w:pict>
      </w:r>
    </w:p>
    <w:p w14:paraId="3FFF8D4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Source Record</w:t>
      </w:r>
    </w:p>
    <w:p w14:paraId="49DC9D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discovered copy of an opportunity should remain traceable.</w:t>
      </w:r>
    </w:p>
    <w:p w14:paraId="2F9E078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SourceRecord</w:t>
      </w:r>
    </w:p>
    <w:p w14:paraId="5C949C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4C4EDE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08B2F45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54534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pPr/>
      <w:r>
        <w:t>├── retrievalType</w:t>
      </w:r>
    </w:p>
    <w:p>
      <w:pPr/>
      <w:r>
        <w:t>├── sourceCategory</w:t>
      </w:r>
    </w:p>
    <w:p w14:paraId="19E51A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0539027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7208E9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70BC86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rawTitle</w:t>
      </w:r>
    </w:p>
    <w:p w14:paraId="5A1491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rawCompany</w:t>
      </w:r>
    </w:p>
    <w:p w14:paraId="62172E6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rawLocation</w:t>
      </w:r>
    </w:p>
    <w:p w14:paraId="2E5C3A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rawDescription</w:t>
      </w:r>
    </w:p>
    <w:p w14:paraId="232FB30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discoveredAt</w:t>
      </w:r>
    </w:p>
    <w:p w14:paraId="77F2CF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lastObservedAt</w:t>
      </w:r>
    </w:p>
    <w:p w14:paraId="391907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one opportunity to originate from:</w:t>
      </w:r>
    </w:p>
    <w:p w14:paraId="103881C4"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62D6E94F"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Greenhouse </w:t>
      </w:r>
    </w:p>
    <w:p w14:paraId="69C162E0"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Adzuna </w:t>
      </w:r>
    </w:p>
    <w:p w14:paraId="3AFB09C9"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company website </w:t>
      </w:r>
    </w:p>
    <w:p w14:paraId="4BB338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creating four separate jobs in the user's pipeline.</w:t>
      </w:r>
    </w:p>
    <w:p w14:paraId="35957B6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3A7F7">
          <v:rect id="_x0000_i1032" style="width:0;height:1.5pt" o:hralign="center" o:hrstd="t" o:hr="t" fillcolor="#a0a0a0" stroked="f"/>
        </w:pict>
      </w:r>
    </w:p>
    <w:p>
      <w:pPr/>
      <w:r>
        <w:t>8. Discovery Interface</w:t>
      </w:r>
    </w:p>
    <w:p>
      <w:pPr/>
      <w:r>
        <w:t>Every collector should implement a shared contract.</w:t>
      </w:r>
    </w:p>
    <w:p>
      <w:pPr/>
      <w:r>
        <w:t>Conceptually:</w:t>
      </w:r>
    </w:p>
    <w:p>
      <w:pPr/>
      <w:r>
        <w:t>interface OpportunityCollector {</w:t>
      </w:r>
    </w:p>
    <w:p>
      <w:pPr/>
      <w:r>
        <w:t xml:space="preserve"> collect(): Promise&lt;RawOpportunity[]&gt;;</w:t>
      </w:r>
    </w:p>
    <w:p>
      <w:pPr/>
      <w:r>
        <w:t>}</w:t>
      </w:r>
    </w:p>
    <w:p>
      <w:pPr/>
      <w:r>
        <w:t>Each source adapter is responsible only for obtaining source data. It should not decide whether an opportunity is good.</w:t>
      </w:r>
    </w:p>
    <w:p>
      <w:pPr/>
      <w:r>
        <w:t>Collector Retrieval Types</w:t>
      </w:r>
    </w:p>
    <w:p>
      <w:pPr/>
      <w:r>
        <w:t>OFFICIAL_PUBLIC_API_FEED — Type #1</w:t>
      </w:r>
    </w:p>
    <w:p>
      <w:pPr/>
      <w:r>
        <w:t>BROWSER_ASSISTED — Type #2</w:t>
      </w:r>
    </w:p>
    <w:p>
      <w:pPr/>
      <w:r>
        <w:t>PUBLIC_GUEST_INTERNAL_ENDPOINT — Type #3</w:t>
      </w:r>
    </w:p>
    <w:p>
      <w:pPr/>
      <w:r>
        <w:t>PUBLIC_HTML — Type #4</w:t>
      </w:r>
    </w:p>
    <w:p>
      <w:pPr/>
      <w:r>
        <w:t>FUTURE_COMPANY_WATCHLIST — future mechanism</w:t>
      </w:r>
    </w:p>
    <w:p>
      <w:pPr/>
      <w:r>
        <w:t>Source business category (for example ATS, marketplace, job board, or company careers site) must be stored separately from retrieval type.</w:t>
      </w:r>
    </w:p>
    <w:p>
      <w:pPr/>
      <w:r>
        <w:t>9. Browser-Assisted Collection Architecture</w:t>
      </w:r>
    </w:p>
    <w:p>
      <w:pPr/>
      <w:r>
        <w:t>Browser-assisted collection is reserved for sources whose verified collection strategy requires or benefits from browser interaction rather than direct structured/public collection.</w:t>
      </w:r>
    </w:p>
    <w:p>
      <w:pPr/>
      <w:r>
        <w:t>Version 1 verified browser-assisted sources include LinkedIn and Upwork.</w:t>
      </w:r>
    </w:p>
    <w:p>
      <w:pPr/>
      <w:r>
        <w:t>Public discovery and the user's authenticated account session are separate concerns. A collector may discover a public opportunity and return its direct URL; when the user opens that URL in their normal browser, the site may use the user's existing authenticated session for application or account-specific actions.</w:t>
      </w:r>
    </w:p>
    <w:p>
      <w:pPr/>
      <w:r>
        <w:t>Browser-assisted collection may use the Chrome extension or another controlled browser workflow depending on the source. It must avoid unnecessary bulk requests and must not automate application submission.</w:t>
      </w:r>
    </w:p>
    <w:p>
      <w:pPr/>
      <w:r>
        <w:t>10. Public &amp; ATS Collection Architecture</w:t>
      </w:r>
    </w:p>
    <w:p>
      <w:pPr/>
      <w:r>
        <w:t>All non-browser source adapters implement the same collector contract while using the source's verified retrieval method.</w:t>
      </w:r>
    </w:p>
    <w:p>
      <w:pPr/>
      <w:r>
        <w:t>Verified Type #1 sources: Himalayas, We Work Remotely, Working Nomads, Remote OK, Greenhouse, Lever, Ashby, SmartRecruiters, and Adzuna.</w:t>
      </w:r>
    </w:p>
    <w:p>
      <w:pPr/>
      <w:r>
        <w:t>Verified Type #3 sources: Welcome to the Jungle / Otta, Workable, and Workday.</w:t>
      </w:r>
    </w:p>
    <w:p>
      <w:pPr/>
      <w:r>
        <w:t>Verified Type #4 sources: ProBlogger, Mediabistro, and Wellfound.</w:t>
      </w:r>
    </w:p>
    <w:p>
      <w:pPr/>
      <w:r>
        <w:t>ATS is not itself a retrieval type. Greenhouse, Lever, Ashby, and SmartRecruiters currently use Type #1 adapters; Workable and Workday use Type #3 adapters.</w:t>
      </w:r>
    </w:p>
    <w:p>
      <w:pPr/>
      <w:r>
        <w:t>Adapter Selection Rule</w:t>
      </w:r>
    </w:p>
    <w:p>
      <w:pPr/>
      <w:r>
        <w:t>Use the strongest verified and appropriate interface. Do not stop at the first technically usable endpoint. Prefer an official/public API or feed when one is available; otherwise use the verified public/guest endpoint or public HTML method. The existence of GraphQL, JavaScript configuration, or a request name is not sufficient evidence by itself—the response must contain the required opportunity data.</w:t>
      </w:r>
    </w:p>
    <w:p>
      <w:pPr/>
      <w:r>
        <w:t>Network Inspection Rule</w:t>
      </w:r>
    </w:p>
    <w:p>
      <w:pPr/>
      <w:r>
        <w:t>When validating a new source, inspect both promising Fetch/XHR responses and the main document response. Ignore analytics, telemetry, attribution, localization, and similar requests unless they actually contain opportunity data.</w:t>
      </w:r>
    </w:p>
    <w:p w14:paraId="7E4A750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Raw Opportunity</w:t>
      </w:r>
    </w:p>
    <w:p w14:paraId="09784B5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Collectors should first produce a minimally processed record.</w:t>
      </w:r>
    </w:p>
    <w:p w14:paraId="66EFD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RawOpportunity</w:t>
      </w:r>
    </w:p>
    <w:p w14:paraId="1AF33F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00DB0E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6ECACF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596BB1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29455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7FA3916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410D6A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3ABC24F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5EE3F2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salaryText</w:t>
      </w:r>
    </w:p>
    <w:p w14:paraId="69D5248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30E689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1741AA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sourceMetadata</w:t>
      </w:r>
    </w:p>
    <w:p w14:paraId="4D305A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raw record must be preserved before normalization.</w:t>
      </w:r>
    </w:p>
    <w:p w14:paraId="530A79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information loss and allows normalization logic to be corrected later without recollecting the listing.</w:t>
      </w:r>
    </w:p>
    <w:p w14:paraId="53E590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DEC387">
          <v:rect id="_x0000_i1038" style="width:0;height:1.5pt" o:hralign="center" o:hrstd="t" o:hr="t" fillcolor="#a0a0a0" stroked="f"/>
        </w:pict>
      </w:r>
    </w:p>
    <w:p w14:paraId="28F1EBD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Normalization Engine</w:t>
      </w:r>
    </w:p>
    <w:p w14:paraId="63F21E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Normalization Engine converts </w:t>
      </w:r>
      <w:r>
        <w:rPr>
          <w:rFonts w:ascii="Courier New" w:eastAsia="Times New Roman" w:hAnsi="Courier New" w:cs="Courier New"/>
          <w:kern w:val="0"/>
          <w:sz w:val="20"/>
          <w:szCs w:val="20"/>
          <w14:ligatures w14:val="none"/>
        </w:rPr>
        <w:t>RawOpportunity</w:t>
      </w:r>
      <w:r>
        <w:rPr>
          <w:rFonts w:ascii="Times New Roman" w:eastAsia="Times New Roman" w:hAnsi="Times New Roman" w:cs="Times New Roman"/>
          <w:kern w:val="0"/>
          <w14:ligatures w14:val="none"/>
        </w:rPr>
        <w:t xml:space="preserve"> into standardized fields.</w:t>
      </w:r>
    </w:p>
    <w:p w14:paraId="5A853A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Responsibilities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company names. </w:t>
      </w:r>
    </w:p>
    <w:p w14:paraId="2CB0C5BC"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employment types. </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stated compensation into salary bounds/currency only when deterministic evidence supports it.</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location and remote/work-arrangement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explicit residency eligibility/restriction into residencyRequirement and supported residencyRegions.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dates and other supported factual fields.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original text and raw source payloads.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field-level provenance for normalized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persist FX-converted salary amounts; conversion for domain policy is evaluation-time/versioned infrastructure.</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Represent unavailable, ambiguous, or conflicting information as Unknown rather than guessing.</w:t>
      </w:r>
    </w:p>
    <w:p w14:paraId="13E6355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019815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RawOpportunity → Field Parsing → Standardization → Validation → Normalized Opportunity</w:t>
      </w:r>
    </w:p>
    <w:p w14:paraId="42894E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FFE4C4">
          <v:rect id="_x0000_i1039" style="width:0;height:1.5pt" o:hralign="center" o:hrstd="t" o:hr="t" fillcolor="#a0a0a0" stroked="f"/>
        </w:pict>
      </w:r>
    </w:p>
    <w:p w14:paraId="288A474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Field Provenance</w:t>
      </w:r>
    </w:p>
    <w:p w14:paraId="5BDE70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Normalized fields should retain their source.</w:t>
      </w:r>
    </w:p>
    <w:p w14:paraId="7F9E012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B9FB1C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salary:</w:t>
      </w:r>
    </w:p>
    <w:p w14:paraId="6872F8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min: 65000</w:t>
      </w:r>
    </w:p>
    <w:p w14:paraId="1DB719E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max: 95000</w:t>
      </w:r>
    </w:p>
    <w:p w14:paraId="1469D8D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currency: USD</w:t>
      </w:r>
    </w:p>
    <w:p w14:paraId="3BAF5CE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518B223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 job_description</w:t>
      </w:r>
    </w:p>
    <w:p w14:paraId="61AC893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text: "$65,000 - $95,000 USD"</w: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important because later evaluation stages need to know </w:t>
      </w:r>
      <w:r>
        <w:rPr>
          <w:rFonts w:ascii="Times New Roman" w:eastAsia="Times New Roman" w:hAnsi="Times New Roman" w:cs="Times New Roman"/>
          <w:b/>
          <w:bCs/>
          <w:kern w:val="0"/>
          <w14:ligatures w14:val="none"/>
        </w:rPr>
        <w:t>where a fact came from</w:t>
      </w:r>
      <w:r>
        <w:rPr>
          <w:rFonts w:ascii="Times New Roman" w:eastAsia="Times New Roman" w:hAnsi="Times New Roman" w:cs="Times New Roman"/>
          <w:kern w:val="0"/>
          <w14:ligatures w14:val="none"/>
        </w:rPr>
        <w:t>.</w:t>
      </w:r>
    </w:p>
    <w:p w14:paraId="41C102A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F7FB0F">
          <v:rect id="_x0000_i1040" style="width:0;height:1.5pt" o:hralign="center" o:hrstd="t" o:hr="t" fillcolor="#a0a0a0" stroked="f"/>
        </w:pic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and compensation provenance must identify the actual source field/text that established the normalized value; ordinary location text or salary currency must not be treated as residency evidence.</w:t>
      </w:r>
    </w:p>
    <w:p w14:paraId="248F43F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272F344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 should occur in two layers.</w:t>
      </w:r>
    </w:p>
    <w:p w14:paraId="58F517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1 — Deterministic Matching</w:t>
      </w:r>
    </w:p>
    <w:p w14:paraId="4D88F5F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w:t>
      </w:r>
    </w:p>
    <w:p w14:paraId="1A5011A5"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CC19A6C"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ID </w:t>
      </w:r>
    </w:p>
    <w:p w14:paraId="7A4DCC8A"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15ACC9E3"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listing ID </w:t>
      </w:r>
    </w:p>
    <w:p w14:paraId="20C9D7C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strong identifier match can automatically merge records.</w:t>
      </w:r>
    </w:p>
    <w:p w14:paraId="7A674CE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2 — Probabilistic Matching</w:t>
      </w:r>
    </w:p>
    <w:p w14:paraId="67FEE7F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identifiers are unavailable, compare:</w:t>
      </w:r>
    </w:p>
    <w:p w14:paraId="39155CF9"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039C946D"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 </w:t>
      </w:r>
    </w:p>
    <w:p w14:paraId="28F6D6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20905348"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5BD7B60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7D6E8E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w:t>
      </w:r>
    </w:p>
    <w:p w14:paraId="155E60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engine should calculate a duplicate confidence value.</w:t>
      </w:r>
    </w:p>
    <w:p w14:paraId="60B0B1E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674FB4">
          <v:rect id="_x0000_i1041" style="width:0;height:1.5pt" o:hralign="center" o:hrstd="t" o:hr="t" fillcolor="#a0a0a0" stroked="f"/>
        </w:pict>
      </w:r>
    </w:p>
    <w:p w14:paraId="75A4F26E"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Outcomes</w:t>
      </w:r>
    </w:p>
    <w:p w14:paraId="53F5632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MATCH</w:t>
      </w:r>
    </w:p>
    <w:p w14:paraId="07EA302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PROBABLE_MATCH</w:t>
      </w:r>
    </w:p>
    <w:p w14:paraId="3E471A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NO_MATCH</w:t>
      </w:r>
    </w:p>
    <w:p w14:paraId="48C0EC3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MATCH</w:t>
      </w:r>
      <w:r>
        <w:rPr>
          <w:rFonts w:ascii="Times New Roman" w:eastAsia="Times New Roman" w:hAnsi="Times New Roman" w:cs="Times New Roman"/>
          <w:kern w:val="0"/>
          <w14:ligatures w14:val="none"/>
        </w:rPr>
        <w:t xml:space="preserve"> may merge automatically.</w:t>
      </w:r>
    </w:p>
    <w:p w14:paraId="2C3246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PROBABLE_MATCH</w:t>
      </w:r>
      <w:r>
        <w:rPr>
          <w:rFonts w:ascii="Times New Roman" w:eastAsia="Times New Roman" w:hAnsi="Times New Roman" w:cs="Times New Roman"/>
          <w:kern w:val="0"/>
          <w14:ligatures w14:val="none"/>
        </w:rPr>
        <w:t xml:space="preserve"> should be preserved for review or additional comparison.</w:t>
      </w:r>
    </w:p>
    <w:p w14:paraId="1FC4C50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lastRenderedPageBreak/>
        <w:t>NO_MATCH</w:t>
      </w:r>
      <w:r>
        <w:rPr>
          <w:rFonts w:ascii="Times New Roman" w:eastAsia="Times New Roman" w:hAnsi="Times New Roman" w:cs="Times New Roman"/>
          <w:kern w:val="0"/>
          <w14:ligatures w14:val="none"/>
        </w:rPr>
        <w:t xml:space="preserve"> creates a new opportunity.</w:t>
      </w:r>
    </w:p>
    <w:p w14:paraId="5AC65F1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69A3C0">
          <v:rect id="_x0000_i1042" style="width:0;height:1.5pt" o:hralign="center" o:hrstd="t" o:hr="t" fillcolor="#a0a0a0" stroked="f"/>
        </w:pict>
      </w:r>
    </w:p>
    <w:p w14:paraId="073A401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Canonical Opportunity Selection</w:t>
      </w:r>
    </w:p>
    <w:p w14:paraId="60B939D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multiple records represent the same opportunity, select one canonical record.</w:t>
      </w:r>
    </w:p>
    <w:p w14:paraId="3CED19F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source order should generally favor:</w:t>
      </w:r>
    </w:p>
    <w:p w14:paraId="6F09F4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Employer ATS/Company Posting → Other Original Posting → Aggregator → Search Result</w:t>
      </w:r>
    </w:p>
    <w:p w14:paraId="6BEDB9B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preference affects the canonical application link,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evaluation.</w:t>
      </w:r>
    </w:p>
    <w:p w14:paraId="19FB4F1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sources remain attached to the opportunity.</w:t>
      </w:r>
    </w:p>
    <w:p w14:paraId="59151D0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BBE439">
          <v:rect id="_x0000_i1043" style="width:0;height:1.5pt" o:hralign="center" o:hrstd="t" o:hr="t" fillcolor="#a0a0a0" stroked="f"/>
        </w:pict>
      </w:r>
    </w:p>
    <w:p w14:paraId="1A08B92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Domain Evaluation Interface</w:t>
      </w:r>
    </w:p>
    <w:p w14:paraId="5BB37B1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passes normalized opportunities to the selected domain module.</w:t>
      </w:r>
    </w:p>
    <w:p w14:paraId="0F86C3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00BC4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DomainEvaluator {</w:t>
      </w:r>
    </w:p>
    <w:p w14:paraId="1E8D2AA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w:t>
      </w:r>
    </w:p>
    <w:p w14:paraId="28AA41F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 Opportunity,</w:t>
      </w:r>
    </w:p>
    <w:p w14:paraId="26B1F09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 UserProfile</w:t>
      </w:r>
    </w:p>
    <w:p w14:paraId="1367590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Promise&lt;EvaluationResult&gt;;</w:t>
      </w:r>
    </w:p>
    <w:p w14:paraId="7ECF0D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83E1F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325724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CustomerSuccessEvaluator</w:t>
      </w:r>
    </w:p>
    <w:p w14:paraId="541227A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FreelanceWritingEvaluator</w:t>
      </w:r>
    </w:p>
    <w:p w14:paraId="57893DA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implement the same interface while containing entirely different evaluation logic.</w:t>
      </w:r>
    </w:p>
    <w:p w14:paraId="470F7B7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F58FE">
          <v:rect id="_x0000_i1044" style="width:0;height:1.5pt" o:hralign="center" o:hrstd="t" o:hr="t" fillcolor="#a0a0a0" stroked="f"/>
        </w:pict>
      </w:r>
    </w:p>
    <w:p w14:paraId="3800AD32"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Evaluation Stage Interface</w:t>
      </w:r>
    </w:p>
    <w:p w14:paraId="0D012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domain evaluator consists of ordered stages.</w:t>
      </w:r>
    </w:p>
    <w:p w14:paraId="7F747F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Conceptually:</w:t>
      </w:r>
    </w:p>
    <w:p w14:paraId="334DF8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EvaluationStage {</w:t>
      </w:r>
    </w:p>
    <w:p w14:paraId="5132BF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id: string;</w:t>
      </w:r>
    </w:p>
    <w:p w14:paraId="22D840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evaluate(context: EvaluationContext): Promise&lt;StageResult&gt;;</w:t>
      </w:r>
    </w:p>
    <w:p w14:paraId="5D3D7B1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AA8C1A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stages to be:</w:t>
      </w:r>
    </w:p>
    <w:p w14:paraId="571B084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Added </w:t>
      </w:r>
    </w:p>
    <w:p w14:paraId="4318698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Removed </w:t>
      </w:r>
    </w:p>
    <w:p w14:paraId="1A941CB5"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Reordered </w:t>
      </w:r>
    </w:p>
    <w:p w14:paraId="3F1E10FD"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Modified </w:t>
      </w:r>
    </w:p>
    <w:p w14:paraId="7F7E8D74"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Tested independently </w:t>
      </w:r>
    </w:p>
    <w:p w14:paraId="3505894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rewriting the evaluation engine.</w:t>
      </w:r>
    </w:p>
    <w:p w14:paraId="30708FF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75CC88">
          <v:rect id="_x0000_i1045" style="width:0;height:1.5pt" o:hralign="center" o:hrstd="t" o:hr="t" fillcolor="#a0a0a0" stroked="f"/>
        </w:pict>
      </w:r>
    </w:p>
    <w:p w14:paraId="694F8D0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Evaluation Context</w:t>
      </w:r>
    </w:p>
    <w:p w14:paraId="2BE3573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stage receives a shared context.</w:t>
      </w:r>
    </w:p>
    <w:p w14:paraId="4B966A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EvaluationContext</w:t>
      </w:r>
    </w:p>
    <w:p w14:paraId="646E17C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E9254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rawSources</w:t>
      </w:r>
    </w:p>
    <w:p w14:paraId="7EBDC97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51E6BB6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previousStageResults</w:t>
      </w:r>
    </w:p>
    <w:p w14:paraId="1BB09B9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614EA2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domainConfiguration</w:t>
      </w:r>
    </w:p>
    <w:p w14:paraId="20AFED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stages may use earlier results, but they must remain traceable.</w:t>
      </w:r>
    </w:p>
    <w:p w14:paraId="183F51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346974">
          <v:rect id="_x0000_i1046" style="width:0;height:1.5pt" o:hralign="center" o:hrstd="t" o:hr="t" fillcolor="#a0a0a0" stroked="f"/>
        </w:pict>
      </w:r>
    </w:p>
    <w:p w14:paraId="503055D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Deterministic vs AI Evaluation</w:t>
      </w:r>
    </w:p>
    <w:p w14:paraId="695B100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of the most important architecture rules is deciding </w:t>
      </w:r>
      <w:r>
        <w:rPr>
          <w:rFonts w:ascii="Times New Roman" w:eastAsia="Times New Roman" w:hAnsi="Times New Roman" w:cs="Times New Roman"/>
          <w:b/>
          <w:bCs/>
          <w:kern w:val="0"/>
          <w14:ligatures w14:val="none"/>
        </w:rPr>
        <w:t>what AI should and should not decide</w:t>
      </w:r>
      <w:r>
        <w:rPr>
          <w:rFonts w:ascii="Times New Roman" w:eastAsia="Times New Roman" w:hAnsi="Times New Roman" w:cs="Times New Roman"/>
          <w:kern w:val="0"/>
          <w14:ligatures w14:val="none"/>
        </w:rPr>
        <w:t>.</w:t>
      </w:r>
    </w:p>
    <w:p w14:paraId="65837380"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Logic</w:t>
      </w:r>
    </w:p>
    <w:p w14:paraId="7EF2D8D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code for:</w:t>
      </w:r>
    </w:p>
    <w:p w14:paraId="45761DD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5F641B5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travel requirements </w:t>
      </w:r>
    </w:p>
    <w:p w14:paraId="1E7AE9E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6C6CD77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Known location restrictions </w:t>
      </w:r>
    </w:p>
    <w:p w14:paraId="26934DD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employment types </w:t>
      </w:r>
    </w:p>
    <w:p w14:paraId="7C1F22E0"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IDs </w:t>
      </w:r>
    </w:p>
    <w:p w14:paraId="5189D46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FA7268D"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3A7EB79B"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AI/Semantic Analysis</w:t>
      </w:r>
    </w:p>
    <w:p w14:paraId="2A567A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for:</w:t>
      </w:r>
    </w:p>
    <w:p w14:paraId="52AAD9E9"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actual responsibilities </w:t>
      </w:r>
    </w:p>
    <w:p w14:paraId="7F76A9A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underlying workflows </w:t>
      </w:r>
    </w:p>
    <w:p w14:paraId="0657DFC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Determining ownership </w:t>
      </w:r>
    </w:p>
    <w:p w14:paraId="7430F3C3"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Interpreting ambiguous requirements </w:t>
      </w:r>
    </w:p>
    <w:p w14:paraId="150486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scope creep </w:t>
      </w:r>
    </w:p>
    <w:p w14:paraId="69AB0C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Comparing experience semantically </w:t>
      </w:r>
    </w:p>
    <w:p w14:paraId="620DF0B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Inferring operating models </w:t>
      </w:r>
    </w:p>
    <w:p w14:paraId="4BD9693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contradictions </w:t>
      </w:r>
    </w:p>
    <w:p w14:paraId="6EA716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the LLM from becoming an unreliable calculator or rules engine.</w:t>
      </w:r>
    </w:p>
    <w:p w14:paraId="1B0AFEC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E5E21">
          <v:rect id="_x0000_i1047" style="width:0;height:1.5pt" o:hralign="center" o:hrstd="t" o:hr="t" fillcolor="#a0a0a0" stroked="f"/>
        </w:pict>
      </w:r>
    </w:p>
    <w:p w14:paraId="0FDD4CA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AI Evaluation Contract</w:t>
      </w:r>
    </w:p>
    <w:p w14:paraId="37D237C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return structured output rather than uncontrolled prose.</w:t>
      </w:r>
    </w:p>
    <w:p w14:paraId="16B36F7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7CC8FB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559F0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 "role_seniority",</w:t>
      </w:r>
    </w:p>
    <w:p w14:paraId="2660CD8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"classification": "stretch",</w:t>
      </w:r>
    </w:p>
    <w:p w14:paraId="6AB9E8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"confidence": "strong_evidence",</w:t>
      </w:r>
    </w:p>
    <w:p w14:paraId="7906ED3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 [],</w:t>
      </w:r>
    </w:p>
    <w:p w14:paraId="19C667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"reasoning_summary": "",</w:t>
      </w:r>
    </w:p>
    <w:p w14:paraId="6B8874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 [],</w:t>
      </w:r>
    </w:p>
    <w:p w14:paraId="6CFB23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 []</w:t>
      </w:r>
    </w:p>
    <w:p w14:paraId="797EAFD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C2C3CF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validates this structure before accepting the result.</w:t>
      </w:r>
    </w:p>
    <w:p w14:paraId="182ADD2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responses should be retried or marked as evaluation failures rather than silently accepted.</w:t>
      </w:r>
    </w:p>
    <w:p w14:paraId="3F73788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E13C5">
          <v:rect id="_x0000_i104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Semantic-Operation Usage Contract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paid semantic-operation attempt must produce a persistent, domain-neutral usage record linked to its evaluation and opportunity.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provider, model identifier, prompt version, semantic operation or stage, attempt number, duration, status, estimated cost, pricing-configuration version,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input, output, cached, reasoning, and total token counts when reported by the provider. Unreported token categories remain nullable or Unknown and must not be converted to zero.</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retry creates another attempt record and consumes both the per-evaluation call allowance and any applicable reserved or reconciled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Milestone 9 already records semantic-operation usage and provides a restart-safe per-evaluation call budget. These existing capabilities remain the baseline for the broader controls in this version.</w:t>
      </w:r>
    </w:p>
    <w:p w14:paraId="4BE314C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Evidence Ledger</w:t>
      </w:r>
    </w:p>
    <w:p w14:paraId="61A0F2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Every evaluation creates or references evidence records.</w:t>
      </w:r>
    </w:p>
    <w:p w14:paraId="767C764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EvidenceRecord</w:t>
      </w:r>
    </w:p>
    <w:p w14:paraId="1FD2306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5D97924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1AD42D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stageId</w:t>
      </w:r>
    </w:p>
    <w:p w14:paraId="58F1A48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criterionId</w:t>
      </w:r>
    </w:p>
    <w:p w14:paraId="4942807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claim</w:t>
      </w:r>
    </w:p>
    <w:p w14:paraId="1746A3B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14:paraId="0C0307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sourceReference</w:t>
      </w:r>
    </w:p>
    <w:p w14:paraId="6B4D6F5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sourceText</w:t>
      </w:r>
    </w:p>
    <w:p w14:paraId="14B67D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evidenceLevel</w:t>
      </w:r>
    </w:p>
    <w:p w14:paraId="3805301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createdAt</w:t>
      </w:r>
    </w:p>
    <w:p w14:paraId="3A11A2B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Levels</w:t>
      </w:r>
    </w:p>
    <w:p w14:paraId="519B21B6"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confirmed</w:t>
      </w:r>
      <w:r>
        <w:rPr>
          <w:rFonts w:ascii="Times New Roman" w:eastAsia="Times New Roman" w:hAnsi="Times New Roman" w:cs="Times New Roman"/>
          <w:kern w:val="0"/>
          <w14:ligatures w14:val="none"/>
        </w:rPr>
        <w:t xml:space="preserve"> </w:t>
      </w:r>
    </w:p>
    <w:p w14:paraId="476932E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strong_evidence</w:t>
      </w:r>
      <w:r>
        <w:rPr>
          <w:rFonts w:ascii="Times New Roman" w:eastAsia="Times New Roman" w:hAnsi="Times New Roman" w:cs="Times New Roman"/>
          <w:kern w:val="0"/>
          <w14:ligatures w14:val="none"/>
        </w:rPr>
        <w:t xml:space="preserve"> </w:t>
      </w:r>
    </w:p>
    <w:p w14:paraId="29D2EEC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possible</w:t>
      </w:r>
      <w:r>
        <w:rPr>
          <w:rFonts w:ascii="Times New Roman" w:eastAsia="Times New Roman" w:hAnsi="Times New Roman" w:cs="Times New Roman"/>
          <w:kern w:val="0"/>
          <w14:ligatures w14:val="none"/>
        </w:rPr>
        <w:t xml:space="preserve"> </w:t>
      </w:r>
    </w:p>
    <w:p w14:paraId="1C1F5C34"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 xml:space="preserve"> </w:t>
      </w:r>
    </w:p>
    <w:p w14:paraId="7A20FFCB"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conflicting</w:t>
      </w:r>
      <w:r>
        <w:rPr>
          <w:rFonts w:ascii="Times New Roman" w:eastAsia="Times New Roman" w:hAnsi="Times New Roman" w:cs="Times New Roman"/>
          <w:kern w:val="0"/>
          <w14:ligatures w14:val="none"/>
        </w:rPr>
        <w:t xml:space="preserve"> </w:t>
      </w:r>
    </w:p>
    <w:p w14:paraId="5F0204D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9491B">
          <v:rect id="_x0000_i1049" style="width:0;height:1.5pt" o:hralign="center" o:hrstd="t" o:hr="t" fillcolor="#a0a0a0" stroked="f"/>
        </w:pict>
      </w:r>
    </w:p>
    <w:p w14:paraId="6B80436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Evidence-Grounded AI Rule</w:t>
      </w:r>
    </w:p>
    <w:p w14:paraId="32A6D9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architecture must follow:</w:t>
      </w:r>
    </w:p>
    <w:p w14:paraId="45F01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Evidence Extraction → Interpretation → Conclusion</w:t>
      </w:r>
    </w:p>
    <w:p w14:paraId="261A750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must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operate as:</w:t>
      </w:r>
    </w:p>
    <w:p w14:paraId="6007CB6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Guess → Score</w:t>
      </w:r>
    </w:p>
    <w:p w14:paraId="261239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the system should be capable of displaying the evidence that caused it.</w:t>
      </w:r>
    </w:p>
    <w:p w14:paraId="2435E2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3650CC">
          <v:rect id="_x0000_i1050" style="width:0;height:1.5pt" o:hralign="center" o:hrstd="t" o:hr="t" fillcolor="#a0a0a0" stroked="f"/>
        </w:pict>
      </w:r>
    </w:p>
    <w:p w14:paraId="423D8A5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Buzzword Resistance</w:t>
      </w:r>
    </w:p>
    <w:p w14:paraId="4DF1957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not classify an opportunity simply because expected terminology appears.</w:t>
      </w:r>
    </w:p>
    <w:p w14:paraId="47FF7F8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seeing:</w:t>
      </w:r>
    </w:p>
    <w:p w14:paraId="2FCBFF3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w:t>
      </w:r>
    </w:p>
    <w:p w14:paraId="400B8C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is not enough to conclude that a company has a mature lifecycle model.</w:t>
      </w:r>
    </w:p>
    <w:p w14:paraId="161B91F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reconstruct what the JD actually describes:</w:t>
      </w:r>
    </w:p>
    <w:p w14:paraId="3ABC09B9"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happens? </w:t>
      </w:r>
    </w:p>
    <w:p w14:paraId="5ACDD93E"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Who owns it? </w:t>
      </w:r>
    </w:p>
    <w:p w14:paraId="261413F7"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what point? </w:t>
      </w:r>
    </w:p>
    <w:p w14:paraId="6B4EA88B"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tools/processes are involved? </w:t>
      </w:r>
    </w:p>
    <w:p w14:paraId="43A4D714"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outcome is expected? </w:t>
      </w:r>
    </w:p>
    <w:p w14:paraId="25DBFA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architecture rule applies across all semantic evaluation stages.</w:t>
      </w:r>
    </w:p>
    <w:p w14:paraId="0321F69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68097">
          <v:rect id="_x0000_i1051" style="width:0;height:1.5pt" o:hralign="center" o:hrstd="t" o:hr="t" fillcolor="#a0a0a0" stroked="f"/>
        </w:pict>
      </w:r>
    </w:p>
    <w:p w14:paraId="48FEE3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Contradiction Detection</w:t>
      </w:r>
    </w:p>
    <w:p w14:paraId="757969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layer should explicitly detect conflicting signals.</w:t>
      </w:r>
    </w:p>
    <w:p w14:paraId="4DC437B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B9B3296"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"Entry level" + 7 years required </w:t>
      </w:r>
    </w:p>
    <w:p w14:paraId="0BF0980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CSM" + primarily support-ticket responsibilities </w:t>
      </w:r>
    </w:p>
    <w:p w14:paraId="28054858"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 mandatory office attendance </w:t>
      </w:r>
    </w:p>
    <w:p w14:paraId="6DB51ED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"Flexible schedule" + fixed regional hours </w:t>
      </w:r>
    </w:p>
    <w:p w14:paraId="586D64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stored rather than silently resolved.</w:t>
      </w:r>
    </w:p>
    <w:p w14:paraId="77B8D5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Contradiction</w:t>
      </w:r>
    </w:p>
    <w:p w14:paraId="08D5893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claimA</w:t>
      </w:r>
    </w:p>
    <w:p w14:paraId="02FDD3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claimB</w:t>
      </w:r>
    </w:p>
    <w:p w14:paraId="5E9D468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interpretation</w:t>
      </w:r>
    </w:p>
    <w:p w14:paraId="52A705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significance</w:t>
      </w:r>
    </w:p>
    <w:p w14:paraId="6C9498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logic determines whether the contradiction affects scoring.</w:t>
      </w:r>
    </w:p>
    <w:p w14:paraId="1BB4DD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022EE">
          <v:rect id="_x0000_i1052" style="width:0;height:1.5pt" o:hralign="center" o:hrstd="t" o:hr="t" fillcolor="#a0a0a0" stroked="f"/>
        </w:pict>
      </w:r>
    </w:p>
    <w:p w14:paraId="049723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Confidence Model</w:t>
      </w:r>
    </w:p>
    <w:p w14:paraId="354C12F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measures </w:t>
      </w:r>
      <w:r>
        <w:rPr>
          <w:rFonts w:ascii="Times New Roman" w:eastAsia="Times New Roman" w:hAnsi="Times New Roman" w:cs="Times New Roman"/>
          <w:b/>
          <w:bCs/>
          <w:kern w:val="0"/>
          <w14:ligatures w14:val="none"/>
        </w:rPr>
        <w:t>evidence strength</w:t>
      </w:r>
      <w:r>
        <w:rPr>
          <w:rFonts w:ascii="Times New Roman" w:eastAsia="Times New Roman" w:hAnsi="Times New Roman" w:cs="Times New Roman"/>
          <w:kern w:val="0"/>
          <w14:ligatures w14:val="none"/>
        </w:rPr>
        <w:t>, not how certain the AI feels.</w:t>
      </w:r>
    </w:p>
    <w:p w14:paraId="4280BC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Confidence should therefore be derived from factors such as:</w:t>
      </w:r>
    </w:p>
    <w:p w14:paraId="5FCDCB0E"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JD statement </w:t>
      </w:r>
    </w:p>
    <w:p w14:paraId="74F3B88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corroborating statements </w:t>
      </w:r>
    </w:p>
    <w:p w14:paraId="44FA976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External company evidence </w:t>
      </w:r>
    </w:p>
    <w:p w14:paraId="5C8E9F7C"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Indirect evidence </w:t>
      </w:r>
    </w:p>
    <w:p w14:paraId="66892ED0"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w:t>
      </w:r>
    </w:p>
    <w:p w14:paraId="37D5C871"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w:t>
      </w:r>
    </w:p>
    <w:p w14:paraId="1F7759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simply generate arbitrary percentages such as "87% confident."</w:t>
      </w:r>
    </w:p>
    <w:p w14:paraId="40B4B4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8EAE3">
          <v:rect id="_x0000_i1053" style="width:0;height:1.5pt" o:hralign="center" o:hrstd="t" o:hr="t" fillcolor="#a0a0a0" stroked="f"/>
        </w:pict>
      </w:r>
    </w:p>
    <w:p w14:paraId="6F85DFE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External Company Information</w:t>
      </w:r>
    </w:p>
    <w:p w14:paraId="7DEB20F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remain the primary source for evaluating the role.</w:t>
      </w:r>
    </w:p>
    <w:p w14:paraId="405D91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may supplement questions the JD cannot answer.</w:t>
      </w:r>
    </w:p>
    <w:p w14:paraId="609680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sources include:</w:t>
      </w:r>
    </w:p>
    <w:p w14:paraId="08BE283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Official company website </w:t>
      </w:r>
    </w:p>
    <w:p w14:paraId="021A731F"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Careers pages </w:t>
      </w:r>
    </w:p>
    <w:p w14:paraId="4BBF2043"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company documentation </w:t>
      </w:r>
    </w:p>
    <w:p w14:paraId="7E45866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Supported public sources </w:t>
      </w:r>
    </w:p>
    <w:p w14:paraId="4C42FD8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evidence must retain:</w:t>
      </w:r>
    </w:p>
    <w:p w14:paraId="41042C1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URL/source </w:t>
      </w:r>
    </w:p>
    <w:p w14:paraId="581C02E2"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retrieval date </w:t>
      </w:r>
    </w:p>
    <w:p w14:paraId="45A78F76"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text/fact </w:t>
      </w:r>
    </w:p>
    <w:p w14:paraId="4837894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w:t>
      </w:r>
    </w:p>
    <w:p w14:paraId="1599E90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Absence of public information does not constitute negative evidence.</w:t>
      </w:r>
    </w:p>
    <w:p w14:paraId="4C8D2D3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A7EBEA">
          <v:rect id="_x0000_i1054" style="width:0;height:1.5pt" o:hralign="center" o:hrstd="t" o:hr="t" fillcolor="#a0a0a0" stroked="f"/>
        </w:pict>
      </w:r>
    </w:p>
    <w:p w14:paraId="5F0BC2D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User Profile</w:t>
      </w:r>
    </w:p>
    <w:p w14:paraId="613E66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Personalized domain evaluation requires a structured user profile.</w:t>
      </w:r>
    </w:p>
    <w:p w14:paraId="31E5B5A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w:t>
      </w:r>
    </w:p>
    <w:p w14:paraId="547608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careerGoals</w:t>
      </w:r>
    </w:p>
    <w:p w14:paraId="4F3F71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experience</w:t>
      </w:r>
    </w:p>
    <w:p w14:paraId="4FEBC2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skills</w:t>
      </w:r>
    </w:p>
    <w:p w14:paraId="2297C6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transferableSkills</w:t>
      </w:r>
    </w:p>
    <w:p w14:paraId="3397C53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locationPreferences</w:t>
      </w:r>
    </w:p>
    <w:p w14:paraId="607491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compensationPreferences</w:t>
      </w:r>
    </w:p>
    <w:p w14:paraId="730F734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workPreferences</w:t>
      </w:r>
    </w:p>
    <w:p w14:paraId="32C796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domainPreferences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limitations[]</w:t>
      </w:r>
    </w:p>
    <w:p w14:paraId="0C173C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preferences should live inside domain configuration rather than Core Platform code.</w:t>
      </w:r>
    </w:p>
    <w:p w14:paraId="727D1F8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26E1E">
          <v:rect id="_x0000_i1055" style="width:0;height:1.5pt" o:hralign="center" o:hrstd="t" o:hr="t" fillcolor="#a0a0a0" stroked="f"/>
        </w:pict>
      </w:r>
    </w:p>
    <w:p w14:paraId="452FB61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Rule Configuration</w:t>
      </w:r>
    </w:p>
    <w:p w14:paraId="5268883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Hard-coded user preferences should be avoided where practical.</w:t>
      </w:r>
    </w:p>
    <w:p w14:paraId="0F3E57E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5BE51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customer-success.config</w:t>
      </w:r>
    </w:p>
    <w:p w14:paraId="51587B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salaryThresholds</w:t>
      </w:r>
    </w:p>
    <w:p w14:paraId="4A74CE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locationRules</w:t>
      </w:r>
    </w:p>
    <w:p w14:paraId="7E27BF7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travelRules</w:t>
      </w:r>
    </w:p>
    <w:p w14:paraId="55E9354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targetCompanies</w:t>
      </w:r>
    </w:p>
    <w:p w14:paraId="6EAE11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targetProducts</w:t>
      </w:r>
    </w:p>
    <w:p w14:paraId="26E24F7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customerSegments</w:t>
      </w:r>
    </w:p>
    <w:p w14:paraId="53104F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evaluationStages</w:t>
      </w:r>
    </w:p>
    <w:p w14:paraId="33B9050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recommendationRules</w:t>
      </w:r>
    </w:p>
    <w:p w14:paraId="5C02951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requirements to change without rewriting the evaluation architecture.</w:t>
      </w:r>
    </w:p>
    <w:p w14:paraId="6A1D778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71CFC">
          <v:rect id="_x0000_i1056" style="width:0;height:1.5pt" o:hralign="center" o:hrstd="t" o:hr="t" fillcolor="#a0a0a0" stroked="f"/>
        </w:pict>
      </w:r>
    </w:p>
    <w:p w14:paraId="077E70E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Scoring Architecture</w:t>
      </w:r>
    </w:p>
    <w:p w14:paraId="18BDE3A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every criterion should behave the same way.</w:t>
      </w:r>
    </w:p>
    <w:p w14:paraId="47D324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support:</w:t>
      </w:r>
    </w:p>
    <w:p w14:paraId="0A33FF96"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07E0CA14"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Weighted scores </w:t>
      </w:r>
    </w:p>
    <w:p w14:paraId="55B517A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ratings </w:t>
      </w:r>
    </w:p>
    <w:p w14:paraId="1F59A9A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ratings </w:t>
      </w:r>
    </w:p>
    <w:p w14:paraId="4DCE3DC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Classifications </w:t>
      </w:r>
    </w:p>
    <w:p w14:paraId="7C254B3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Informational fields </w:t>
      </w:r>
    </w:p>
    <w:p w14:paraId="3DC37F3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supports these result mechanisms but does not require every domain to use all of them. A domain PRD/TDD determines which mechanisms apply. Numeric scoring must never be invented merely because the Core Platform can represent it; categorical, contextual, risk, classification, and informational results are equally valid when defined by the domain.</w:t>
      </w:r>
    </w:p>
    <w:p w14:paraId="0FF3E26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FD034">
          <v:rect id="_x0000_i1057" style="width:0;height:1.5pt" o:hralign="center" o:hrstd="t" o:hr="t" fillcolor="#a0a0a0" stroked="f"/>
        </w:pict>
      </w:r>
    </w:p>
    <w:p w14:paraId="1A41749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Score Record</w:t>
      </w:r>
    </w:p>
    <w:p w14:paraId="5C21AEC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ScoreResult</w:t>
      </w:r>
    </w:p>
    <w:p w14:paraId="133AC27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criterion</w:t>
      </w:r>
    </w:p>
    <w:p w14:paraId="50421AB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score</w:t>
      </w:r>
    </w:p>
    <w:p w14:paraId="13083BD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scale</w:t>
      </w:r>
    </w:p>
    <w:p w14:paraId="3DEBB07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weight</w:t>
      </w:r>
    </w:p>
    <w:p w14:paraId="15DEBD6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classification</w:t>
      </w:r>
    </w:p>
    <w:p w14:paraId="1D13B90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8AF3C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15A67D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score should never exist without an explanation.</w:t>
      </w:r>
    </w:p>
    <w:p w14:paraId="2F31F75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340DF">
          <v:rect id="_x0000_i1058" style="width:0;height:1.5pt" o:hralign="center" o:hrstd="t" o:hr="t" fillcolor="#a0a0a0" stroked="f"/>
        </w:pict>
      </w:r>
    </w:p>
    <w:p w14:paraId="2AEA122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0C83F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Recommendation Engine receives completed stage results and applies domain-defined recommendation rules.</w:t>
      </w:r>
    </w:p>
    <w:p w14:paraId="4D2CCB0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4A76E8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Stage Results → Rule Evaluation → Recommendation → Explanation</w:t>
      </w:r>
    </w:p>
    <w:p w14:paraId="4EBB84E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LLM should </w:t>
      </w:r>
      <w:r>
        <w:rPr>
          <w:rFonts w:ascii="Times New Roman" w:eastAsia="Times New Roman" w:hAnsi="Times New Roman" w:cs="Times New Roman"/>
          <w:b/>
          <w:bCs/>
          <w:kern w:val="0"/>
          <w14:ligatures w14:val="none"/>
        </w:rPr>
        <w:t>not independently decide Apply / Review / Skip</w:t>
      </w:r>
      <w:r>
        <w:rPr>
          <w:rFonts w:ascii="Times New Roman" w:eastAsia="Times New Roman" w:hAnsi="Times New Roman" w:cs="Times New Roman"/>
          <w:kern w:val="0"/>
          <w14:ligatures w14:val="none"/>
        </w:rPr>
        <w:t xml:space="preserve"> unless the domain rules explicitly delegate part of that decision to semantic analysis.</w:t>
      </w:r>
    </w:p>
    <w:p w14:paraId="0AE5859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FC66A8">
          <v:rect id="_x0000_i1059" style="width:0;height:1.5pt" o:hralign="center" o:hrstd="t" o:hr="t" fillcolor="#a0a0a0" stroked="f"/>
        </w:pict>
      </w:r>
    </w:p>
    <w:p w14:paraId="2242507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Record</w:t>
      </w:r>
    </w:p>
    <w:p w14:paraId="6514B2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w:t>
      </w:r>
    </w:p>
    <w:p w14:paraId="6600777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decision</w:t>
      </w:r>
    </w:p>
    <w:p w14:paraId="3AF4E8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scoreSummary</w:t>
      </w:r>
    </w:p>
    <w:p w14:paraId="60894F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strongestPositives[]</w:t>
      </w:r>
    </w:p>
    <w:p w14:paraId="0EA953B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strongestConcerns[]</w:t>
      </w:r>
    </w:p>
    <w:p w14:paraId="10FCCE8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4D8CA6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27DC6D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4E72908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FB04FC">
          <v:rect id="_x0000_i1060" style="width:0;height:1.5pt" o:hralign="center" o:hrstd="t" o:hr="t" fillcolor="#a0a0a0" stroked="f"/>
        </w:pict>
      </w:r>
    </w:p>
    <w:p w14:paraId="1C1FDD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Recommendation Precedence</w:t>
      </w:r>
    </w:p>
    <w:p w14:paraId="0D8A93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 filters should override aggregate scoring where the relevant domain PRD requires it.</w:t>
      </w:r>
    </w:p>
    <w:p w14:paraId="183CCDF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FB61B1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job could otherwise score highly but violate a mandatory location requirement.</w:t>
      </w:r>
    </w:p>
    <w:p w14:paraId="3839976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platform should not allow numerous positive soft scores to mathematically erase a genuine disqualifier.</w:t>
      </w:r>
    </w:p>
    <w:p w14:paraId="1471E2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configuration determines precedence.</w:t>
      </w:r>
    </w:p>
    <w:p w14:paraId="70043B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FB1C19">
          <v:rect id="_x0000_i1061" style="width:0;height:1.5pt" o:hralign="center" o:hrstd="t" o:hr="t" fillcolor="#a0a0a0" stroked="f"/>
        </w:pict>
      </w:r>
    </w:p>
    <w:p w14:paraId="6D69BEE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Storage Architecture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should serve as the primary persistent data store.</w:t>
      </w:r>
    </w:p>
    <w:p w14:paraId="4E7901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entities include:</w:t>
      </w:r>
    </w:p>
    <w:p w14:paraId="13474A3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Users </w:t>
      </w:r>
    </w:p>
    <w:p w14:paraId="30F664D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Profiles </w:t>
      </w:r>
    </w:p>
    <w:p w14:paraId="7788400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w:t>
      </w:r>
    </w:p>
    <w:p w14:paraId="410E6E1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Records </w:t>
      </w:r>
    </w:p>
    <w:p w14:paraId="61A359A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w:t>
      </w:r>
    </w:p>
    <w:p w14:paraId="52B42773"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Evaluations </w:t>
      </w:r>
    </w:p>
    <w:p w14:paraId="645A4C4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Stage Results </w:t>
      </w:r>
    </w:p>
    <w:p w14:paraId="772E2AE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Records </w:t>
      </w:r>
    </w:p>
    <w:p w14:paraId="413075D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w:t>
      </w:r>
    </w:p>
    <w:p w14:paraId="7B26CE6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Actions </w:t>
      </w:r>
    </w:p>
    <w:p w14:paraId="1AC8BF20"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Metrics </w:t>
      </w:r>
    </w:p>
    <w:p w14:paraId="2258FE9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Raw source payloads may be stored separately if size becomes significant.</w:t>
      </w:r>
    </w:p>
    <w:p w14:paraId="4B2B1FF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71E224">
          <v:rect id="_x0000_i106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Budget Persistence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must persist the accounting state required to enforce AI limits across workers and restarts.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Semantic-operation usage records store provider and model identity, prompt version, attempts, duration, provider-reported token categories, estimated cost, pricing version, and evaluation, opportunity, domain, and source references.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versioned model-pricing configuration stores the provider/model pricing basis, currency, effective period, and version used to estimate and reconcile cost. Pricing values are configuration, not stage-code constants.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persistent monthly budget ledger stores the configured monthly limit, configurable warning thresholds, reserved amount, estimated or reconciled spend, remaining budget, period, and concurrency version.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reservation records link an evaluation task to the pricing version, estimated amount, reserved amount, reconciliation state, and timestamps needed for recovery.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 configuration also supports configurable per-evaluation call limits, output-token limits, daily evaluation-volume limits, and weekly evaluation-volume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may lower or update the budget configuration. No platform process may increase it or purchase credits automatically.</w:t>
      </w:r>
    </w:p>
    <w:p w14:paraId="507673B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Opportunity State</w:t>
      </w:r>
    </w:p>
    <w:p w14:paraId="6B4303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Opportunities should have lifecycle states such as:</w:t>
      </w:r>
    </w:p>
    <w:p w14:paraId="04DD0C2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DISCOVERED</w:t>
      </w:r>
    </w:p>
    <w:p w14:paraId="2F27AF9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NORMALIZED</w:t>
      </w:r>
    </w:p>
    <w:p w14:paraId="20885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EVALUATED</w:t>
      </w:r>
    </w:p>
    <w:p w14:paraId="298BD83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RECOMMENDED</w:t>
      </w:r>
    </w:p>
    <w:p w14:paraId="74F252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SAVED</w:t>
      </w:r>
    </w:p>
    <w:p w14:paraId="0F46876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APPLIED</w:t>
      </w:r>
    </w:p>
    <w:p w14:paraId="1FC516D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REJECTED_BY_USER</w:t>
      </w:r>
    </w:p>
    <w:p w14:paraId="670923B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CLOSED</w:t>
      </w:r>
    </w:p>
    <w:p w14:paraId="64AB40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ARCHIVED</w:t>
      </w:r>
    </w:p>
    <w:p w14:paraId="18D08AA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actions should not destroy evaluation history.</w:t>
      </w:r>
    </w:p>
    <w:p w14:paraId="1362CC0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D70F9">
          <v:rect id="_x0000_i1063"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Budget-Deferred Opportunity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generic deferral reason AI_BUDGET_LIMIT when an otherwise eligible job cannot begin paid AI processing within the available budget.</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USAGE_LIMIT_REACHED when an otherwise eligible job is held only by a configured non-dollar usage limit (daily evaluations, weekly evaluations, or monthly output tokens). When the monthly budget is among the limits reached, AI_BUDGET_LIMIT applies. Rows recorded with the earlier reason BUDGET_UNAVAILABLE are read as AI_BUDGET_LIMIT and are not rewritten.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deferral is an operational queue state, not an evaluation result, failure, rejection, recommendation, or suitability conclusion.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the normalized opportunity, raw source record, provenance, domain eligibility, queue metadata, and prior valid results while deferred.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later queue release, recheck the current budget, active limits, opportunity eligibility, duplicate and stale state, and any persisted reservation or attempt information.</w:t>
      </w:r>
    </w:p>
    <w:p w14:paraId="50391ED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34. Evaluation Versioning</w:t>
      </w:r>
    </w:p>
    <w:p w14:paraId="3A60640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results must record which rules produced them.</w:t>
      </w:r>
    </w:p>
    <w:p w14:paraId="1EEA8F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evaluationVersion</w:t>
      </w:r>
    </w:p>
    <w:p w14:paraId="279E5F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domainVersion</w:t>
      </w:r>
    </w:p>
    <w:p w14:paraId="01CAB31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promptVersion</w:t>
      </w:r>
    </w:p>
    <w:p w14:paraId="584466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userProfileVersion</w:t>
      </w:r>
    </w:p>
    <w:p w14:paraId="532B4EB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scoring rules change later, old evaluations remain reproducible and distinguishable from new ones.</w:t>
      </w:r>
    </w:p>
    <w:p w14:paraId="3F7844F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will be important when testing whether changes actually improve recommendations.</w:t>
      </w:r>
    </w:p>
    <w:p w14:paraId="03FB445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3B788">
          <v:rect id="_x0000_i1064" style="width:0;height:1.5pt" o:hralign="center" o:hrstd="t" o:hr="t" fillcolor="#a0a0a0" stroked="f"/>
        </w:pict>
      </w:r>
    </w:p>
    <w:p w14:paraId="5979EB2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API Boundary</w:t>
      </w:r>
    </w:p>
    <w:p w14:paraId="353E91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frontend and browser extension should communicate with the Core Platform through defined APIs.</w:t>
      </w:r>
    </w:p>
    <w:p w14:paraId="3C65A7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Initial endpoints may include:</w:t>
      </w:r>
    </w:p>
    <w:p w14:paraId="22CE335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w:t>
      </w:r>
    </w:p>
    <w:p w14:paraId="5B9387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w:t>
      </w:r>
    </w:p>
    <w:p w14:paraId="45D2D00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w:t>
      </w:r>
    </w:p>
    <w:p w14:paraId="4383DEE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/opportunities/:id/evaluate</w:t>
      </w:r>
    </w:p>
    <w:p w14:paraId="350B4AD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/opportunities/:id/evaluation</w:t>
      </w:r>
    </w:p>
    <w:p w14:paraId="0D43DF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/opportunities/:id/action</w:t>
      </w:r>
    </w:p>
    <w:p w14:paraId="7FDA265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Source-specific collectors should not expose their implementation directly to the frontend.</w:t>
      </w:r>
    </w:p>
    <w:p w14:paraId="6EFEFA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04A349">
          <v:rect id="_x0000_i106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 and Deferral API Boundary</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boundary must expose domain-neutral budget, usage, capacity, and budget-deferral information without exposing provider credentials.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reading and user-authorized updating of the monthly spending limit, warning thresholds, and applicable call, output-token, daily-volume, and weekly-volume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reported token usage, estimated spending, remaining budget, estimated remaining capacity, estimated eligible-backlog cost, and the pricing/configuration versions used for estimates.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t>Expose eligible-for-evaluation under the active domain/model configuration, evaluated, queued, running, AI_BUDGET_LIMIT-deferred and USAGE_LIMIT_REACHED-deferred counts, with relevant breakdowns by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budget-deferred opportunities and user actions needed to keep deferred, release when eligible, or independently dismiss them without converting deferral into a negative evaluation.</w:t>
      </w:r>
    </w:p>
    <w:p w14:paraId="46DB1C5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Background Processing</w:t>
      </w:r>
    </w:p>
    <w:p w14:paraId="5EDC0F1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Tasks that do not require immediate UI responses should run asynchronously.</w:t>
      </w:r>
    </w:p>
    <w:p w14:paraId="3B3C20D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CC42A54"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collection </w:t>
      </w:r>
    </w:p>
    <w:p w14:paraId="5C988CAA"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deduplication </w:t>
      </w:r>
    </w:p>
    <w:p w14:paraId="63593FC8"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evaluation </w:t>
      </w:r>
    </w:p>
    <w:p w14:paraId="71F0B651"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company research </w:t>
      </w:r>
    </w:p>
    <w:p w14:paraId="3A8F3963"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aggregation </w:t>
      </w:r>
    </w:p>
    <w:p w14:paraId="23995D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Flow</w:t>
      </w:r>
    </w:p>
    <w:p w14:paraId="4DA351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Task Created → Queue → Worker → Result Stored → UI Updated</w:t>
      </w:r>
    </w:p>
    <w:p w14:paraId="0D6E3F5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the earliest MVP, a simple database-backed worker is sufficient.</w:t>
      </w:r>
    </w:p>
    <w:p w14:paraId="59806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complex distributed queue is unnecessary.</w:t>
      </w:r>
    </w:p>
    <w:p w14:paraId="2F4C0A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F92147">
          <v:rect id="_x0000_i1066"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Atomic Budget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paid AI processing, calculate an estimate using the active versioned pricing configuration and atomically reserve sufficient monthly budget in the same persistent transaction or equivalent concurrency-safe operation.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task may start paid processing only after reservation succeeds. Insufficient availability produces AI_BUDGET_LIMIT deferral when the task is otherwise eligible.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each attempt, reconcile the reservation against provider-reported usage and estimated cost, release unused reservation, and retain an auditable record of discrepancies or missing usage.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Reservation, reconciliation, retry accounting, and limit enforcement must be safe across worker concurrency, process crashes, retries, and restarts. A restarted or resumed task must use persisted attempts and reservations rather than receiving a new allowance.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 release must claim deferred work atomically so multiple workers cannot evaluate the same opportunity or spend the same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never increase a configured budget or purchase provider credits automatically.</w:t>
      </w:r>
    </w:p>
    <w:p w14:paraId="1343F2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Failure Handling</w:t>
      </w:r>
    </w:p>
    <w:p w14:paraId="30C9B13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should be isolated by stage.</w:t>
      </w:r>
    </w:p>
    <w:p w14:paraId="44A0D1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external company research fails, for example, the entire opportunity should not disappear.</w:t>
      </w:r>
    </w:p>
    <w:p w14:paraId="689F01C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result should instead indicate:</w:t>
      </w:r>
    </w:p>
    <w:p w14:paraId="371496A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Unknown — retrieval failed.</w:t>
      </w:r>
    </w:p>
    <w:p w14:paraId="2BE51A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Similarly:</w:t>
      </w:r>
    </w:p>
    <w:p w14:paraId="0F3F2E09"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failure should be retryable. </w:t>
      </w:r>
    </w:p>
    <w:p w14:paraId="05D5C84B"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failure should be retryable. </w:t>
      </w:r>
    </w:p>
    <w:p w14:paraId="7571A17C"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Schema failure should trigger validation. </w:t>
      </w:r>
    </w:p>
    <w:p w14:paraId="234D13C0"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Individual stage failure should be recorded. </w:t>
      </w:r>
    </w:p>
    <w:p w14:paraId="5EFB706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7E8113">
          <v:rect id="_x0000_i1067" style="width:0;height:1.5pt" o:hralign="center" o:hrstd="t" o:hr="t" fillcolor="#a0a0a0" stroked="f"/>
        </w:pict>
      </w:r>
    </w:p>
    <w:p w14:paraId="6F1446C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Observability</w:t>
      </w:r>
    </w:p>
    <w:p w14:paraId="77ED44C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log:</w:t>
      </w:r>
    </w:p>
    <w:p w14:paraId="6475189B"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failures </w:t>
      </w:r>
    </w:p>
    <w:p w14:paraId="7B3DCBB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failures </w:t>
      </w:r>
    </w:p>
    <w:p w14:paraId="0CBC604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decisions </w:t>
      </w:r>
    </w:p>
    <w:p w14:paraId="31C5695E"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calls </w:t>
      </w:r>
    </w:p>
    <w:p w14:paraId="7D68071F"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Validation failures </w:t>
      </w:r>
    </w:p>
    <w:p w14:paraId="1AE6378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duration </w:t>
      </w:r>
    </w:p>
    <w:p w14:paraId="0CEC4AD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results </w:t>
      </w:r>
    </w:p>
    <w:p w14:paraId="5FFF36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Sensitive user information should not be unnecessarily written to logs.</w:t>
      </w:r>
    </w:p>
    <w:p w14:paraId="5CEA02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A9F66">
          <v:rect id="_x0000_i106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Budget Observability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views must show provider-reported token usage, estimated spending, remaining monthly budget, estimated remaining evaluation capacity, and estimated eligible-backlog cost.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counts must distinguish eligible-for-evaluation, evaluated, queued, running, AI_BUDGET_LIMIT-deferred and USAGE_LIMIT_REACHED-deferred jobs and support relevant domain and job-source breakdowns.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 state must be derived from configurable thresholds and identify the budget period and configuration version.</w:t>
      </w:r>
    </w:p>
    <w:p w14:paraId="187D25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39. Analytics Events</w:t>
      </w:r>
    </w:p>
    <w:p w14:paraId="141D9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 should capture basic events including:</w:t>
      </w:r>
    </w:p>
    <w:p w14:paraId="4F86454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discovered </w:t>
      </w:r>
    </w:p>
    <w:p w14:paraId="6D1D1F17"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detected </w:t>
      </w:r>
    </w:p>
    <w:p w14:paraId="113EB53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completed </w:t>
      </w:r>
    </w:p>
    <w:p w14:paraId="2DB9A16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produced </w:t>
      </w:r>
    </w:p>
    <w:p w14:paraId="45725B7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viewed </w:t>
      </w:r>
    </w:p>
    <w:p w14:paraId="4F2AC22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saved </w:t>
      </w:r>
    </w:p>
    <w:p w14:paraId="36677D01"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dismissed </w:t>
      </w:r>
    </w:p>
    <w:p w14:paraId="3B336E9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recorded </w:t>
      </w:r>
    </w:p>
    <w:p w14:paraId="3F26B84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provides the foundation for the source analytics planned in the PRDs.</w:t>
      </w:r>
    </w:p>
    <w:p w14:paraId="4B7752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3202AA">
          <v:rect id="_x0000_i1069"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Budget-Aware Source Analytics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events must preserve AI_BUDGET_LIMIT and USAGE_LIMIT_REACHED as separate operational deferral reasons.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count budget-deferred or usage-limit-deferred opportunities as source failures, unsuitable opportunities, rejected recommendations, or evidence of poor source performance.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and domain reporting may show how many eligible opportunities remain unevaluated because of budget, but performance conclusions must separate that capacity constraint from source quality.</w:t>
      </w:r>
    </w:p>
    <w:p w14:paraId="3BB1783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Security &amp; Data Handling</w:t>
      </w:r>
    </w:p>
    <w:p w14:paraId="225DB0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w:t>
      </w:r>
    </w:p>
    <w:p w14:paraId="7F515B68"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credentials securely. </w:t>
      </w:r>
    </w:p>
    <w:p w14:paraId="6F2C9971"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expose API keys to the browser. </w:t>
      </w:r>
    </w:p>
    <w:p w14:paraId="1D077D36"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collected personal information. </w:t>
      </w:r>
    </w:p>
    <w:p w14:paraId="435B4F8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extension/API input. </w:t>
      </w:r>
    </w:p>
    <w:p w14:paraId="21065F0F"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Sanitize externally collected content. </w:t>
      </w:r>
    </w:p>
    <w:p w14:paraId="0C798FB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job descriptions and websites as </w:t>
      </w:r>
      <w:r>
        <w:rPr>
          <w:rFonts w:ascii="Times New Roman" w:eastAsia="Times New Roman" w:hAnsi="Times New Roman" w:cs="Times New Roman"/>
          <w:b/>
          <w:bCs/>
          <w:kern w:val="0"/>
          <w14:ligatures w14:val="none"/>
        </w:rPr>
        <w:t>untrusted input</w:t>
      </w:r>
      <w:r>
        <w:rPr>
          <w:rFonts w:ascii="Times New Roman" w:eastAsia="Times New Roman" w:hAnsi="Times New Roman" w:cs="Times New Roman"/>
          <w:kern w:val="0"/>
          <w14:ligatures w14:val="none"/>
        </w:rPr>
        <w:t xml:space="preserve">. </w:t>
      </w:r>
    </w:p>
    <w:p w14:paraId="2E8AAA4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page content must never be allowed to override system instructions or evaluation rules.</w:t>
      </w:r>
    </w:p>
    <w:p w14:paraId="18B3675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9D2233">
          <v:rect id="_x0000_i1070" style="width:0;height:1.5pt" o:hralign="center" o:hrstd="t" o:hr="t" fillcolor="#a0a0a0" stroked="f"/>
        </w:pict>
      </w:r>
    </w:p>
    <w:p w14:paraId="359076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Prompt-Injection Protection</w:t>
      </w:r>
    </w:p>
    <w:p w14:paraId="023157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the platform analyzes arbitrary web content, job descriptions could contain text that resembles AI instructions.</w:t>
      </w:r>
    </w:p>
    <w:p w14:paraId="39E8153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evaluation layer must treat all collected content as </w:t>
      </w:r>
      <w:r>
        <w:rPr>
          <w:rFonts w:ascii="Times New Roman" w:eastAsia="Times New Roman" w:hAnsi="Times New Roman" w:cs="Times New Roman"/>
          <w:b/>
          <w:bCs/>
          <w:kern w:val="0"/>
          <w14:ligatures w14:val="none"/>
        </w:rPr>
        <w:t>data only</w:t>
      </w:r>
      <w:r>
        <w:rPr>
          <w:rFonts w:ascii="Times New Roman" w:eastAsia="Times New Roman" w:hAnsi="Times New Roman" w:cs="Times New Roman"/>
          <w:kern w:val="0"/>
          <w14:ligatures w14:val="none"/>
        </w:rPr>
        <w:t>.</w:t>
      </w:r>
    </w:p>
    <w:p w14:paraId="178351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prompt architecture should explicitly separate:</w:t>
      </w:r>
    </w:p>
    <w:p w14:paraId="23DB7166"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rules </w:t>
      </w:r>
    </w:p>
    <w:p w14:paraId="349A293A"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evaluation instructions </w:t>
      </w:r>
    </w:p>
    <w:p w14:paraId="192C6160"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User configuration </w:t>
      </w:r>
    </w:p>
    <w:p w14:paraId="56A06868"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Untrusted source content </w:t>
      </w:r>
    </w:p>
    <w:p w14:paraId="62D2310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Instructions contained inside a JD or webpage must never modify evaluation behavior.</w:t>
      </w:r>
    </w:p>
    <w:p w14:paraId="34AFABD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35F4D6">
          <v:rect id="_x0000_i1071" style="width:0;height:1.5pt" o:hralign="center" o:hrstd="t" o:hr="t" fillcolor="#a0a0a0" stroked="f"/>
        </w:pict>
      </w:r>
    </w:p>
    <w:p w14:paraId="525F355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Testing Architecture</w:t>
      </w:r>
    </w:p>
    <w:p w14:paraId="298DF7D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should occur at three levels.</w:t>
      </w:r>
    </w:p>
    <w:p w14:paraId="466AA809"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Unit Tests</w:t>
      </w:r>
    </w:p>
    <w:p w14:paraId="04BD37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deterministic components such as:</w:t>
      </w:r>
    </w:p>
    <w:p w14:paraId="6A04992E"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parsing </w:t>
      </w:r>
    </w:p>
    <w:p w14:paraId="4D755D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 parsing </w:t>
      </w:r>
    </w:p>
    <w:p w14:paraId="2A85E9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normalization </w:t>
      </w:r>
    </w:p>
    <w:p w14:paraId="6E509B79"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5696F83"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58E7C67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Integration Tests</w:t>
      </w:r>
    </w:p>
    <w:p w14:paraId="4EB6715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w:t>
      </w:r>
    </w:p>
    <w:p w14:paraId="4826FED5"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 Normalization </w:t>
      </w:r>
    </w:p>
    <w:p w14:paraId="1B0AFE4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 Deduplication </w:t>
      </w:r>
    </w:p>
    <w:p w14:paraId="0FC8EB64"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 Recommendation </w:t>
      </w:r>
    </w:p>
    <w:p w14:paraId="29FB24C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Extension → API </w:t>
      </w:r>
    </w:p>
    <w:p w14:paraId="22BE009E"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 Evaluation Tests</w:t>
      </w:r>
    </w:p>
    <w:p w14:paraId="6E2A749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JDs with expected evaluation characteristics.</w:t>
      </w:r>
    </w:p>
    <w:p w14:paraId="6DC7410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whether the AI correctly identifies:</w:t>
      </w:r>
    </w:p>
    <w:p w14:paraId="1016C612"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54B9653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676E116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049D9AD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Contradictions </w:t>
      </w:r>
    </w:p>
    <w:p w14:paraId="2D4B0E5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7100D5"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139C93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Exact prose does not need to match.</w:t>
      </w:r>
    </w:p>
    <w:p w14:paraId="70E820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underlying classification and evidence should.</w:t>
      </w:r>
    </w:p>
    <w:p w14:paraId="1426AA0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EAEC0">
          <v:rect id="_x0000_i107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Accounting and Budget Test Coverage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token-category persistence, estimated-cost calculation, pricing-version attribution, and Unknown handling when provider usage fields are omitted.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retries create attempt records and consume the same evaluation's call and budget allowances without double counting.</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restart-safe recovery from persisted attempts, usage, reservations, and reconciliation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concurrency-safe reservation, prevention of overspend and duplicate claims, and correct reconciliation when multiple workers compete for limited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budget exhaustion creates AI_BUDGET_LIMIT deferral, preserves the opportunity and source data, and does not create a negative evaluation or failure.</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reaching only a non-dollar usage limit creates USAGE_LIMIT_REACHED deferral with the same preservation guarantees, and that legacy BUDGET_UNAVAILABLE rows read as AI_BUDGET_LIMIT.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lowering or updating the budget changes later eligibility checks without automatic budget increases or credit purchases.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deferred queue release rechecks budget and eligibility and releases work once sufficient configured budget is available.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API and UI aggregates for usage, spending, remaining budget, capacity, backlog cost, operational counts, domains, and sources.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Source Analytics excludes budget deferral from negative source-performance outcomes.</w:t>
      </w:r>
    </w:p>
    <w:p w14:paraId="2A56709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43. Evaluation Regression Dataset</w:t>
      </w:r>
    </w:p>
    <w:p w14:paraId="512A2F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real jobs are tested, preserve representative examples.</w:t>
      </w:r>
    </w:p>
    <w:p w14:paraId="5A7557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evaluation-tests/</w:t>
      </w:r>
    </w:p>
    <w:p w14:paraId="62B1334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clear-good-fit/</w:t>
      </w:r>
    </w:p>
    <w:p w14:paraId="430A1E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clear-bad-fit/</w:t>
      </w:r>
    </w:p>
    <w:p w14:paraId="764725B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ambiguous/</w:t>
      </w:r>
    </w:p>
    <w:p w14:paraId="227FB6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misleading-title/</w:t>
      </w:r>
    </w:p>
    <w:p w14:paraId="188A1E0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inflated-requirements/</w:t>
      </w:r>
    </w:p>
    <w:p w14:paraId="05AFBDB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scope-creep/</w:t>
      </w:r>
    </w:p>
    <w:p w14:paraId="420E5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conflicting-jd/</w:t>
      </w:r>
    </w:p>
    <w:p w14:paraId="3C07B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becomes increasingly important as prompts and evaluation logic change.</w:t>
      </w:r>
    </w:p>
    <w:p w14:paraId="0E36E6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change should not fix one type of JD while silently breaking previously correct evaluations.</w:t>
      </w:r>
    </w:p>
    <w:p w14:paraId="6B3A603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2E301">
          <v:rect id="_x0000_i1073" style="width:0;height:1.5pt" o:hralign="center" o:hrstd="t" o:hr="t" fillcolor="#a0a0a0" stroked="f"/>
        </w:pict>
      </w:r>
    </w:p>
    <w:p w14:paraId="398AF56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MVP Boundary</w:t>
      </w:r>
    </w:p>
    <w:p w14:paraId="22F44F6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first build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attempt to implement the entire platform.</w:t>
      </w:r>
    </w:p>
    <w:p w14:paraId="1196C8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vertical slice should prove that the core evaluation architecture works.</w:t>
      </w:r>
    </w:p>
    <w:p w14:paraId="609BBAC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MVP 1</w:t>
      </w:r>
    </w:p>
    <w:p w14:paraId="5158580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Manual JD Input → Normalization → Customer Success Domain Evaluation → Evidence Validation → Recommendation → Results UI</w:t>
      </w:r>
    </w:p>
    <w:p w14:paraId="4535DD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is the first reference implementation used to prove the generic Core evaluation architecture. The Core Platform must remain domain-agnostic so later domains, including Freelance Writing, can plug into the same interfaces.</w:t>
      </w:r>
    </w:p>
    <w:p>
      <w:pPr/>
      <w:r>
        <w:t>Current Implementation Alignment — August 16, 2026</w:t>
      </w:r>
    </w:p>
    <w:p>
      <w:pPr/>
      <w:r>
        <w:t>Milestones 1–3 have established the repository/platform foundation, manual opportunity ingestion and PostgreSQL persistence, and the shared Core evaluation framework with ordered stages, evidence records, Unknowns, contradictions, validation, and retryable failure isolation. Milestone 4 is the first real domain integration and begins Customer Success-specific evaluation logic. Discovery expansion remains later in the sequence.</w:t>
      </w:r>
    </w:p>
    <w:p w14:paraId="3E73295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4B5C60">
          <v:rect id="_x0000_i1074"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Current Implementation Alignment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platform now implements semantic-operation usage/cost accounting, a persistent monthly AI budget ledger, atomic reservation/reconciliation, warning thresholds, configurable call/output-token/daily/weekly limits, AI_BUDGET_LIMIT deferral, and persistent resume/cancel behavior. Unknown provider usage remains Unknown rather than becoming zero.</w:t>
      </w:r>
    </w:p>
    <w:p w14:paraId="6305E3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2</w:t>
      </w:r>
    </w:p>
    <w:p w14:paraId="73F820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evaluation works reliably:</w:t>
      </w:r>
    </w:p>
    <w:p w14:paraId="10FAD4C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Domain/Source Adapter → Opportunity Capture → Deduplication → Existing Domain Evaluation Pipeline</w:t>
      </w:r>
    </w:p>
    <w:p w14:paraId="01C29F4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D23C5DC">
          <v:rect id="_x0000_i1075" style="width:0;height:1.5pt" o:hralign="center" o:hrstd="t" o:hr="t" fillcolor="#a0a0a0" stroked="f"/>
        </w:pict>
      </w:r>
    </w:p>
    <w:p w14:paraId="22663D3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MVP 3</w:t>
      </w:r>
    </w:p>
    <w:p w14:paraId="4747449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automated discovery:</w:t>
      </w:r>
    </w:p>
    <w:p w14:paraId="141E5A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ATS/Public/Domain Sources → Collection → Normalization → Deduplication → Domain Evaluation → Dashboard</w:t>
      </w:r>
    </w:p>
    <w:p w14:paraId="6B82A29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sequencing prevents us from building a large discovery system before knowing whether the evaluation engine is actually useful.</w:t>
      </w:r>
    </w:p>
    <w:p w14:paraId="0DA4364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6A73D8">
          <v:rect id="_x0000_i1076" style="width:0;height:1.5pt" o:hralign="center" o:hrstd="t" o:hr="t" fillcolor="#a0a0a0" stroked="f"/>
        </w:pict>
      </w:r>
    </w:p>
    <w:p w14:paraId="6FC2F6EA"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Main-Product Completion Scope and Later Add-ons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early manual MVP did not require the full retrieval/intelligence stack, but final main-product acceptance now includes retrieval and intelligence features 11–18.</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work still required before final acceptance includes: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discovery/retrieval/scraping</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 Ghost Job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0107D26A"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513A37A8"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assistance, including resume tailoring, cover letters, application questions, interview preparation, and learning recommendations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 distributed infrastructure and a mobile application remain unnecessary unless future scale/product requirements justify them.</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and automatic applications remain outside the current main-product scope.</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Budget-Control Implementation Status</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persistent budget ledger, atomic reservation/reconciliation, configurable warnings/volume enforcement, AI_BUDGET_LIMIT deferral, queue release, and related usage/capacity reporting are implemented. Already-admitted queued/running evaluations are not retroactively cancelled when the user lowers limits; later admission/resume checks use the current configuration.</w:t>
      </w:r>
    </w:p>
    <w:p w14:paraId="1975E2A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Technical Acceptance Criteria</w:t>
      </w:r>
    </w:p>
    <w:p w14:paraId="5A83E12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architecture is successfully implemented when it can:</w:t>
      </w:r>
    </w:p>
    <w:p w14:paraId="1061648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Data</w:t>
      </w:r>
    </w:p>
    <w:p w14:paraId="035A0382"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raw opportunities. </w:t>
      </w:r>
    </w:p>
    <w:p w14:paraId="2F4546C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source data. </w:t>
      </w:r>
    </w:p>
    <w:p w14:paraId="0FB81A4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listings into a common schema. </w:t>
      </w:r>
    </w:p>
    <w:p w14:paraId="24D3F5AC"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Track field provenance. </w:t>
      </w:r>
    </w:p>
    <w:p w14:paraId="72849AF4"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Represent unknown values without guessing. </w:t>
      </w:r>
    </w:p>
    <w:p w14:paraId="643969D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099D556A"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Load a domain evaluator. </w:t>
      </w:r>
    </w:p>
    <w:p w14:paraId="73E278DB"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ordered evaluation stages. </w:t>
      </w:r>
    </w:p>
    <w:p w14:paraId="52434FFC"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deterministic rules from semantic AI analysis. </w:t>
      </w:r>
    </w:p>
    <w:p w14:paraId="7B605C1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structured AI responses. </w:t>
      </w:r>
    </w:p>
    <w:p w14:paraId="3AB92376"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for major conclusions. </w:t>
      </w:r>
    </w:p>
    <w:p w14:paraId="6B9248B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contradictions. </w:t>
      </w:r>
    </w:p>
    <w:p w14:paraId="65FBC4E8"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evaluation versions. </w:t>
      </w:r>
    </w:p>
    <w:p w14:paraId="06BDD60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3BC83A36"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domain-defined scoring and precedence. </w:t>
      </w:r>
    </w:p>
    <w:p w14:paraId="0B6DEC88"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structured recommendations. </w:t>
      </w:r>
    </w:p>
    <w:p w14:paraId="1317D8C1"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why each recommendation was produced. </w:t>
      </w:r>
    </w:p>
    <w:p w14:paraId="14E312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Platform</w:t>
      </w:r>
    </w:p>
    <w:p w14:paraId="663DD6D6"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opportunities and evaluations. </w:t>
      </w:r>
    </w:p>
    <w:p w14:paraId="6D67C54D"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evaluation results. </w:t>
      </w:r>
    </w:p>
    <w:p w14:paraId="41091AF3"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retryable failures. </w:t>
      </w:r>
    </w:p>
    <w:p w14:paraId="155BBF69"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 future domain evaluators without rewriting the Core Platform. </w:t>
      </w:r>
    </w:p>
    <w:p w14:paraId="7BCADE8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795E0D">
          <v:rect id="_x0000_i1078" style="width:0;height:1.5pt" o:hralign="center" o:hrstd="t" o:hr="t" fillcolor="#a0a0a0" stroked="f"/>
        </w:pic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auditable semantic-operation token and estimated-cost records using versioned provider/model pricing configuration.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configured monthly spending and throughput limits through restart-safe, concurrency-safe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and later release AI_BUDGET_LIMIT-deferred opportunities without converting operational deferral into a negative evaluation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 usage, capacity, backlog-cost, operational-state, domain, and source information through the API and user interface.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 accounting, retry, restart, concurrency, budget-exhaustion, preservation, queue-release, and Source Analytics tests.</w:t>
      </w:r>
    </w:p>
    <w:p w14:paraId="30C7FAD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49. Initial Build Sequence</w:t>
      </w:r>
    </w:p>
    <w:p w14:paraId="02F0136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should proceed in this order:</w:t>
      </w:r>
    </w:p>
    <w:p w14:paraId="4F2540D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Project Setup → Database Schema → Opportunity Model → Manual JD Input → Evaluation Interface → Evidence Ledger → Customer Success Reference Evaluator → Recommendation Engine → Results UI → Test Against Real JDs</w:t>
      </w:r>
    </w:p>
    <w:p w14:paraId="6334691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remains the first implemented domain, not a Core dependency. Once the shared vertical slice works reliably, additional domain evaluators such as Freelance Writing should reuse the same Core contracts rather than duplicating platform infrastructure.</w:t>
      </w:r>
    </w:p>
    <w:p w14:paraId="6CAFAB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Deduplication → ATS/Public/Domain Discovery → Analytics</w:t>
      </w:r>
    </w:p>
    <w:p w14:paraId="2A54720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19EFA4">
          <v:rect id="_x0000_i1079" style="width:0;height:1.5pt" o:hralign="center" o:hrstd="t" o:hr="t" fillcolor="#a0a0a0" stroked="f"/>
        </w:pict>
      </w:r>
    </w:p>
    <w:p w14:paraId="04A62B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50. Relationship to Other Documents</w:t>
      </w:r>
    </w:p>
    <w:p w14:paraId="75E20AA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authoritative documentation hierarchy is:</w:t>
      </w:r>
    </w:p>
    <w:p w14:paraId="7BC0871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AI Framework PRD — Defines what the shared platform must do.</w:t>
      </w:r>
    </w:p>
    <w:p w14:paraId="240C05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C2F7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Platform Technical Design Document — Defines how the shared platform implements those requirements.</w:t>
      </w:r>
    </w:p>
    <w:p w14:paraId="45194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530E0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PRD — Defines what a specific domain assistant must do.</w:t>
      </w:r>
    </w:p>
    <w:p w14:paraId="6F1963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3C0C1A9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TDD — Defines how the Domain PRD becomes executable domain logic, including extraction, ordered evaluation stages, deterministic rules, AI/semantic responsibilities, schemas, recommendation logic, validation, testing, and domain-specific presentation.</w:t>
      </w:r>
    </w:p>
    <w:p w14:paraId="376415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No separate Domain Evaluation Technical Specification is required when the authoritative Domain TDD contains that executable design. The finalized Customer Success PRD/TDD and Freelance Writing PRD/TDD satisfy this layer. The prerequisite documentation for the current implementation sequence is complete.</w:t>
      </w:r>
    </w:p>
    <w:p w14:paraId="1599AD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B3507">
          <v:rect id="_x0000_i1080" style="width:0;height:1.5pt" o:hralign="center" o:hrstd="t" o:hr="t" fillcolor="#a0a0a0" stroked="f"/>
        </w:pict>
      </w:r>
    </w:p>
    <w:p>
      <w:pPr>
        <w:pStyle w:val="Heading1"/>
      </w:pPr>
      <w:r>
        <w:t>51. Current Technical Implementation Status</w:t>
      </w:r>
    </w:p>
    <w:p>
      <w:pPr>
        <w:pStyle w:val="Heading2"/>
      </w:pPr>
      <w:r>
        <w:t>Implemented Platform Foundation</w:t>
      </w:r>
    </w:p>
    <w:p>
      <w:r>
        <w:t>The Core Platform supports manual opportunity capture, raw source/provenance preservation, deterministic normalization, PostgreSQL persistence, dashboard/search/filter workflows, background evaluation, persisted stage results/history, lifecycle actions, profile versioning with structured limitations, AI usage/cost accounting, and persistent budget controls. The application tracker and operational hardening are complete after the Task 8 and Task 9 completion passes (October 16, 2026).</w:t>
      </w:r>
    </w:p>
    <w:p>
      <w:r>
        <w:t>The results UI polls the evaluation API until completion or failure using bounded polling, stops polling when the page is left, renders untrusted job-description content as text, and reads the persisted recommendation rather than recalculating it in the client.</w:t>
      </w:r>
    </w:p>
    <w:p>
      <w:pPr>
        <w:pStyle w:val="Heading2"/>
      </w:pPr>
      <w:r>
        <w:t>Normalized Opportunity Contract</w:t>
      </w:r>
    </w:p>
    <w:p>
      <w:r>
        <w:t>Task 7 now populates salary bounds/currency, work arrangement, seniority, department, employment type, closing date, residency requirement, and residency regions when deterministic source evidence supports them. Raw source text and field provenance remain authoritative; ambiguous or missing facts remain Unknown. FX-converted salaries are not persisted. A time-zone requirement is recorded only when the user states it and is withheld from evaluator input.</w:t>
      </w:r>
    </w:p>
    <w:p>
      <w:pPr>
        <w:pStyle w:val="Heading2"/>
      </w:pPr>
      <w:r>
        <w:t>Domain Boundary</w:t>
      </w:r>
    </w:p>
    <w:p>
      <w:r>
        <w:t>Core owns factual normalization and reusable infrastructure. Customer Success salary thresholds, U.S./non-U.S. bands, cost-viability policy, and hard-filter outcomes remain inside the Customer Success domain. A shared/versioned FX utility may be reused as infrastructure, but Core must not contain Customer Success thresholds.</w:t>
      </w:r>
    </w:p>
    <w:p>
      <w:pPr>
        <w:pStyle w:val="Heading2"/>
      </w:pPr>
      <w:r>
        <w:t>AI Budget and Capacity Controls</w:t>
      </w:r>
    </w:p>
    <w:p>
      <w:r>
        <w:t>The persistent monthly budget ledger, reservation/reconciliation, warning thresholds, call/output-token/daily/weekly limits, AI_BUDGET_LIMIT deferral, resume/cancel workflow, and usage/capacity/backlog reporting are implemented. Unknown provider usage remains nullable/Unknown. Usage reporting also shows provider-reported tokens and known spend by domain and job source for the budget period, with unreported tokens and unknown-cost attempts counted separately. Deferral uses AI_BUDGET_LIMIT when the monthly dollar budget is among the limits reached and USAGE_LIMIT_REACHED when only a non-dollar limit is.</w:t>
      </w:r>
    </w:p>
    <w:p>
      <w:pPr>
        <w:pStyle w:val="Heading2"/>
      </w:pPr>
      <w:r>
        <w:t>Application Tracker</w:t>
      </w:r>
    </w:p>
    <w:p>
      <w:r>
        <w:t xml:space="preserve">Each opportunity has at most one application. Stages are Planned, Applied, Screening, Interviewing, Final round, Offer and Closed; a closed application records one outcome (offer accepted, offer declined, rejected, withdrawn, no response, or not submitted). Notes, contacts, follow-ups and interviews belong to the application. Every change is recorded in a dated, append-only, gap-free application event history, which supplies the facts that later application analytics (main-product features 15 and 17) need. No analytics event stream is emitted yet.</w:t>
      </w:r>
    </w:p>
    <w:p>
      <w:r>
        <w:t xml:space="preserve">Every tracker write locks the opportunity row. Versioned commands use compare-and-set and refuse a stale write with APPLICATION_CHANGED, leaving no partial write. Applied and closed dates are UTC calendar dates: neither may be later than the current UTC date, and a close may not precede the applied date. Follow-ups can be added, rescheduled, reworded, completed and reopened. Only open applications of non-archived opportunities have a next action, and that rule drives due, overdue and due-today visibility, filters and counts.</w:t>
      </w:r>
    </w:p>
    <w:p>
      <w:r>
        <w:t xml:space="preserve">Lifecycle interaction is guarded: an opportunity lifecycle action takes the opportunity lock, then applies the application guard, then performs the lifecycle transition, in one transaction. Submitting an application marks the opportunity Applied in the same transaction; later stage changes and closing never change the opportunity lifecycle; archiving makes the application read-only. Evaluation and reevaluation never read or write application data.</w:t>
      </w:r>
    </w:p>
    <w:p>
      <w:pPr>
        <w:pStyle w:val="Heading2"/>
      </w:pPr>
      <w:r>
        <w:t>Operations and Worker Model</w:t>
      </w:r>
    </w:p>
    <w:p>
      <w:r>
        <w:t xml:space="preserve">One evaluation worker runs at a time. It holds a PostgreSQL advisory lock on its own dedicated database connection, and expired-lease recovery runs only while the worker holds that lock and is idle. The lock is not a heartbeat: if the lock connection drops during a run and a second worker starts, the second worker’s recovery can fail a still-running task whose lease expired on its final attempt. Lease renewal and claim ownership remain documented limitations for review at final integration.</w:t>
      </w:r>
    </w:p>
    <w:p>
      <w:r>
        <w:t xml:space="preserve">GET /api/health reports database reachability and whether AI is configured, and returns 503 with no error detail when the database is unavailable. pnpm app:doctor is a read-only operational check; among other things, it reports evaluations waiting for the AI budget separately from those waiting for usage limits. API routes log only the error name, never raw error objects. End-to-end tests always use a deterministic, non-live AI credential and an isolated test database.</w:t>
      </w:r>
    </w:p>
    <w:p>
      <w:pPr>
        <w:pStyle w:val="Heading2"/>
      </w:pPr>
      <w:r>
        <w:t>Deduplication and Provenance Retention</w:t>
      </w:r>
    </w:p>
    <w:p>
      <w:r>
        <w:t xml:space="preserve">Capture normalizes first and then writes in one transaction under a capture lock: the raw SourceRecord, the duplicate decision, and either a new NORMALIZED opportunity with field provenance or the attachment of that SourceRecord to the existing opportunity. A failure leaves nothing behind; a capture whose normalization fails still preserves its raw SourceRecord, unlinked (Section 11).</w:t>
      </w:r>
    </w:p>
    <w:p>
      <w:r>
        <w:t xml:space="preserve">The deterministic engine (core-dedup-v2 since October 18, 2026; records decided earlier keep their core-dedup-v1 evidence label) returns MATCH for the same listing URL with no conflicting title, company or listing ID, or for the same source listing or requisition ID at the same normalized company; PROBABLE_MATCH for a confidence-scored similarity of title, location and description within the same normalized company, or for a shared identifier with a conflict; and NO_MATCH otherwise. MATCH attaches the new SourceRecord to the earliest-seen matching opportunity instead of creating another opportunity; that canonical opportunity’s fields, lifecycle, evaluations and application are unchanged except its last-seen time. Before saving, the user is shown the exact duplicate and may instead keep the capture as a separate opportunity, recorded as a DISTINCT decision on the duplicate relationship. PROBABLE_MATCH creates the opportunity and records the relationship, with its confidence and evidence, for review; nothing is merged on a probable match. For any detected pair, exact or probable, the user can record that the two are different jobs (DISTINCT) and can reverse that decision later, which reopens the pair as a duplicate; only the user decision changes, never the engine’s recorded decision or either opportunity.</w:t>
      </w:r>
    </w:p>
    <w:p>
      <w:r>
        <w:t xml:space="preserve">Provenance is retained on every path. An attached SourceRecord keeps its raw text and payload exactly as captured and records the duplicate decision and its evidence (matched identifiers, engine version, confidence); the canonical opportunity keeps its first-seen date and existing field provenance, and its last-seen date reflects the latest capture. Duplicate relationships record the engine’s decision, confidence and evidence. Opportunities that already exist, including those with evaluations or application records, are never merged retroactively: existing duplicates keep their own history and are linked by duplicate relationships, and the duplicate recheck above prevents paying again for the same listing. Retrieval does not merge them either (feature 11A); merging opportunities that already have history remains a separately designed step.</w:t>
      </w:r>
    </w:p>
    <w:p>
      <w:r>
        <w:t xml:space="preserve">Companies are reused by a normalized name that ignores case, punctuation, “&amp;” and one recognized trailing legal-entity suffix; stored names are never rewritten, and the entered spelling stays in the raw source and field provenance. An explicit, additive and idempotent backfill command, run deliberately against a chosen database and never as part of application setup, fills missing normalized company names and records missing duplicate relationships among existing opportunities. It never renames, merges, deletes or re-links a company or an opportunity and never changes an existing relationship; a dry run reports what it would do, and the read-only operational check reports when it is needed.</w:t>
      </w:r>
    </w:p>
    <w:p>
      <w:r>
        <w:t xml:space="preserve">Before admission, a paid evaluation request or deferred-evaluation release is refused for an opportunity that has never completed an evaluation while an unresolved exact duplicate already has a completed or active evaluation, a live admission or an open deferral (Section 33). This duplicate recheck runs together with the existing eligibility, pinned-profile and active-evaluation rechecks; a refused release leaves the deferral open and writes nothing. The check and the admission, evaluation or deferral it permits are serialized by an advisory lock held on its own connection until that write is committed, so simultaneous requests for two exact duplicates cannot both be admitted. Cross-source matching and canonical-link selection by source type (Section 15) are implemented with retrieval (below); posting history follows in feature 13.</w:t>
      </w:r>
    </w:p>
    <w:p>
      <w:pPr>
        <w:pStyle w:val="Heading2"/>
      </w:pPr>
      <w:r>
        <w:t>Automated Retrieval (Feature 11A)</w:t>
      </w:r>
    </w:p>
    <w:p>
      <w:r>
        <w:t xml:space="preserve">Collectors implement the shared contract (Section 8) in the discovery package: each source adapter maps its source’s public interface to RawOpportunity listings with retrieval provenance (retrieval type, source category, retrieval source and run, and a content hash) and never judges suitability. Production requests go through one injectable transport: plain GET requests with an identifying User-Agent, a 20-second timeout and a hard 10 MB response ceiling (a larger response is refused, never truncated), without cookies and without following redirects. Within a run, requests to one host are serialized at least one second apart, and an HTTP 429 (RATE_LIMITED) or 401/403 (ACCESS_DENIED, an access failure rather than a rate limit) stops all further requests to that host. Credentials are redacted from errors, logs and run history. Tests use a fixture transport only.</w:t>
      </w:r>
    </w:p>
    <w:p>
      <w:r>
        <w:t xml:space="preserve">Verified Type #1 adapters (each verified on October 17–18, 2026 with one approved live request, plus the approved follow-up requests named below, and a committed fixture of at most three items with recorded metadata): Greenhouse, Lever, Ashby and SmartRecruiters (employer ATS), and Remote OK, We Work Remotely, Himalayas and Working Nomads. Pagination is used only where verified: Himalayas follows its documented cursor up to the per-run page cap, and SmartRecruiters pages its list by offset (verified with one approved page-2 request) up to the same cap. With 100 postings per page, a SmartRecruiters run sees at most the newest 500 postings visible through the list interface; postings outside that window are out of scope for Feature 11A. Because the list carries no description, SmartRecruiters reads posting details, filtered by title first and capped at 25 per run: postings never stored from the source go first, oldest first (they are closest to leaving the window), and any remaining capacity goes to stored postings, longest since last checked first, so stored postings take turns and never displace unseen ones. Lever and Ashby return no employer name, so the source configuration supplies it, and field provenance records that origin. Adzuna is registered but unverified and cannot be enabled; its documented search response carries a description excerpt, which conflicts with the complete-description requirement and remains an open issue.</w:t>
      </w:r>
    </w:p>
    <w:p>
      <w:r>
        <w:t xml:space="preserve">A listing is kept only when its title contains one of the domain’s role-family terms as a whole phrase; the description is never used to keep a listing, and the complete description is preserved. The retrieved-listing normalizer records structured source facts with DIRECT provenance and text-derived facts as DETERMINISTIC. Salary amounts are normalized only when stated as annual, with a recognized currency, as one unambiguous range; several compensation tiers, or amounts without a currency, are kept as source data only. Residency comes only from explicit statements, and a time-zone requirement is never inferred. The source item is stored under rawPayload.source, never as posting history.</w:t>
      </w:r>
    </w:p>
    <w:p>
      <w:r>
        <w:t xml:space="preserve">RetrievalSource holds each configured source: disabled when created, scheduled every 12 hours by default, and due at once when first enabled. RetrievalRun records each run with its trigger, status (COMPLETED, PARTIAL or FAILED), counts and a safe error code. A source or run that produced records cannot be deleted (the foreign keys restrict deletion): removing it archives it, and only a source that never produced anything is deleted. One retrieval worker runs at a time under its own advisory lock; it queues due runs, claims one with SKIP LOCKED and a lease, and ingests each listing in its own capture transaction, so one failing listing does not stop the run. Retrieval never creates an evaluation, admission or deferral.</w:t>
      </w:r>
    </w:p>
    <w:p>
      <w:r>
        <w:t xml:space="preserve">A listing already stored from the same source with the same source listing ID is a re-observation. Unchanged content (the same hash over the listing’s material fields, which excludes volatile metadata such as fetch times, counters, tracking parameters and source update stamps) moves only the last-seen times. Changed content adds a new SourceRecord linked to the previous one; the earlier record, the opportunity and its canonical description are left unchanged, and the change is shown. Any other listing takes the capture path: MATCH attaches it as another source, PROBABLE_MATCH creates the opportunity and records the relationship, and NO_MATCH creates the opportunity. On attachment, the canonical application link moves to a strictly higher-precedence source (employer ATS or careers site, then job board or marketplace, then aggregator) with field provenance; a link the user entered is never replaced.</w:t>
      </w:r>
    </w:p>
    <w:p>
      <w:r>
        <w:t xml:space="preserve">Deduplication engine core-dedup-v2 scopes source listing IDs by source, so a Greenhouse 123 never matches a Lever 123; manually entered IDs keep their plain form, and requisition IDs and listing URLs still match across sources. Differing listing IDs count as a conflict only when both come from the same source, so a genuine cross-source URL or requisition match is not demoted because providers use different internal IDs.</w:t>
      </w:r>
    </w:p>
    <w:p>
      <w:r>
        <w:t xml:space="preserve">Sources are managed on the Sources page (add, configure, enable, disable, Run now, run history, remove or restore); an unverified adapter, or one whose required environment variables are missing, cannot be enabled. The opportunity page shows where a listing was found, the retrieval source and run, a source’s required attribution as a link back, and a “Listing changed since first seen” notice; dashboard rows show “Found via” and “Listing changed”. pnpm worker:retrieval runs the worker; pnpm sources:verify makes an adapter’s verification request and checks the mapping offline; the read-only operational check reports enabled sources, the retrieval worker and recent failed runs. Source health, backoff and freshness (feature 12), posting history and Ghost Job Risk input (feature 13), browser-assisted sources (feature 14) and source-quality analytics (feature 15) are not part of feature 11A.</w:t>
      </w:r>
    </w:p>
    <w:p>
      <w:pPr>
        <w:pStyle w:val="Heading2"/>
      </w:pPr>
      <w:r>
        <w:t>Automated Retrieval: Type #3 and Type #4 Sources (Feature 11B)</w:t>
      </w:r>
    </w:p>
    <w:p>
      <w:r>
        <w:t xml:space="preserve">Feature 11B adds the verified public/guest-endpoint (Type #3) and public-HTML (Type #4) sources to the same collector contract, worker, normalization, deduplication and provenance path, without schema change. The transport gains one method, a JSON POST, used only where a source’s verified listing request is one; it has the same identifying User-Agent, timeout, 10 MB ceiling, no-cookie and no-redirect rules, politeness queue and status handling (429 stops the host as RATE_LIMITED; 401/403 as ACCESS_DENIED). An adapter may declare a longer minimum interval between requests to its host and its own page cap. Each source was verified on October 18, 2026 with individually approved live requests (raw responses kept outside the repository) and committed fixtures of at most three items with recorded metadata.</w:t>
      </w:r>
    </w:p>
    <w:p>
      <w:r>
        <w:t xml:space="preserve">Workday (employer ATS, Type #3) is configured by the employer’s career-site address, from which the tenant and site are read. The list is a stateless JSON POST to the site’s jobs endpoint (limit 20, offset paging; the total is reported on the first page only), and each title-matching posting’s detail is a stateless GET of its posting path, capped per run with unseen postings first. Listing IDs are qualified by tenant and site, so the same posting path at two career sites is two listings while a shared requisition at the same company still matches. The company comes from the detail’s hiring organization (an optional configured name is used only when it is absent); the posting date is the absolute start date; only Remote and Onsite map to a workplace type; location-dependent pay ranges stay in the description; and daily-changing presentation fields are excluded from change detection. A run reads a bounded window: the first 100 postings the listing endpoint returns (five pages of 20). Workday does not state the order of its listing; the verified pages appeared newest first, which the adapter does not rely on.</w:t>
      </w:r>
    </w:p>
    <w:p>
      <w:r>
        <w:t xml:space="preserve">Workable (job board, Type #3) uses the Jobs by Workable search for “customer success”, following nextPageToken as pageToken up to the page cap; the results are a bounded relevance-ordered window, not the newest jobs. Each result carries the complete posting text in description, requirements and benefits sections (combined in that order), the company, locations, workplace and posting date, so no detail requests are made, and freshness stamps are excluded from change detection. A rate limit seen from one network is handled by the existing stop; Workable’s official whole-feed XML export (about 850 MB) was verified as a contingency only and is not used.</w:t>
      </w:r>
    </w:p>
    <w:p>
      <w:r>
        <w:t xml:space="preserve">Wellfound (marketplace, Type #4) parses the Next.js state embedded in its logged-out Customer Success role page instead of the visual markup: the results entry gives the page count, and each company result lists its job listings with complete descriptions (Markdown-style text, converted to plain text). Pages are read as ?page=N up to the verified page count with a source-specific cap of 11 pages and at least two seconds between requests; no job pages are requested. Compensation text is kept as source data only. Welcome to the Jungle / Otta (Type #3) is registered but unverified and cannot be enabled: on October 18, 2026 its logged-out search returned a sign-up and matching flow with no listings, job IDs, paging or anonymous listing endpoint. Browser-assisted collection (feature 14) may reconsider it.</w:t>
      </w:r>
    </w:p>
    <w:p>
      <w:pPr>
        <w:pStyle w:val="Heading2"/>
      </w:pPr>
      <w:r>
        <w:t>Source Health and Conservative Retrieval (Feature 12)</w:t>
      </w:r>
    </w:p>
    <w:p>
      <w:r>
        <w:t xml:space="preserve">Feature 12 adds deterministic source health and conservative retrieval around the existing adapters, without changing any adapter contract, ingestion, deduplication or the evaluator. Within a run, the transport classifies HTTP 5xx responses as SERVER_ERROR (other unexpected statuses remain HTTP_STATUS) and stops all further requests to a host after any server error, as it already did after a 429 (RATE_LIMITED) or a 401/403 (ACCESS_DENIED); adapters that request posting details stop requesting them on the same failures. A valid Retry-After sent with a 429 or 503 (delta-seconds, or an HTTP date in the future) is carried with the failure; an unparsable, zero, negative or past value is ignored. Nothing is retried within a run, and no source is ever disabled automatically.</w:t>
      </w:r>
    </w:p>
    <w:p>
      <w:r>
        <w:t xml:space="preserve">After each run the worker records the run’s outcome and, in the same transaction, the source’s single gate, RetrievalSource.nextEligibleAt; RetrievalRun.retryAfterUntil keeps the exact wait the source asked for in that run. A successful retrieval is a COMPLETED run, or a PARTIAL run caused only by listings that could not be stored; it clears the gate. A run stopped by a source failure, including a PARTIAL one, is a source failure and never counts as a successful retrieval. Failures on the platform’s side (an internal error, an interrupted worker, a source disabled before its run started, an unavailable adapter) are neutral and change neither health nor backoff. With S the source’s schedule and n its consecutive source failures: a rate limit waits min(S·2^(n−1), 7 days); a server error, network failure or other HTTP failure keeps the normal schedule the first time and then waits min(S·2^(n−1), 7 days); an access refusal, contract mismatch, settings problem or oversized response waits min(max(S, 1 day)·2^(n−1), 7 days). A valid Retry-After is honoured in full, however long: the gate is the later of it and the computed backoff.</w:t>
      </w:r>
    </w:p>
    <w:p>
      <w:r>
        <w:t xml:space="preserve">The scheduler queues a source only once its gate has passed. Run now can never pass a live rate limit (after a 429) or a wait the source asked for with Retry-After on another response such as a 503, and reports the two distinctly (SOURCE_RATE_LIMITED and SOURCE_PROVIDER_WAIT, each with its date). When the platform’s own backoff outlasts a source’s Retry-After, the gate is a provider wait until the source’s date and backoff after it. Backoff (SOURCE_BACKING_OFF) can be passed only by an explicit “Run now anyway”, which permits one run whose outcome recalculates the gate as usual. A change to a source’s settings clears only the platform’s own backoff, never a rate limit or a provider wait, and enabling or disabling a source never changes its gate.</w:t>
      </w:r>
    </w:p>
    <w:p>
      <w:r>
        <w:t xml:space="preserve">Source health is derived from the run history rather than stored: a status (Healthy, Degraded, Failing, Needs attention, Rate limited, Waiting as requested by the source, Not yet run, Queued, Running or Cannot run; disabled and archived sources stay neutral), the failure streak, the last attempt, the last successful retrieval, the latest failure, and the next run with its reason. A source whose last successful retrieval is older than two schedule intervals is stale, and a successful retrieval that returned no listings is noted as information, never as a failure. The Sources page shows this health, disables Run now with “Rate limited until …” or “Retry after … (requested by the source)”, and asks for confirmation before running past backoff; the read-only operational check warns about enabled sources that are rate limited, waiting, failing, needing attention or stale. Listing expiry and removal detection belongs to feature 13 (posting history).</w:t>
      </w:r>
    </w:p>
    <w:p>
      <w:pPr>
        <w:pStyle w:val="Heading2"/>
      </w:pPr>
      <w:r>
        <w:t>Posting History and Listing Removal (Feature 13)</w:t>
      </w:r>
    </w:p>
    <w:p>
      <w:r>
        <w:t xml:space="preserve">Feature 13 records each retrieved listing’s posting history without changing what is retrieved, how listings are ingested or deduplicated, or the evaluator. A run may report its listing coverage: the IDs of every listing the source listed, read before the local title filter (which still decides what enters Customer Success ingestion), and whether the run read the whole listing as one consistent snapshot. Only Greenhouse, Lever and Ashby (a successful whole-board response) and Workday and SmartRecruiters (only when the source’s stated total fits within the page cap and every page needed was read) can confirm that a listing is gone. Where a source states a total, a run is complete only when its unique listing IDs equal that total exactly; any listed item without a usable ID, a halted run, or a stop at the page cap makes it incomplete. Wellfound (complete only within its role scope), Himalayas, Remote OK, Working Nomads, Workable and We Work Remotely never confirm removal; they record positive sightings only.</w:t>
      </w:r>
    </w:p>
    <w:p>
      <w:r>
        <w:t xml:space="preserve">RetrievedListing holds one row per stored listing of a configured source within a tracking-scope generation: when it was first and last seen listed, the state (HISTORICAL, LISTED, MISSING, REMOVED or UNTRACKED), the start and count of its absences, the confirmed removal, reappearances, and any expiry the source states (display only). RetrievalSource.trackingScopeKey is an opaque generation key: a new source gets a fresh key, and a settings change to the fields that decide which listings the source retrieves (the board, site, company identifier or career site, never a display-only name or page size) assigns a new key and makes every earlier row UNTRACKED history, so a source that returns to earlier settings starts fresh rather than inheriting that earlier history. Listings retrieved before feature 13 were backfilled as HISTORICAL in a baseline scope (first discovered and last observed, never currently listed); a source’s first run adopts that baseline into its first generation unless a scope-changing settings change came first, in which case it stays UNTRACKED.</w:t>
      </w:r>
    </w:p>
    <w:p>
      <w:r>
        <w:t xml:space="preserve">After each run, in one transaction: every listing the run saw listed becomes LISTED and moves its opportunity’s last-seen time (SourceRecord.lastObservedAt keeps meaning content observed); a REMOVED listing seen again counts as a reappearance, a MISSING one simply clears. On a qualifying run (complete, from a removal-capable source, a successful retrieval in the feature 12 sense, in the current scope), a LISTED listing not seen becomes MISSING, and a MISSING one is confirmed REMOVED only after two consecutive qualifying misses at least 24 hours after the first. Absence on any other run is ignored, HISTORICAL rows change only when seen, and nothing changes an opportunity’s lifecycle status.</w:t>
      </w:r>
    </w:p>
    <w:p>
      <w:r>
        <w:t xml:space="preserve">Deterministic posting-history facts are derived from the ledger and the stored content versions, using the evaluator’s posting-history fact types: ACTIVE_ATS and CURRENT_POSTING (a positive sighting within two schedule intervals), REPOSTED (listed again after a confirmed removal in the same scope), CLOSED_ATS_VISIBLE_ELSEWHERE (an employer-ATS removal followed by a later sighting on a job board, aggregator or marketplace), AGGREGATOR_VISIBILITY, and UNCHANGED_OVER_TIME (the latest content version re-observed through a content-bearing retrieval at least 30 days after it was stored). They are contract-tested against the evaluator’s input schema but withheld from it: loadSubject() is unchanged, so Ghost Job Risk still receives no posting history and evaluation routing, cost and recommendations are unchanged until the coordinated evaluator integration. The opportunity page shows each listing’s history and these facts without a risk label; a dashboard row shows “No longer listed” only when every current-scope listing from a removal-capable source is confirmed removed and no source saw it afterwards, and requesting an evaluation then shows a warning, not a block. Text-based signals and repost patterns across new listing IDs are not derived (feature 18).</w:t>
      </w:r>
    </w:p>
    <w:p>
      <w:pPr>
        <w:pStyle w:val="Heading2"/>
      </w:pPr>
      <w:r>
        <w:t>Per-Operation Model Routing</w:t>
      </w:r>
    </w:p>
    <w:p>
      <w:r>
        <w:t>Semantic execution remains versioned per operation. The current Customer Success routing lock uses GPT-5.6 Terra for JD Reconstruction and Resume Match; GPT-5.6 Luna for Job Evaluation, Organizational Maturity, Alex Fit, and Opportunity Priority; GPT-6 Luna for Company Alignment and Burnout Risk; and deterministic logic for Hard Filters, no-history Ghost Job Risk, and Final Recommendation.</w:t>
      </w:r>
    </w:p>
    <w:p>
      <w:r>
        <w:t xml:space="preserve">Branch state (October 15, 2026): the GPT-6 Luna routes and the Customer Success release of salary/currency/residency fields to evaluator input are implemented on the Codex evaluator branch and are combined with the main-product branch at final integration. Until then, the main-product branch keeps the earlier routing and withholds all normalized Task 7 fields from evaluator input.</w:t>
      </w:r>
    </w:p>
    <w:p>
      <w:r>
        <w:t>Semantic execution now supports versioned per-operation model routing rather than a single global model. Routing configuration may select different provider models for different semantic operations while preserving the same provider-to-domain conversion, domain validation, persistence, API, UI, and recommendation contracts.</w:t>
      </w:r>
    </w:p>
    <w:p>
      <w:pPr>
        <w:pStyle w:val="Heading2"/>
      </w:pPr>
      <w:r>
        <w:t>Cost-Optimization Architecture</w:t>
      </w:r>
    </w:p>
    <w:p>
      <w:r>
        <w:t>Cost optimization is performed at semantic-operation boundaries. Provider transport schemas and provider inputs may be reduced when authoritative application data can be restored deterministically after the model call. These optimizations must not change persisted domain schemas, evidence semantics, Unknown handling, recommendation behavior, or user-facing result meaning.</w:t>
      </w:r>
    </w:p>
    <w:p>
      <w:r>
        <w:t>Accepted optimization work has already reduced Resume Match and JD Reconstruction request volume. Further optimization remains limited to semantics-preserving changes and must be verified against the last known-good behavior before adoption.</w:t>
      </w:r>
    </w:p>
    <w:p>
      <w:pPr>
        <w:pStyle w:val="Heading2"/>
      </w:pPr>
      <w:r>
        <w:t>Current Product Sequence</w:t>
      </w:r>
    </w:p>
    <w:p>
      <w:r>
        <w:t>The Task 1–9 completion pass for features 1–10 is complete (Task 8 Application Tracker and Task 9 operational hardening, October 16, 2026). The features 1–10 gap audit and the Features 1–10 Gap Closure followed (October 17, 2026), then feature 11, automated retrieval: 11A, the verified official API and feed sources, and 11B, the verified public/guest-endpoint and public-HTML sources (both October 18, 2026), feature 12, source health and conservative retrieval (October 18, 2026), and feature 13, posting history and listing removal (October 19, 2026). Main-product features 11–18 together add retrieval/source health/posting history/browser extension/source intelligence/market analytics/personal analytics/company intelligence.</w:t>
      </w:r>
    </w:p>
    <w:p>
      <w:r>
        <w:t xml:space="preserve">Retrieval/source adapters connect through the existing RawOpportunity → Normalization → Deduplication → Domain Evaluation boundary.</w:t>
      </w:r>
    </w:p>
    <w:p>
      <w:pPr>
        <w:pStyle w:val="Heading2"/>
      </w:pPr>
      <w:r>
        <w:t>Final Integration Rule</w:t>
      </w:r>
    </w:p>
    <w:p>
      <w:r>
        <w:t>Final branch integration, full migrations/typecheck/lint/build/integration/E2E acceptance, any explicitly authorized live evaluation, evaluator freeze, and deliberate merge occur only after all intended main-product work is complete. DB-backed tests must use a dedicated isolated test database; the normal application database must not be used for experiments or validation without explicit authorization.</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32A324B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w:t>
      </w:r>
    </w:p>
    <w:p w14:paraId="37C4FE4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Version: 1.11</w:t>
        <w:br/>
        <w:t>Status: Updated Technical Design</w:t>
      </w:r>
    </w:p>
    <w:p w14:paraId="44C4EA2B"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5A"/>
    <w:multiLevelType w:val="multilevel"/>
    <w:tmpl w:val="2FA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FE9"/>
    <w:multiLevelType w:val="multilevel"/>
    <w:tmpl w:val="0B4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80E"/>
    <w:multiLevelType w:val="multilevel"/>
    <w:tmpl w:val="7B9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346"/>
    <w:multiLevelType w:val="multilevel"/>
    <w:tmpl w:val="68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59C1"/>
    <w:multiLevelType w:val="multilevel"/>
    <w:tmpl w:val="37C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7759"/>
    <w:multiLevelType w:val="multilevel"/>
    <w:tmpl w:val="CED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CEC"/>
    <w:multiLevelType w:val="multilevel"/>
    <w:tmpl w:val="078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352"/>
    <w:multiLevelType w:val="multilevel"/>
    <w:tmpl w:val="2F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6C37"/>
    <w:multiLevelType w:val="multilevel"/>
    <w:tmpl w:val="705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45100"/>
    <w:multiLevelType w:val="multilevel"/>
    <w:tmpl w:val="7E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5981"/>
    <w:multiLevelType w:val="multilevel"/>
    <w:tmpl w:val="0A1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4E6"/>
    <w:multiLevelType w:val="multilevel"/>
    <w:tmpl w:val="A2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A12"/>
    <w:multiLevelType w:val="multilevel"/>
    <w:tmpl w:val="C32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3A46"/>
    <w:multiLevelType w:val="multilevel"/>
    <w:tmpl w:val="D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526"/>
    <w:multiLevelType w:val="multilevel"/>
    <w:tmpl w:val="A6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B6FAD"/>
    <w:multiLevelType w:val="multilevel"/>
    <w:tmpl w:val="313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669"/>
    <w:multiLevelType w:val="multilevel"/>
    <w:tmpl w:val="C4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FDE"/>
    <w:multiLevelType w:val="multilevel"/>
    <w:tmpl w:val="89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1F99"/>
    <w:multiLevelType w:val="multilevel"/>
    <w:tmpl w:val="BAD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5274A"/>
    <w:multiLevelType w:val="multilevel"/>
    <w:tmpl w:val="0FF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E0DE4"/>
    <w:multiLevelType w:val="multilevel"/>
    <w:tmpl w:val="4E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E4DD4"/>
    <w:multiLevelType w:val="multilevel"/>
    <w:tmpl w:val="0F7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1719C"/>
    <w:multiLevelType w:val="multilevel"/>
    <w:tmpl w:val="84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55"/>
    <w:multiLevelType w:val="multilevel"/>
    <w:tmpl w:val="420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73F19"/>
    <w:multiLevelType w:val="multilevel"/>
    <w:tmpl w:val="A03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913"/>
    <w:multiLevelType w:val="multilevel"/>
    <w:tmpl w:val="52B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5683"/>
    <w:multiLevelType w:val="multilevel"/>
    <w:tmpl w:val="3F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7D42"/>
    <w:multiLevelType w:val="multilevel"/>
    <w:tmpl w:val="24D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4352"/>
    <w:multiLevelType w:val="multilevel"/>
    <w:tmpl w:val="B4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33FD"/>
    <w:multiLevelType w:val="multilevel"/>
    <w:tmpl w:val="5F7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02E9"/>
    <w:multiLevelType w:val="multilevel"/>
    <w:tmpl w:val="9B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03866"/>
    <w:multiLevelType w:val="multilevel"/>
    <w:tmpl w:val="D57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81E"/>
    <w:multiLevelType w:val="multilevel"/>
    <w:tmpl w:val="A01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A1102"/>
    <w:multiLevelType w:val="multilevel"/>
    <w:tmpl w:val="4EA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634351">
    <w:abstractNumId w:val="13"/>
  </w:num>
  <w:num w:numId="2" w16cid:durableId="1693678601">
    <w:abstractNumId w:val="27"/>
  </w:num>
  <w:num w:numId="3" w16cid:durableId="1992446371">
    <w:abstractNumId w:val="18"/>
  </w:num>
  <w:num w:numId="4" w16cid:durableId="1399673271">
    <w:abstractNumId w:val="12"/>
  </w:num>
  <w:num w:numId="5" w16cid:durableId="1759909028">
    <w:abstractNumId w:val="6"/>
  </w:num>
  <w:num w:numId="6" w16cid:durableId="1069691761">
    <w:abstractNumId w:val="3"/>
  </w:num>
  <w:num w:numId="7" w16cid:durableId="264919446">
    <w:abstractNumId w:val="15"/>
  </w:num>
  <w:num w:numId="8" w16cid:durableId="694766818">
    <w:abstractNumId w:val="7"/>
  </w:num>
  <w:num w:numId="9" w16cid:durableId="404567451">
    <w:abstractNumId w:val="16"/>
  </w:num>
  <w:num w:numId="10" w16cid:durableId="676886448">
    <w:abstractNumId w:val="8"/>
  </w:num>
  <w:num w:numId="11" w16cid:durableId="325016724">
    <w:abstractNumId w:val="32"/>
  </w:num>
  <w:num w:numId="12" w16cid:durableId="448818519">
    <w:abstractNumId w:val="23"/>
  </w:num>
  <w:num w:numId="13" w16cid:durableId="956986888">
    <w:abstractNumId w:val="22"/>
  </w:num>
  <w:num w:numId="14" w16cid:durableId="1717507983">
    <w:abstractNumId w:val="26"/>
  </w:num>
  <w:num w:numId="15" w16cid:durableId="428745692">
    <w:abstractNumId w:val="0"/>
  </w:num>
  <w:num w:numId="16" w16cid:durableId="639921748">
    <w:abstractNumId w:val="28"/>
  </w:num>
  <w:num w:numId="17" w16cid:durableId="757407462">
    <w:abstractNumId w:val="25"/>
  </w:num>
  <w:num w:numId="18" w16cid:durableId="1231884620">
    <w:abstractNumId w:val="4"/>
  </w:num>
  <w:num w:numId="19" w16cid:durableId="1995909334">
    <w:abstractNumId w:val="17"/>
  </w:num>
  <w:num w:numId="20" w16cid:durableId="1226179584">
    <w:abstractNumId w:val="21"/>
  </w:num>
  <w:num w:numId="21" w16cid:durableId="1260606566">
    <w:abstractNumId w:val="10"/>
  </w:num>
  <w:num w:numId="22" w16cid:durableId="46495235">
    <w:abstractNumId w:val="1"/>
  </w:num>
  <w:num w:numId="23" w16cid:durableId="1584141578">
    <w:abstractNumId w:val="5"/>
  </w:num>
  <w:num w:numId="24" w16cid:durableId="549341663">
    <w:abstractNumId w:val="24"/>
  </w:num>
  <w:num w:numId="25" w16cid:durableId="288360598">
    <w:abstractNumId w:val="11"/>
  </w:num>
  <w:num w:numId="26" w16cid:durableId="1523281070">
    <w:abstractNumId w:val="2"/>
  </w:num>
  <w:num w:numId="27" w16cid:durableId="1467774056">
    <w:abstractNumId w:val="9"/>
  </w:num>
  <w:num w:numId="28" w16cid:durableId="1218199334">
    <w:abstractNumId w:val="30"/>
  </w:num>
  <w:num w:numId="29" w16cid:durableId="27268937">
    <w:abstractNumId w:val="20"/>
  </w:num>
  <w:num w:numId="30" w16cid:durableId="1861357790">
    <w:abstractNumId w:val="31"/>
  </w:num>
  <w:num w:numId="31" w16cid:durableId="2117602897">
    <w:abstractNumId w:val="14"/>
  </w:num>
  <w:num w:numId="32" w16cid:durableId="746265192">
    <w:abstractNumId w:val="33"/>
  </w:num>
  <w:num w:numId="33" w16cid:durableId="1617713220">
    <w:abstractNumId w:val="19"/>
  </w:num>
  <w:num w:numId="34" w16cid:durableId="9247290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6A"/>
    <w:rsid w:val="0005386A"/>
    <w:rsid w:val="00131F19"/>
    <w:rsid w:val="001F18C5"/>
    <w:rsid w:val="00307A7E"/>
    <w:rsid w:val="0039572E"/>
    <w:rsid w:val="00670D11"/>
    <w:rsid w:val="007E65C3"/>
    <w:rsid w:val="00814372"/>
    <w:rsid w:val="00A2266A"/>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E46B"/>
  <w15:chartTrackingRefBased/>
  <w15:docId w15:val="{FD4CBDEA-52CC-4033-8831-D96FA8C3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6A"/>
    <w:rPr>
      <w:rFonts w:eastAsiaTheme="majorEastAsia" w:cstheme="majorBidi"/>
      <w:color w:val="272727" w:themeColor="text1" w:themeTint="D8"/>
    </w:rPr>
  </w:style>
  <w:style w:type="paragraph" w:styleId="Title">
    <w:name w:val="Title"/>
    <w:basedOn w:val="Normal"/>
    <w:next w:val="Normal"/>
    <w:link w:val="TitleChar"/>
    <w:uiPriority w:val="10"/>
    <w:qFormat/>
    <w:rsid w:val="00A2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6A"/>
    <w:pPr>
      <w:spacing w:before="160"/>
      <w:jc w:val="center"/>
    </w:pPr>
    <w:rPr>
      <w:i/>
      <w:iCs/>
      <w:color w:val="404040" w:themeColor="text1" w:themeTint="BF"/>
    </w:rPr>
  </w:style>
  <w:style w:type="character" w:customStyle="1" w:styleId="QuoteChar">
    <w:name w:val="Quote Char"/>
    <w:basedOn w:val="DefaultParagraphFont"/>
    <w:link w:val="Quote"/>
    <w:uiPriority w:val="29"/>
    <w:rsid w:val="00A2266A"/>
    <w:rPr>
      <w:i/>
      <w:iCs/>
      <w:color w:val="404040" w:themeColor="text1" w:themeTint="BF"/>
    </w:rPr>
  </w:style>
  <w:style w:type="paragraph" w:styleId="ListParagraph">
    <w:name w:val="List Paragraph"/>
    <w:basedOn w:val="Normal"/>
    <w:uiPriority w:val="34"/>
    <w:qFormat/>
    <w:rsid w:val="00A2266A"/>
    <w:pPr>
      <w:ind w:left="720"/>
      <w:contextualSpacing/>
    </w:pPr>
  </w:style>
  <w:style w:type="character" w:styleId="IntenseEmphasis">
    <w:name w:val="Intense Emphasis"/>
    <w:basedOn w:val="DefaultParagraphFont"/>
    <w:uiPriority w:val="21"/>
    <w:qFormat/>
    <w:rsid w:val="00A2266A"/>
    <w:rPr>
      <w:i/>
      <w:iCs/>
      <w:color w:val="2F5496" w:themeColor="accent1" w:themeShade="BF"/>
    </w:rPr>
  </w:style>
  <w:style w:type="paragraph" w:styleId="IntenseQuote">
    <w:name w:val="Intense Quote"/>
    <w:basedOn w:val="Normal"/>
    <w:next w:val="Normal"/>
    <w:link w:val="IntenseQuoteChar"/>
    <w:uiPriority w:val="30"/>
    <w:qFormat/>
    <w:rsid w:val="00A2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6A"/>
    <w:rPr>
      <w:i/>
      <w:iCs/>
      <w:color w:val="2F5496" w:themeColor="accent1" w:themeShade="BF"/>
    </w:rPr>
  </w:style>
  <w:style w:type="character" w:styleId="IntenseReference">
    <w:name w:val="Intense Reference"/>
    <w:basedOn w:val="DefaultParagraphFont"/>
    <w:uiPriority w:val="32"/>
    <w:qFormat/>
    <w:rsid w:val="00A2266A"/>
    <w:rPr>
      <w:b/>
      <w:bCs/>
      <w:smallCaps/>
      <w:color w:val="2F5496" w:themeColor="accent1" w:themeShade="BF"/>
      <w:spacing w:val="5"/>
    </w:rPr>
  </w:style>
  <w:style w:type="numbering" w:customStyle="1" w:styleId="NoList1">
    <w:name w:val="No List1"/>
    <w:next w:val="NoList"/>
    <w:uiPriority w:val="99"/>
    <w:semiHidden/>
    <w:unhideWhenUsed/>
    <w:rsid w:val="00A2266A"/>
  </w:style>
  <w:style w:type="paragraph" w:customStyle="1" w:styleId="msonormal0">
    <w:name w:val="msonormal"/>
    <w:basedOn w:val="Normal"/>
    <w:rsid w:val="00A2266A"/>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A2266A"/>
  </w:style>
  <w:style w:type="character" w:styleId="Strong">
    <w:name w:val="Strong"/>
    <w:basedOn w:val="DefaultParagraphFont"/>
    <w:uiPriority w:val="22"/>
    <w:qFormat/>
    <w:rsid w:val="00A2266A"/>
    <w:rPr>
      <w:b/>
      <w:bCs/>
    </w:rPr>
  </w:style>
  <w:style w:type="paragraph" w:styleId="NormalWeb">
    <w:name w:val="Normal (Web)"/>
    <w:basedOn w:val="Normal"/>
    <w:uiPriority w:val="99"/>
    <w:semiHidden/>
    <w:unhideWhenUsed/>
    <w:rsid w:val="00A2266A"/>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A226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2266A"/>
    <w:rPr>
      <w:rFonts w:ascii="Courier New" w:eastAsia="Times New Roman" w:hAnsi="Courier New" w:cs="Courier New"/>
      <w:kern w:val="0"/>
      <w:sz w:val="20"/>
      <w:szCs w:val="20"/>
    </w:rPr>
  </w:style>
  <w:style w:type="character" w:customStyle="1" w:styleId="g">
    <w:name w:val="ͼg"/>
    <w:basedOn w:val="DefaultParagraphFont"/>
    <w:rsid w:val="00A2266A"/>
  </w:style>
  <w:style w:type="character" w:customStyle="1" w:styleId="m">
    <w:name w:val="ͼm"/>
    <w:basedOn w:val="DefaultParagraphFont"/>
    <w:rsid w:val="00A2266A"/>
  </w:style>
  <w:style w:type="character" w:customStyle="1" w:styleId="k">
    <w:name w:val="ͼk"/>
    <w:basedOn w:val="DefaultParagraphFont"/>
    <w:rsid w:val="00A2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2026-08-08T18:44:00Z</dcterms:created>
  <dcterms:modified xsi:type="dcterms:W3CDTF">2026-08-08T18:47:00Z</dcterms:modified>
</cp:coreProperties>
</file>