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1.7</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17,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v1.6</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1.7 — October 17, 2026 — Added implementation-status summaries for deduplication and provenance retention (the capture transaction, duplicate outcomes, source retention, reversible user resolution, company-name normalization and the duplicate recheck before paid evaluation) and for usage reporting by domain and job source; updated the dependency to Core AI Framework PRD v1.6 and the main-product sequence. The design sections are unchanged.</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architecture should prioritize a </w:t>
      </w:r>
      <w:r>
        <w:rPr>
          <w:rFonts w:ascii="Times New Roman" w:eastAsia="Times New Roman" w:hAnsi="Times New Roman" w:cs="Times New Roman"/>
          <w:b/>
          <w:bCs/>
          <w:kern w:val="0"/>
          <w14:ligatures w14:val="none"/>
        </w:rPr>
        <w:t>working MVP</w:t>
      </w:r>
      <w:r>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should remain </w:t>
      </w: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platform should initially be implemented as a </w:t>
      </w:r>
      <w:r>
        <w:rPr>
          <w:rFonts w:ascii="Times New Roman" w:eastAsia="Times New Roman" w:hAnsi="Times New Roman" w:cs="Times New Roman"/>
          <w:b/>
          <w:bCs/>
          <w:kern w:val="0"/>
          <w14:ligatures w14:val="none"/>
        </w:rPr>
        <w:t>modular monolith</w:t>
      </w:r>
      <w:r>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Vitest/Jest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an </w:t>
      </w:r>
      <w:r>
        <w:rPr>
          <w:rFonts w:ascii="Times New Roman" w:eastAsia="Times New Roman" w:hAnsi="Times New Roman" w:cs="Times New Roman"/>
          <w:b/>
          <w:bCs/>
          <w:kern w:val="0"/>
          <w14:ligatures w14:val="none"/>
        </w:rPr>
        <w:t>Opportunity</w:t>
      </w:r>
      <w:r>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travelRequirement</w:t>
      </w:r>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timezoneRequirement</w:t>
      </w:r>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closingDate</w:t>
      </w:r>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canonicalUrl</w:t>
      </w:r>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applicationUrl</w:t>
      </w:r>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sourceRecords[]</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firstSeen</w:t>
      </w:r>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lastSeen</w:t>
      </w:r>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SourceRecord</w:t>
      </w:r>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rawTitle</w:t>
      </w:r>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rawCompany</w:t>
      </w:r>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rawLocation</w:t>
      </w:r>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rawDescription</w:t>
      </w:r>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discoveredAt</w:t>
      </w:r>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lastObservedAt</w:t>
      </w:r>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Adzuna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RawOpportunity</w:t>
      </w:r>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salaryText</w:t>
      </w:r>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sourceMetadata</w:t>
      </w:r>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Normalization Engine converts </w:t>
      </w:r>
      <w:r>
        <w:rPr>
          <w:rFonts w:ascii="Courier New" w:eastAsia="Times New Roman" w:hAnsi="Courier New" w:cs="Courier New"/>
          <w:kern w:val="0"/>
          <w:sz w:val="20"/>
          <w:szCs w:val="20"/>
          <w14:ligatures w14:val="none"/>
        </w:rPr>
        <w:t>RawOpportunity</w:t>
      </w:r>
      <w:r>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RawOpportunity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 job_description</w:t>
      </w:r>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important because later evaluation stages need to know </w:t>
      </w:r>
      <w:r>
        <w:rPr>
          <w:rFonts w:ascii="Times New Roman" w:eastAsia="Times New Roman" w:hAnsi="Times New Roman" w:cs="Times New Roman"/>
          <w:b/>
          <w:bCs/>
          <w:kern w:val="0"/>
          <w14:ligatures w14:val="none"/>
        </w:rPr>
        <w:t>where a fact came from</w:t>
      </w:r>
      <w:r>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MATCH</w:t>
      </w:r>
      <w:r>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PROBABLE_MATCH</w:t>
      </w:r>
      <w:r>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lastRenderedPageBreak/>
        <w:t>NO_MATCH</w:t>
      </w:r>
      <w:r>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preference affects the canonical application link,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DomainEvaluator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w:t>
      </w:r>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 UserProfile</w:t>
      </w:r>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Promise&lt;EvaluationResult&gt;;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CustomerSuccessEvaluator</w:t>
      </w:r>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FreelanceWritingEvaluator</w:t>
      </w:r>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EvaluationStage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evaluate(context: EvaluationContext): Promise&lt;StageResult&gt;;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EvaluationContext</w:t>
      </w:r>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rawSources</w:t>
      </w:r>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previousStageResults</w:t>
      </w:r>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domainConfiguration</w:t>
      </w:r>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important architecture rules is deciding </w:t>
      </w:r>
      <w:r>
        <w:rPr>
          <w:rFonts w:ascii="Times New Roman" w:eastAsia="Times New Roman" w:hAnsi="Times New Roman" w:cs="Times New Roman"/>
          <w:b/>
          <w:bCs/>
          <w:kern w:val="0"/>
          <w14:ligatures w14:val="none"/>
        </w:rPr>
        <w:t>what AI should and should not decide</w:t>
      </w:r>
      <w:r>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 "role_seniority",</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"confidence": "strong_evidence",</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"reasoning_summary":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EvidenceRecord</w:t>
      </w:r>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stageId</w:t>
      </w:r>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criterionId</w:t>
      </w:r>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sourceReference</w:t>
      </w:r>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sourceText</w:t>
      </w:r>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evidenceLevel</w:t>
      </w:r>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createdAt</w:t>
      </w:r>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confirmed</w:t>
      </w:r>
      <w:r>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strong_evidence</w:t>
      </w:r>
      <w:r>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possible</w:t>
      </w:r>
      <w:r>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conflicting</w:t>
      </w:r>
      <w:r>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must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claimA</w:t>
      </w:r>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claimB</w:t>
      </w:r>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measures </w:t>
      </w:r>
      <w:r>
        <w:rPr>
          <w:rFonts w:ascii="Times New Roman" w:eastAsia="Times New Roman" w:hAnsi="Times New Roman" w:cs="Times New Roman"/>
          <w:b/>
          <w:bCs/>
          <w:kern w:val="0"/>
          <w14:ligatures w14:val="none"/>
        </w:rPr>
        <w:t>evidence strength</w:t>
      </w:r>
      <w:r>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w:t>
      </w:r>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careerGoals</w:t>
      </w:r>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transferableSkills</w:t>
      </w:r>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locationPreferences</w:t>
      </w:r>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compensationPreferences</w:t>
      </w:r>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workPreferences</w:t>
      </w:r>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customer-success.config</w:t>
      </w:r>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salaryThresholds</w:t>
      </w:r>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locationRules</w:t>
      </w:r>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travelRules</w:t>
      </w:r>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targetCompanies</w:t>
      </w:r>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targetProducts</w:t>
      </w:r>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customerSegments</w:t>
      </w:r>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evaluationStages</w:t>
      </w:r>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recommendationRules</w:t>
      </w:r>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ScoreResult</w:t>
      </w:r>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LLM should </w:t>
      </w:r>
      <w:r>
        <w:rPr>
          <w:rFonts w:ascii="Times New Roman" w:eastAsia="Times New Roman" w:hAnsi="Times New Roman" w:cs="Times New Roman"/>
          <w:b/>
          <w:bCs/>
          <w:kern w:val="0"/>
          <w14:ligatures w14:val="none"/>
        </w:rPr>
        <w:t>not independently decide Apply / Review / Skip</w:t>
      </w:r>
      <w:r>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scoreSummary</w:t>
      </w:r>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strongestPositives[]</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strongestConcerns[]</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evaluationVersion</w:t>
      </w:r>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domainVersion</w:t>
      </w:r>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promptVersion</w:t>
      </w:r>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userProfileVersion</w:t>
      </w:r>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failure should be retryable.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failure should be retryable.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job descriptions and websites as </w:t>
      </w:r>
      <w:r>
        <w:rPr>
          <w:rFonts w:ascii="Times New Roman" w:eastAsia="Times New Roman" w:hAnsi="Times New Roman" w:cs="Times New Roman"/>
          <w:b/>
          <w:bCs/>
          <w:kern w:val="0"/>
          <w14:ligatures w14:val="none"/>
        </w:rPr>
        <w:t>untrusted input</w:t>
      </w:r>
      <w:r>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evaluation layer must treat all collected content as </w:t>
      </w:r>
      <w:r>
        <w:rPr>
          <w:rFonts w:ascii="Times New Roman" w:eastAsia="Times New Roman" w:hAnsi="Times New Roman" w:cs="Times New Roman"/>
          <w:b/>
          <w:bCs/>
          <w:kern w:val="0"/>
          <w14:ligatures w14:val="none"/>
        </w:rPr>
        <w:t>data only</w:t>
      </w:r>
      <w:r>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conflicting-jd/</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build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retryable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 A time-zone requirement is recorded only when the user states it and is withheld from evaluator input.</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Usage reporting also shows provider-reported tokens and known spend by domain and job source for the budget period, with unreported tokens and unknown-cost attempts counted separately.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Deduplication and Provenance Retention</w:t>
      </w:r>
    </w:p>
    <w:p>
      <w:r>
        <w:t xml:space="preserve">Capture normalizes first and then writes in one transaction under a capture lock: the raw SourceRecord, the duplicate decision, and either a new NORMALIZED opportunity with field provenance or the attachment of that SourceRecord to the existing opportunity. A failure leaves nothing behind; a capture whose normalization fails still preserves its raw SourceRecord, unlinked (Section 11).</w:t>
      </w:r>
    </w:p>
    <w:p>
      <w:r>
        <w:t xml:space="preserve">The deterministic engine (core-dedup-v1) returns MATCH for the same listing URL with no conflicting title, company or listing ID, or for the same source listing or requisition ID at the same normalized company; PROBABLE_MATCH for a confidence-scored similarity of title, location and description within the same normalized company, or for a shared identifier with a conflict; and NO_MATCH otherwise. MATCH attaches the new SourceRecord to the earliest-seen matching opportunity instead of creating another opportunity; that canonical opportunity’s fields, lifecycle, evaluations and application are unchanged except its last-seen time. Before saving, the user is shown the exact duplicate and may instead keep the capture as a separate opportunity, recorded as a DISTINCT decision on the duplicate relationship. PROBABLE_MATCH creates the opportunity and records the relationship, with its confidence and evidence, for review; nothing is merged on a probable match. For any detected pair, exact or probable, the user can record that the two are different jobs (DISTINCT) and can reverse that decision later, which reopens the pair as a duplicate; only the user decision changes, never the engine’s recorded decision or either opportunity.</w:t>
      </w:r>
    </w:p>
    <w:p>
      <w:r>
        <w:t xml:space="preserve">Provenance is retained on every path. An attached SourceRecord keeps its raw text and payload exactly as captured and records the duplicate decision and its evidence (matched identifiers, engine version, confidence); the canonical opportunity keeps its first-seen date and existing field provenance, and its last-seen date reflects the latest capture. Duplicate relationships record the engine’s decision, confidence and evidence. Opportunities that already exist, including those with evaluations or application records, are never merged retroactively: existing duplicates keep their own history and are linked by duplicate relationships, and the duplicate recheck above prevents paying again for the same listing. Merging opportunities that already have history remains a separately designed step for retrieval (feature 11).</w:t>
      </w:r>
    </w:p>
    <w:p>
      <w:r>
        <w:t xml:space="preserve">Companies are reused by a normalized name that ignores case, punctuation, “&amp;” and one recognized trailing legal-entity suffix; stored names are never rewritten, and the entered spelling stays in the raw source and field provenance. An explicit, additive and idempotent backfill command, run deliberately against a chosen database and never as part of application setup, fills missing normalized company names and records missing duplicate relationships among existing opportunities. It never renames, merges, deletes or re-links a company or an opportunity and never changes an existing relationship; a dry run reports what it would do, and the read-only operational check reports when it is needed.</w:t>
      </w:r>
    </w:p>
    <w:p>
      <w:r>
        <w:t xml:space="preserve">Before admission, a paid evaluation request or deferred-evaluation release is refused for an opportunity that has never completed an evaluation while an unresolved exact duplicate already has a completed or active evaluation, a live admission or an open deferral (Section 33). This duplicate recheck runs together with the existing eligibility, pinned-profile and active-evaluation rechecks; a refused release leaves the deferral open and writes nothing. The check and the admission, evaluation or deferral it permits are serialized by an advisory lock held on its own connection until that write is committed, so simultaneous requests for two exact duplicates cannot both be admitted. Cross-source matching, canonical-source selection by source type (Section 15) and posting history follow with retrieval (feature 11).</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The features 1–10 gap audit and the Features 1–10 Gap Closure followed (October 17, 2026). Main-product features 11–18 then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1.7</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