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EVALUACIÓN 2 · APRENDIZAJE AUTOMÁTICO</w:t>
      </w:r>
    </w:p>
    <w:p>
      <w:pPr>
        <w:jc w:val="center"/>
      </w:pPr>
      <w:r>
        <w:rPr>
          <w:sz w:val="28"/>
        </w:rPr>
        <w:t>SA, DE y AU · Reporte reproducible</w:t>
      </w:r>
    </w:p>
    <w:p>
      <w:pPr>
        <w:jc w:val="center"/>
      </w:pPr>
      <w:r>
        <w:t>Repositorio público: https://github.com/axelisaak10/evaluacion-2</w:t>
      </w:r>
    </w:p>
    <w:p>
      <w:r>
        <w:br w:type="page"/>
      </w:r>
    </w:p>
    <w:p>
      <w:pPr>
        <w:pStyle w:val="Heading1"/>
      </w:pPr>
      <w:r>
        <w:t>Resumen ejecutivo</w:t>
      </w:r>
    </w:p>
    <w:p>
      <w:r>
        <w:t>SA compara regresión lineal con Ridge y regresión logística con árbol de decisión; además aplica K-means y PCA. DE usa Random Forest y SVM como alternativas distintas. Todos los modelos supervisados conservan prueba aislada y optimización por validación cruzada.</w:t>
      </w:r>
    </w:p>
    <w:p>
      <w:pPr>
        <w:pStyle w:val="Heading1"/>
      </w:pPr>
      <w:r>
        <w:t>SA 1. Regresión lineal y Ridge</w:t>
      </w:r>
    </w:p>
    <w:p>
      <w:r>
        <w:t>Repositorio del modelo: https://github.com/axelisaak10/evaluacion-2</w:t>
      </w:r>
    </w:p>
    <w:p>
      <w:r>
        <w:t>Justificación: La regresión lineal ofrece una referencia transparente; Ridge controla la magnitud del coeficiente mediante regularización L2.</w:t>
      </w:r>
    </w:p>
    <w:p>
      <w:r>
        <w:t>Diseño: Bateos predice runs; división 75/25; cinco pliegues. Ridge busca alpha entre 0.001 y 1000; ambos se comparan con MAE, RMSE y R².</w:t>
      </w:r>
    </w:p>
    <w:p>
      <w:pPr>
        <w:pStyle w:val="Heading2"/>
      </w:pPr>
      <w:r>
        <w:t>Evaluación y optimización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r>
              <w:t>Indicador</w:t>
            </w:r>
          </w:p>
        </w:tc>
        <w:tc>
          <w:tcPr>
            <w:tcW w:type="dxa" w:w="4680"/>
            <w:vAlign w:val="center"/>
          </w:tcPr>
          <w:p>
            <w:r>
              <w:t>Resultado</w:t>
            </w:r>
          </w:p>
        </w:tc>
      </w:tr>
      <w:tr>
        <w:tc>
          <w:tcPr>
            <w:tcW w:type="dxa" w:w="4680"/>
            <w:vAlign w:val="center"/>
          </w:tcPr>
          <w:p>
            <w:r>
              <w:t>Lineal R2</w:t>
            </w:r>
          </w:p>
        </w:tc>
        <w:tc>
          <w:tcPr>
            <w:tcW w:type="dxa" w:w="4680"/>
            <w:vAlign w:val="center"/>
          </w:tcPr>
          <w:p>
            <w:r>
              <w:t>-0.3291</w:t>
            </w:r>
          </w:p>
        </w:tc>
      </w:tr>
      <w:tr>
        <w:tc>
          <w:tcPr>
            <w:tcW w:type="dxa" w:w="4680"/>
            <w:vAlign w:val="center"/>
          </w:tcPr>
          <w:p>
            <w:r>
              <w:t>Lineal RMSE</w:t>
            </w:r>
          </w:p>
        </w:tc>
        <w:tc>
          <w:tcPr>
            <w:tcW w:type="dxa" w:w="4680"/>
            <w:vAlign w:val="center"/>
          </w:tcPr>
          <w:p>
            <w:r>
              <w:t>67.4919</w:t>
            </w:r>
          </w:p>
        </w:tc>
      </w:tr>
      <w:tr>
        <w:tc>
          <w:tcPr>
            <w:tcW w:type="dxa" w:w="4680"/>
            <w:vAlign w:val="center"/>
          </w:tcPr>
          <w:p>
            <w:r>
              <w:t>Ridge R2</w:t>
            </w:r>
          </w:p>
        </w:tc>
        <w:tc>
          <w:tcPr>
            <w:tcW w:type="dxa" w:w="4680"/>
            <w:vAlign w:val="center"/>
          </w:tcPr>
          <w:p>
            <w:r>
              <w:t>-0.2786</w:t>
            </w:r>
          </w:p>
        </w:tc>
      </w:tr>
      <w:tr>
        <w:tc>
          <w:tcPr>
            <w:tcW w:type="dxa" w:w="4680"/>
            <w:vAlign w:val="center"/>
          </w:tcPr>
          <w:p>
            <w:r>
              <w:t>Ridge RMSE</w:t>
            </w:r>
          </w:p>
        </w:tc>
        <w:tc>
          <w:tcPr>
            <w:tcW w:type="dxa" w:w="4680"/>
            <w:vAlign w:val="center"/>
          </w:tcPr>
          <w:p>
            <w:r>
              <w:t>66.1970</w:t>
            </w:r>
          </w:p>
        </w:tc>
      </w:tr>
      <w:tr>
        <w:tc>
          <w:tcPr>
            <w:tcW w:type="dxa" w:w="4680"/>
            <w:vAlign w:val="center"/>
          </w:tcPr>
          <w:p>
            <w:r>
              <w:t>Ridge parámetros</w:t>
            </w:r>
          </w:p>
        </w:tc>
        <w:tc>
          <w:tcPr>
            <w:tcW w:type="dxa" w:w="4680"/>
            <w:vAlign w:val="center"/>
          </w:tcPr>
          <w:p>
            <w:r>
              <w:t>{'ridge__alpha': 10}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577840" cy="3431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regresion_lineal_rid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3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577840" cy="2503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regresion_real_vs_predich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0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Interpretación: la pendiente resume la asociación positiva, pero el R² de prueba advierte que bateos por sí solo no generaliza bien en una muestra de 30 equipos.</w:t>
      </w:r>
    </w:p>
    <w:p>
      <w:pPr>
        <w:pStyle w:val="Heading1"/>
      </w:pPr>
      <w:r>
        <w:t>SA 2. Regresión logística y árbol de decisión</w:t>
      </w:r>
    </w:p>
    <w:p>
      <w:r>
        <w:t>Repositorio del modelo: https://github.com/axelisaak10/evaluacion-2</w:t>
      </w:r>
    </w:p>
    <w:p>
      <w:r>
        <w:t>Justificación: La logística produce probabilidades y el árbol reglas visuales; juntos permiten comparar un modelo lineal con uno no lineal.</w:t>
      </w:r>
    </w:p>
    <w:p>
      <w:r>
        <w:t>Diseño: Se elimina id, M=1, división estratificada 80/20. Logística optimiza C y penalización; árbol optimiza criterio, profundidad, hojas y poda usando AUC.</w:t>
      </w:r>
    </w:p>
    <w:p>
      <w:pPr>
        <w:pStyle w:val="Heading2"/>
      </w:pPr>
      <w:r>
        <w:t>Evaluación y optimización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r>
              <w:t>Indicador</w:t>
            </w:r>
          </w:p>
        </w:tc>
        <w:tc>
          <w:tcPr>
            <w:tcW w:type="dxa" w:w="4680"/>
            <w:vAlign w:val="center"/>
          </w:tcPr>
          <w:p>
            <w:r>
              <w:t>Resultado</w:t>
            </w:r>
          </w:p>
        </w:tc>
      </w:tr>
      <w:tr>
        <w:tc>
          <w:tcPr>
            <w:tcW w:type="dxa" w:w="4680"/>
            <w:vAlign w:val="center"/>
          </w:tcPr>
          <w:p>
            <w:r>
              <w:t>Logística AUC</w:t>
            </w:r>
          </w:p>
        </w:tc>
        <w:tc>
          <w:tcPr>
            <w:tcW w:type="dxa" w:w="4680"/>
            <w:vAlign w:val="center"/>
          </w:tcPr>
          <w:p>
            <w:r>
              <w:t>0.9954</w:t>
            </w:r>
          </w:p>
        </w:tc>
      </w:tr>
      <w:tr>
        <w:tc>
          <w:tcPr>
            <w:tcW w:type="dxa" w:w="4680"/>
            <w:vAlign w:val="center"/>
          </w:tcPr>
          <w:p>
            <w:r>
              <w:t>Logística recall</w:t>
            </w:r>
          </w:p>
        </w:tc>
        <w:tc>
          <w:tcPr>
            <w:tcW w:type="dxa" w:w="4680"/>
            <w:vAlign w:val="center"/>
          </w:tcPr>
          <w:p>
            <w:r>
              <w:t>0.9524</w:t>
            </w:r>
          </w:p>
        </w:tc>
      </w:tr>
      <w:tr>
        <w:tc>
          <w:tcPr>
            <w:tcW w:type="dxa" w:w="4680"/>
            <w:vAlign w:val="center"/>
          </w:tcPr>
          <w:p>
            <w:r>
              <w:t>Árbol AUC</w:t>
            </w:r>
          </w:p>
        </w:tc>
        <w:tc>
          <w:tcPr>
            <w:tcW w:type="dxa" w:w="4680"/>
            <w:vAlign w:val="center"/>
          </w:tcPr>
          <w:p>
            <w:r>
              <w:t>0.8980</w:t>
            </w:r>
          </w:p>
        </w:tc>
      </w:tr>
      <w:tr>
        <w:tc>
          <w:tcPr>
            <w:tcW w:type="dxa" w:w="4680"/>
            <w:vAlign w:val="center"/>
          </w:tcPr>
          <w:p>
            <w:r>
              <w:t>Árbol recall</w:t>
            </w:r>
          </w:p>
        </w:tc>
        <w:tc>
          <w:tcPr>
            <w:tcW w:type="dxa" w:w="4680"/>
            <w:vAlign w:val="center"/>
          </w:tcPr>
          <w:p>
            <w:r>
              <w:t>0.8333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577840" cy="2766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arbol_comple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6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577840" cy="22806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clasificacion_compara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80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577840" cy="56386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clasificacion_ro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638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Interpretación: la logística discrimina mejor en esta partición; el árbol aporta reglas interpretables. Recall es crítico por los falsos negativos.</w:t>
      </w:r>
    </w:p>
    <w:p>
      <w:pPr>
        <w:pStyle w:val="Heading1"/>
      </w:pPr>
      <w:r>
        <w:t>SA 3. K-means</w:t>
      </w:r>
    </w:p>
    <w:p>
      <w:r>
        <w:t>Repositorio del modelo: https://github.com/axelisaak10/evaluacion-2</w:t>
      </w:r>
    </w:p>
    <w:p>
      <w:r>
        <w:t>Justificación: K-means identifica regímenes compactos de precio y volumen.</w:t>
      </w:r>
    </w:p>
    <w:p>
      <w:r>
        <w:t>Diseño: Se estandarizan variables y se comparan k=2…8 mediante silhouette, Calinski-Harabasz y Davies-Bouldin.</w:t>
      </w:r>
    </w:p>
    <w:p>
      <w:pPr>
        <w:pStyle w:val="Heading2"/>
      </w:pPr>
      <w:r>
        <w:t>Evaluación y optimización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r>
              <w:t>Indicador</w:t>
            </w:r>
          </w:p>
        </w:tc>
        <w:tc>
          <w:tcPr>
            <w:tcW w:type="dxa" w:w="4680"/>
            <w:vAlign w:val="center"/>
          </w:tcPr>
          <w:p>
            <w:r>
              <w:t>Resultado</w:t>
            </w:r>
          </w:p>
        </w:tc>
      </w:tr>
      <w:tr>
        <w:tc>
          <w:tcPr>
            <w:tcW w:type="dxa" w:w="4680"/>
            <w:vAlign w:val="center"/>
          </w:tcPr>
          <w:p>
            <w:r>
              <w:t>k</w:t>
            </w:r>
          </w:p>
        </w:tc>
        <w:tc>
          <w:tcPr>
            <w:tcW w:type="dxa" w:w="4680"/>
            <w:vAlign w:val="center"/>
          </w:tcPr>
          <w:p>
            <w:r>
              <w:t>3</w:t>
            </w:r>
          </w:p>
        </w:tc>
      </w:tr>
      <w:tr>
        <w:tc>
          <w:tcPr>
            <w:tcW w:type="dxa" w:w="4680"/>
            <w:vAlign w:val="center"/>
          </w:tcPr>
          <w:p>
            <w:r>
              <w:t>silhouette</w:t>
            </w:r>
          </w:p>
        </w:tc>
        <w:tc>
          <w:tcPr>
            <w:tcW w:type="dxa" w:w="4680"/>
            <w:vAlign w:val="center"/>
          </w:tcPr>
          <w:p>
            <w:r>
              <w:t>0.5013</w:t>
            </w:r>
          </w:p>
        </w:tc>
      </w:tr>
      <w:tr>
        <w:tc>
          <w:tcPr>
            <w:tcW w:type="dxa" w:w="4680"/>
            <w:vAlign w:val="center"/>
          </w:tcPr>
          <w:p>
            <w:r>
              <w:t>Davies-Bouldin</w:t>
            </w:r>
          </w:p>
        </w:tc>
        <w:tc>
          <w:tcPr>
            <w:tcW w:type="dxa" w:w="4680"/>
            <w:vAlign w:val="center"/>
          </w:tcPr>
          <w:p>
            <w:r>
              <w:t>0.6852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577840" cy="343100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kmeans_optimiza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3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577840" cy="41517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kmeans_cluste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5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Interpretación: los grupos son segmentos descriptivos y no clases causales.</w:t>
      </w:r>
    </w:p>
    <w:p>
      <w:pPr>
        <w:pStyle w:val="Heading1"/>
      </w:pPr>
      <w:r>
        <w:t>SA 4. PCA</w:t>
      </w:r>
    </w:p>
    <w:p>
      <w:r>
        <w:t>Repositorio del modelo: https://github.com/axelisaak10/evaluacion-2</w:t>
      </w:r>
    </w:p>
    <w:p>
      <w:r>
        <w:t>Justificación: PCA resume variables correlacionadas en componentes ortogonales.</w:t>
      </w:r>
    </w:p>
    <w:p>
      <w:r>
        <w:t>Diseño: Se compara sin y con StandardScaler; se elige el mínimo número de componentes que conserva 90% de varianza.</w:t>
      </w:r>
    </w:p>
    <w:p>
      <w:pPr>
        <w:pStyle w:val="Heading2"/>
      </w:pPr>
      <w:r>
        <w:t>Evaluación y optimización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r>
              <w:t>Indicador</w:t>
            </w:r>
          </w:p>
        </w:tc>
        <w:tc>
          <w:tcPr>
            <w:tcW w:type="dxa" w:w="4680"/>
            <w:vAlign w:val="center"/>
          </w:tcPr>
          <w:p>
            <w:r>
              <w:t>Resultado</w:t>
            </w:r>
          </w:p>
        </w:tc>
      </w:tr>
      <w:tr>
        <w:tc>
          <w:tcPr>
            <w:tcW w:type="dxa" w:w="4680"/>
            <w:vAlign w:val="center"/>
          </w:tcPr>
          <w:p>
            <w:r>
              <w:t>Componentes</w:t>
            </w:r>
          </w:p>
        </w:tc>
        <w:tc>
          <w:tcPr>
            <w:tcW w:type="dxa" w:w="4680"/>
            <w:vAlign w:val="center"/>
          </w:tcPr>
          <w:p>
            <w:r>
              <w:t>6</w:t>
            </w:r>
          </w:p>
        </w:tc>
      </w:tr>
      <w:tr>
        <w:tc>
          <w:tcPr>
            <w:tcW w:type="dxa" w:w="4680"/>
            <w:vAlign w:val="center"/>
          </w:tcPr>
          <w:p>
            <w:r>
              <w:t>Varianza PC1-PC2</w:t>
            </w:r>
          </w:p>
        </w:tc>
        <w:tc>
          <w:tcPr>
            <w:tcW w:type="dxa" w:w="4680"/>
            <w:vAlign w:val="center"/>
          </w:tcPr>
          <w:p>
            <w:r>
              <w:t>0.5321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577840" cy="25198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pca_compara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1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577840" cy="343342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_pca_varianz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33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Interpretación: el escalamiento evita que las variables monetarias dominen; seis componentes conservan al menos 90%.</w:t>
      </w:r>
    </w:p>
    <w:p>
      <w:pPr>
        <w:pStyle w:val="Heading1"/>
      </w:pPr>
      <w:r>
        <w:t>DE 1. SVM alterno</w:t>
      </w:r>
    </w:p>
    <w:p>
      <w:r>
        <w:t>Repositorio del modelo: https://github.com/axelisaak10/evaluacion-2</w:t>
      </w:r>
    </w:p>
    <w:p>
      <w:r>
        <w:t>Justificación: SVM es distinto a logística y árbol de SA y puede formar fronteras no lineales.</w:t>
      </w:r>
    </w:p>
    <w:p>
      <w:r>
        <w:t>Diseño: Pipeline con escalamiento; búsqueda de C, kernel y gamma con AUC estratificada; prueba 20% aislada.</w:t>
      </w:r>
    </w:p>
    <w:p>
      <w:pPr>
        <w:pStyle w:val="Heading2"/>
      </w:pPr>
      <w:r>
        <w:t>Evaluación y optimización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r>
              <w:t>Indicador</w:t>
            </w:r>
          </w:p>
        </w:tc>
        <w:tc>
          <w:tcPr>
            <w:tcW w:type="dxa" w:w="4680"/>
            <w:vAlign w:val="center"/>
          </w:tcPr>
          <w:p>
            <w:r>
              <w:t>Resultado</w:t>
            </w:r>
          </w:p>
        </w:tc>
      </w:tr>
      <w:tr>
        <w:tc>
          <w:tcPr>
            <w:tcW w:type="dxa" w:w="4680"/>
            <w:vAlign w:val="center"/>
          </w:tcPr>
          <w:p>
            <w:r>
              <w:t>AUC</w:t>
            </w:r>
          </w:p>
        </w:tc>
        <w:tc>
          <w:tcPr>
            <w:tcW w:type="dxa" w:w="4680"/>
            <w:vAlign w:val="center"/>
          </w:tcPr>
          <w:p>
            <w:r>
              <w:t>0.9964</w:t>
            </w:r>
          </w:p>
        </w:tc>
      </w:tr>
      <w:tr>
        <w:tc>
          <w:tcPr>
            <w:tcW w:type="dxa" w:w="4680"/>
            <w:vAlign w:val="center"/>
          </w:tcPr>
          <w:p>
            <w:r>
              <w:t>accuracy</w:t>
            </w:r>
          </w:p>
        </w:tc>
        <w:tc>
          <w:tcPr>
            <w:tcW w:type="dxa" w:w="4680"/>
            <w:vAlign w:val="center"/>
          </w:tcPr>
          <w:p>
            <w:r>
              <w:t>0.9912</w:t>
            </w:r>
          </w:p>
        </w:tc>
      </w:tr>
      <w:tr>
        <w:tc>
          <w:tcPr>
            <w:tcW w:type="dxa" w:w="4680"/>
            <w:vAlign w:val="center"/>
          </w:tcPr>
          <w:p>
            <w:r>
              <w:t>recall</w:t>
            </w:r>
          </w:p>
        </w:tc>
        <w:tc>
          <w:tcPr>
            <w:tcW w:type="dxa" w:w="4680"/>
            <w:vAlign w:val="center"/>
          </w:tcPr>
          <w:p>
            <w:r>
              <w:t>0.9762</w:t>
            </w:r>
          </w:p>
        </w:tc>
      </w:tr>
      <w:tr>
        <w:tc>
          <w:tcPr>
            <w:tcW w:type="dxa" w:w="4680"/>
            <w:vAlign w:val="center"/>
          </w:tcPr>
          <w:p>
            <w:r>
              <w:t>Parámetros</w:t>
            </w:r>
          </w:p>
        </w:tc>
        <w:tc>
          <w:tcPr>
            <w:tcW w:type="dxa" w:w="4680"/>
            <w:vAlign w:val="center"/>
          </w:tcPr>
          <w:p>
            <w:r>
              <w:t>{'svc__C': 0.1, 'svc__gamma': 'scale', 'svc__kernel': 'linear'}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577840" cy="232466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_svm_evaluac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324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Interpretación: AUC resume separación y la matriz muestra errores al umbral elegido.</w:t>
      </w:r>
    </w:p>
    <w:p>
      <w:pPr>
        <w:pStyle w:val="Heading1"/>
      </w:pPr>
      <w:r>
        <w:t>DE 2. Random Forest alterno</w:t>
      </w:r>
    </w:p>
    <w:p>
      <w:r>
        <w:t>Repositorio del modelo: https://github.com/axelisaak10/evaluacion-2</w:t>
      </w:r>
    </w:p>
    <w:p>
      <w:r>
        <w:t>Justificación: Random Forest es distinto a los modelos lineales de SA y captura relaciones no lineales.</w:t>
      </w:r>
    </w:p>
    <w:p>
      <w:r>
        <w:t>Diseño: División 75/25; búsqueda de árboles, profundidad y hojas; RMSE en cinco pliegues.</w:t>
      </w:r>
    </w:p>
    <w:p>
      <w:pPr>
        <w:pStyle w:val="Heading2"/>
      </w:pPr>
      <w:r>
        <w:t>Evaluación y optimización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</w:tcPr>
          <w:p>
            <w:r>
              <w:t>Indicador</w:t>
            </w:r>
          </w:p>
        </w:tc>
        <w:tc>
          <w:tcPr>
            <w:tcW w:type="dxa" w:w="4680"/>
            <w:vAlign w:val="center"/>
          </w:tcPr>
          <w:p>
            <w:r>
              <w:t>Resultado</w:t>
            </w:r>
          </w:p>
        </w:tc>
      </w:tr>
      <w:tr>
        <w:tc>
          <w:tcPr>
            <w:tcW w:type="dxa" w:w="4680"/>
            <w:vAlign w:val="center"/>
          </w:tcPr>
          <w:p>
            <w:r>
              <w:t>R2</w:t>
            </w:r>
          </w:p>
        </w:tc>
        <w:tc>
          <w:tcPr>
            <w:tcW w:type="dxa" w:w="4680"/>
            <w:vAlign w:val="center"/>
          </w:tcPr>
          <w:p>
            <w:r>
              <w:t>-0.3346</w:t>
            </w:r>
          </w:p>
        </w:tc>
      </w:tr>
      <w:tr>
        <w:tc>
          <w:tcPr>
            <w:tcW w:type="dxa" w:w="4680"/>
            <w:vAlign w:val="center"/>
          </w:tcPr>
          <w:p>
            <w:r>
              <w:t>RMSE</w:t>
            </w:r>
          </w:p>
        </w:tc>
        <w:tc>
          <w:tcPr>
            <w:tcW w:type="dxa" w:w="4680"/>
            <w:vAlign w:val="center"/>
          </w:tcPr>
          <w:p>
            <w:r>
              <w:t>67.6316</w:t>
            </w:r>
          </w:p>
        </w:tc>
      </w:tr>
      <w:tr>
        <w:tc>
          <w:tcPr>
            <w:tcW w:type="dxa" w:w="4680"/>
            <w:vAlign w:val="center"/>
          </w:tcPr>
          <w:p>
            <w:r>
              <w:t>MAE</w:t>
            </w:r>
          </w:p>
        </w:tc>
        <w:tc>
          <w:tcPr>
            <w:tcW w:type="dxa" w:w="4680"/>
            <w:vAlign w:val="center"/>
          </w:tcPr>
          <w:p>
            <w:r>
              <w:t>54.1543</w:t>
            </w:r>
          </w:p>
        </w:tc>
      </w:tr>
      <w:tr>
        <w:tc>
          <w:tcPr>
            <w:tcW w:type="dxa" w:w="4680"/>
            <w:vAlign w:val="center"/>
          </w:tcPr>
          <w:p>
            <w:r>
              <w:t>Parámetros</w:t>
            </w:r>
          </w:p>
        </w:tc>
        <w:tc>
          <w:tcPr>
            <w:tcW w:type="dxa" w:w="4680"/>
            <w:vAlign w:val="center"/>
          </w:tcPr>
          <w:p>
            <w:r>
              <w:t>{'max_depth': None, 'min_samples_leaf': 3, 'n_estimators': 300}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577840" cy="34310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_random_forest_beisbo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43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577840" cy="555143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_random_forest_real_vs_predich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551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Interpretación: el conjunto pequeño limita la generalización; la gráfica real-predicho hace visible el error.</w:t>
      </w:r>
    </w:p>
    <w:p>
      <w:pPr>
        <w:pStyle w:val="Heading1"/>
      </w:pPr>
      <w:r>
        <w:t>Conclusiones</w:t>
      </w:r>
    </w:p>
    <w:p>
      <w:r>
        <w:t>La selección solicitada para SA quedó implementada y comparada. DE conserva algoritmos alternos, evitando repetir los enfoques de SA. Los resultados son académicos y no deben usarse para decisiones clínicas o financieras reales.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b w:val="0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64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