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ANÁLISIS DE APRENDIZAJE AUTOMÁTICO</w:t>
      </w:r>
    </w:p>
    <w:p>
      <w:pPr>
        <w:jc w:val="center"/>
      </w:pPr>
      <w:r>
        <w:rPr>
          <w:color w:val="464646"/>
          <w:sz w:val="28"/>
        </w:rPr>
        <w:t>Evaluaciones SA, DE y AU · Regresión, clasificación, agrupación y reducción dimensional</w:t>
      </w:r>
    </w:p>
    <w:p>
      <w:pPr>
        <w:jc w:val="center"/>
      </w:pPr>
      <w:r>
        <w:t>Herramienta alternativa para AU: reporte Word generado a partir de los mismos datos, modelos, métricas y visualizaciones reproducibles.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Se construyeron seis análisis reproducibles. En supervisado, Random Forest obtuvo R²=-0.335 en béisbol y el árbol alcanzó AUC=0.898 en cáncer. Como alternativas DE, Ridge obtuvo R²=-0.279 y la regresión logística AUC=0.995. En no supervisado, K-means seleccionó k=3 por silhouette y PCA requirió 6 componentes para conservar al menos 90% de varianza.</w:t>
      </w:r>
    </w:p>
    <w:p>
      <w:pPr>
        <w:pStyle w:val="Heading1"/>
      </w:pPr>
      <w:r>
        <w:t>Metodología común</w:t>
      </w:r>
    </w:p>
    <w:p>
      <w:pPr>
        <w:pStyle w:val="ListBullet"/>
      </w:pPr>
      <w:r>
        <w:t>Carga y auditoría de dimensiones, tipos, faltantes e identificadores.</w:t>
      </w:r>
    </w:p>
    <w:p>
      <w:pPr>
        <w:pStyle w:val="ListBullet"/>
      </w:pPr>
      <w:r>
        <w:t>Separación entrenamiento/prueba antes de optimizar modelos supervisados.</w:t>
      </w:r>
    </w:p>
    <w:p>
      <w:pPr>
        <w:pStyle w:val="ListBullet"/>
      </w:pPr>
      <w:r>
        <w:t>Búsqueda de hiperparámetros con validación cruzada y métrica adecuada.</w:t>
      </w:r>
    </w:p>
    <w:p>
      <w:pPr>
        <w:pStyle w:val="ListBullet"/>
      </w:pPr>
      <w:r>
        <w:t>Evaluación final sobre prueba, persistencia con joblib y visualización interpretativa.</w:t>
      </w:r>
    </w:p>
    <w:p>
      <w:pPr>
        <w:pStyle w:val="Heading1"/>
      </w:pPr>
      <w:r>
        <w:t>SA 1. Regresión de béisbol - Random Forest</w:t>
      </w:r>
    </w:p>
    <w:p>
      <w:r>
        <w:rPr>
          <w:b/>
        </w:rPr>
        <w:t xml:space="preserve">Repositorio del modelo: </w:t>
      </w:r>
      <w:hyperlink r:id="rId23">
        <w:r>
          <w:rPr>
            <w:color w:val="0563C1"/>
            <w:u w:val="single"/>
          </w:rPr>
          <w:t>https://github.com/axelisaak10/evaluacion-2</w:t>
        </w:r>
      </w:hyperlink>
    </w:p>
    <w:p>
      <w:r>
        <w:t>Justificación: el ensamble modela relaciones no lineales y reduce la varianza al promediar árboles. Diseño: predictor bateos, objetivo runs, partición 75/25, GridSearchCV de cinco pliegues y evaluación final aislada. La muestra es pequeña (30 equipos), por lo que las métricas deben interpretarse con cautela.</w:t>
      </w:r>
    </w:p>
    <w:p>
      <w:pPr>
        <w:pStyle w:val="Heading2"/>
      </w:pPr>
      <w:r>
        <w:t>Evaluación y optimización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048"/>
      </w:tblGrid>
      <w:tr>
        <w:tc>
          <w:tcPr>
            <w:tcW w:type="dxa" w:w="4680"/>
            <w:vAlign w:val="center"/>
          </w:tcPr>
          <w:p>
            <w:r>
              <w:t>Indicador</w:t>
            </w:r>
          </w:p>
        </w:tc>
        <w:tc>
          <w:tcPr>
            <w:tcW w:type="dxa" w:w="4680"/>
            <w:vAlign w:val="center"/>
          </w:tcPr>
          <w:p>
            <w:r>
              <w:t>Resultado</w:t>
            </w:r>
          </w:p>
        </w:tc>
      </w:tr>
      <w:tr>
        <w:tc>
          <w:tcPr>
            <w:tcW w:type="dxa" w:w="3312"/>
            <w:vAlign w:val="center"/>
          </w:tcPr>
          <w:p>
            <w:r>
              <w:t>MAE</w:t>
            </w:r>
          </w:p>
        </w:tc>
        <w:tc>
          <w:tcPr>
            <w:tcW w:type="dxa" w:w="6048"/>
            <w:vAlign w:val="center"/>
          </w:tcPr>
          <w:p>
            <w:r>
              <w:t>54.1543</w:t>
            </w:r>
          </w:p>
        </w:tc>
      </w:tr>
      <w:tr>
        <w:tc>
          <w:tcPr>
            <w:tcW w:type="dxa" w:w="3312"/>
            <w:vAlign w:val="center"/>
          </w:tcPr>
          <w:p>
            <w:r>
              <w:t>RMSE</w:t>
            </w:r>
          </w:p>
        </w:tc>
        <w:tc>
          <w:tcPr>
            <w:tcW w:type="dxa" w:w="6048"/>
            <w:vAlign w:val="center"/>
          </w:tcPr>
          <w:p>
            <w:r>
              <w:t>67.6316</w:t>
            </w:r>
          </w:p>
        </w:tc>
      </w:tr>
      <w:tr>
        <w:tc>
          <w:tcPr>
            <w:tcW w:type="dxa" w:w="3312"/>
            <w:vAlign w:val="center"/>
          </w:tcPr>
          <w:p>
            <w:r>
              <w:t>R2</w:t>
            </w:r>
          </w:p>
        </w:tc>
        <w:tc>
          <w:tcPr>
            <w:tcW w:type="dxa" w:w="6048"/>
            <w:vAlign w:val="center"/>
          </w:tcPr>
          <w:p>
            <w:r>
              <w:t>-0.3346</w:t>
            </w:r>
          </w:p>
        </w:tc>
      </w:tr>
      <w:tr>
        <w:tc>
          <w:tcPr>
            <w:tcW w:type="dxa" w:w="3312"/>
            <w:vAlign w:val="center"/>
          </w:tcPr>
          <w:p>
            <w:r>
              <w:t>CV RMSE</w:t>
            </w:r>
          </w:p>
        </w:tc>
        <w:tc>
          <w:tcPr>
            <w:tcW w:type="dxa" w:w="6048"/>
            <w:vAlign w:val="center"/>
          </w:tcPr>
          <w:p>
            <w:r>
              <w:t>81.1759</w:t>
            </w:r>
          </w:p>
        </w:tc>
      </w:tr>
      <w:tr>
        <w:tc>
          <w:tcPr>
            <w:tcW w:type="dxa" w:w="3312"/>
            <w:vAlign w:val="center"/>
          </w:tcPr>
          <w:p>
            <w:r>
              <w:t>Mejores parámetros</w:t>
            </w:r>
          </w:p>
        </w:tc>
        <w:tc>
          <w:tcPr>
            <w:tcW w:type="dxa" w:w="6048"/>
            <w:vAlign w:val="center"/>
          </w:tcPr>
          <w:p>
            <w:r>
              <w:t>{'max_depth': None, 'max_features': 1.0, 'min_samples_leaf': 3, 'n_estimators': 300}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35434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_beisbol_disper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3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50053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_beisbol_real_vs_predich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05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Interpretación: existe asociación positiva general entre bateos y carreras. La cercanía a la diagonal indica precisión; las desviaciones reflejan factores ofensivos omitidos.</w:t>
      </w:r>
    </w:p>
    <w:p>
      <w:pPr>
        <w:pStyle w:val="Heading1"/>
      </w:pPr>
      <w:r>
        <w:t>SA 2. Clasificación de cáncer - Árbol</w:t>
      </w:r>
    </w:p>
    <w:p>
      <w:r>
        <w:rPr>
          <w:b/>
        </w:rPr>
        <w:t xml:space="preserve">Repositorio del modelo: </w:t>
      </w:r>
      <w:hyperlink r:id="rId23">
        <w:r>
          <w:rPr>
            <w:color w:val="0563C1"/>
            <w:u w:val="single"/>
          </w:rPr>
          <w:t>https://github.com/axelisaak10/evaluacion-2</w:t>
        </w:r>
      </w:hyperlink>
    </w:p>
    <w:p>
      <w:r>
        <w:t>Justificación: produce reglas explícitas y un árbol completo interpretable. Se eliminó id, se codificó maligno como 1, se dividió 80/20 con estratificación y se optimizaron criterio, profundidad, mínimos de división/hoja y poda usando AUC.</w:t>
      </w:r>
    </w:p>
    <w:p>
      <w:pPr>
        <w:pStyle w:val="Heading2"/>
      </w:pPr>
      <w:r>
        <w:t>Evaluación y optimización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048"/>
      </w:tblGrid>
      <w:tr>
        <w:tc>
          <w:tcPr>
            <w:tcW w:type="dxa" w:w="4680"/>
            <w:vAlign w:val="center"/>
          </w:tcPr>
          <w:p>
            <w:r>
              <w:t>Indicador</w:t>
            </w:r>
          </w:p>
        </w:tc>
        <w:tc>
          <w:tcPr>
            <w:tcW w:type="dxa" w:w="4680"/>
            <w:vAlign w:val="center"/>
          </w:tcPr>
          <w:p>
            <w:r>
              <w:t>Resultado</w:t>
            </w:r>
          </w:p>
        </w:tc>
      </w:tr>
      <w:tr>
        <w:tc>
          <w:tcPr>
            <w:tcW w:type="dxa" w:w="3312"/>
            <w:vAlign w:val="center"/>
          </w:tcPr>
          <w:p>
            <w:r>
              <w:t>accuracy</w:t>
            </w:r>
          </w:p>
        </w:tc>
        <w:tc>
          <w:tcPr>
            <w:tcW w:type="dxa" w:w="6048"/>
            <w:vAlign w:val="center"/>
          </w:tcPr>
          <w:p>
            <w:r>
              <w:t>0.9035</w:t>
            </w:r>
          </w:p>
        </w:tc>
      </w:tr>
      <w:tr>
        <w:tc>
          <w:tcPr>
            <w:tcW w:type="dxa" w:w="3312"/>
            <w:vAlign w:val="center"/>
          </w:tcPr>
          <w:p>
            <w:r>
              <w:t>precision</w:t>
            </w:r>
          </w:p>
        </w:tc>
        <w:tc>
          <w:tcPr>
            <w:tcW w:type="dxa" w:w="6048"/>
            <w:vAlign w:val="center"/>
          </w:tcPr>
          <w:p>
            <w:r>
              <w:t>0.8974</w:t>
            </w:r>
          </w:p>
        </w:tc>
      </w:tr>
      <w:tr>
        <w:tc>
          <w:tcPr>
            <w:tcW w:type="dxa" w:w="3312"/>
            <w:vAlign w:val="center"/>
          </w:tcPr>
          <w:p>
            <w:r>
              <w:t>recall</w:t>
            </w:r>
          </w:p>
        </w:tc>
        <w:tc>
          <w:tcPr>
            <w:tcW w:type="dxa" w:w="6048"/>
            <w:vAlign w:val="center"/>
          </w:tcPr>
          <w:p>
            <w:r>
              <w:t>0.8333</w:t>
            </w:r>
          </w:p>
        </w:tc>
      </w:tr>
      <w:tr>
        <w:tc>
          <w:tcPr>
            <w:tcW w:type="dxa" w:w="3312"/>
            <w:vAlign w:val="center"/>
          </w:tcPr>
          <w:p>
            <w:r>
              <w:t>f1</w:t>
            </w:r>
          </w:p>
        </w:tc>
        <w:tc>
          <w:tcPr>
            <w:tcW w:type="dxa" w:w="6048"/>
            <w:vAlign w:val="center"/>
          </w:tcPr>
          <w:p>
            <w:r>
              <w:t>0.8642</w:t>
            </w:r>
          </w:p>
        </w:tc>
      </w:tr>
      <w:tr>
        <w:tc>
          <w:tcPr>
            <w:tcW w:type="dxa" w:w="3312"/>
            <w:vAlign w:val="center"/>
          </w:tcPr>
          <w:p>
            <w:r>
              <w:t>roc_auc</w:t>
            </w:r>
          </w:p>
        </w:tc>
        <w:tc>
          <w:tcPr>
            <w:tcW w:type="dxa" w:w="6048"/>
            <w:vAlign w:val="center"/>
          </w:tcPr>
          <w:p>
            <w:r>
              <w:t>0.8980</w:t>
            </w:r>
          </w:p>
        </w:tc>
      </w:tr>
      <w:tr>
        <w:tc>
          <w:tcPr>
            <w:tcW w:type="dxa" w:w="3312"/>
            <w:vAlign w:val="center"/>
          </w:tcPr>
          <w:p>
            <w:r>
              <w:t>CV AUC</w:t>
            </w:r>
          </w:p>
        </w:tc>
        <w:tc>
          <w:tcPr>
            <w:tcW w:type="dxa" w:w="6048"/>
            <w:vAlign w:val="center"/>
          </w:tcPr>
          <w:p>
            <w:r>
              <w:t>0.9727</w:t>
            </w:r>
          </w:p>
        </w:tc>
      </w:tr>
      <w:tr>
        <w:tc>
          <w:tcPr>
            <w:tcW w:type="dxa" w:w="3312"/>
            <w:vAlign w:val="center"/>
          </w:tcPr>
          <w:p>
            <w:r>
              <w:t>Mejores parámetros</w:t>
            </w:r>
          </w:p>
        </w:tc>
        <w:tc>
          <w:tcPr>
            <w:tcW w:type="dxa" w:w="6048"/>
            <w:vAlign w:val="center"/>
          </w:tcPr>
          <w:p>
            <w:r>
              <w:t>{'ccp_alpha': 0, 'criterion': 'gini', 'max_depth': 5, 'min_samples_leaf': 4, 'min_samples_split': 10}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29476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_arbol_comple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389120" cy="38114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_matriz_confu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11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Interpretación: el árbol prioriza características que separan tumores benignos y malignos. Recall cuantifica la capacidad de detectar malignos; los falsos negativos requieren especial atención.</w:t>
      </w:r>
    </w:p>
    <w:p>
      <w:pPr>
        <w:pStyle w:val="Heading1"/>
      </w:pPr>
      <w:r>
        <w:t>SA 3. Agrupación Samsung - K-means</w:t>
      </w:r>
    </w:p>
    <w:p>
      <w:r>
        <w:rPr>
          <w:b/>
        </w:rPr>
        <w:t xml:space="preserve">Repositorio del modelo: </w:t>
      </w:r>
      <w:hyperlink r:id="rId23">
        <w:r>
          <w:rPr>
            <w:color w:val="0563C1"/>
            <w:u w:val="single"/>
          </w:rPr>
          <w:t>https://github.com/axelisaak10/evaluacion-2</w:t>
        </w:r>
      </w:hyperlink>
    </w:p>
    <w:p>
      <w:r>
        <w:t>Justificación: identifica regímenes compactos de precio y volumen. Ambas variables se estandarizaron. Se compararon k=2 a 8 con silhouette, Calinski-Harabasz y Davies-Bouldin; el mayor silhouette determinó el modelo.</w:t>
      </w:r>
    </w:p>
    <w:p>
      <w:pPr>
        <w:pStyle w:val="Heading2"/>
      </w:pPr>
      <w:r>
        <w:t>Optimización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048"/>
      </w:tblGrid>
      <w:tr>
        <w:tc>
          <w:tcPr>
            <w:tcW w:type="dxa" w:w="4680"/>
            <w:vAlign w:val="center"/>
          </w:tcPr>
          <w:p>
            <w:r>
              <w:t>Indicador</w:t>
            </w:r>
          </w:p>
        </w:tc>
        <w:tc>
          <w:tcPr>
            <w:tcW w:type="dxa" w:w="4680"/>
            <w:vAlign w:val="center"/>
          </w:tcPr>
          <w:p>
            <w:r>
              <w:t>Resultado</w:t>
            </w:r>
          </w:p>
        </w:tc>
      </w:tr>
      <w:tr>
        <w:tc>
          <w:tcPr>
            <w:tcW w:type="dxa" w:w="3312"/>
            <w:vAlign w:val="center"/>
          </w:tcPr>
          <w:p>
            <w:r>
              <w:t>k elegido</w:t>
            </w:r>
          </w:p>
        </w:tc>
        <w:tc>
          <w:tcPr>
            <w:tcW w:type="dxa" w:w="6048"/>
            <w:vAlign w:val="center"/>
          </w:tcPr>
          <w:p>
            <w:r>
              <w:t>3</w:t>
            </w:r>
          </w:p>
        </w:tc>
      </w:tr>
      <w:tr>
        <w:tc>
          <w:tcPr>
            <w:tcW w:type="dxa" w:w="3312"/>
            <w:vAlign w:val="center"/>
          </w:tcPr>
          <w:p>
            <w:r>
              <w:t>silhouette</w:t>
            </w:r>
          </w:p>
        </w:tc>
        <w:tc>
          <w:tcPr>
            <w:tcW w:type="dxa" w:w="6048"/>
            <w:vAlign w:val="center"/>
          </w:tcPr>
          <w:p>
            <w:r>
              <w:t>0.5013</w:t>
            </w:r>
          </w:p>
        </w:tc>
      </w:tr>
      <w:tr>
        <w:tc>
          <w:tcPr>
            <w:tcW w:type="dxa" w:w="3312"/>
            <w:vAlign w:val="center"/>
          </w:tcPr>
          <w:p>
            <w:r>
              <w:t>Calinski-Harabasz</w:t>
            </w:r>
          </w:p>
        </w:tc>
        <w:tc>
          <w:tcPr>
            <w:tcW w:type="dxa" w:w="6048"/>
            <w:vAlign w:val="center"/>
          </w:tcPr>
          <w:p>
            <w:r>
              <w:t>3520.6561</w:t>
            </w:r>
          </w:p>
        </w:tc>
      </w:tr>
      <w:tr>
        <w:tc>
          <w:tcPr>
            <w:tcW w:type="dxa" w:w="3312"/>
            <w:vAlign w:val="center"/>
          </w:tcPr>
          <w:p>
            <w:r>
              <w:t>Davies-Bouldin</w:t>
            </w:r>
          </w:p>
        </w:tc>
        <w:tc>
          <w:tcPr>
            <w:tcW w:type="dxa" w:w="6048"/>
            <w:vAlign w:val="center"/>
          </w:tcPr>
          <w:p>
            <w:r>
              <w:t>0.6852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622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_kmeans_optimiz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2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9475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_kmeans_clust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47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Interpretación: cada color representa observaciones con precio y volumen semejantes; son segmentos descriptivos, no clases causales ni pronósticos.</w:t>
      </w:r>
    </w:p>
    <w:p>
      <w:pPr>
        <w:pStyle w:val="Heading1"/>
      </w:pPr>
      <w:r>
        <w:t>SA 4. PCA para comprar o alquilar</w:t>
      </w:r>
    </w:p>
    <w:p>
      <w:r>
        <w:rPr>
          <w:b/>
        </w:rPr>
        <w:t xml:space="preserve">Repositorio del modelo: </w:t>
      </w:r>
      <w:hyperlink r:id="rId23">
        <w:r>
          <w:rPr>
            <w:color w:val="0563C1"/>
            <w:u w:val="single"/>
          </w:rPr>
          <w:t>https://github.com/axelisaak10/evaluacion-2</w:t>
        </w:r>
      </w:hyperlink>
    </w:p>
    <w:p>
      <w:r>
        <w:t>Justificación: PCA concentra varianza en ejes ortogonales. Sin escalamiento dominan las magnitudes monetarias; con StandardScaler cada variable contribuye de forma comparable. Se eligieron 6 componentes porque es el mínimo que conserva al menos 90% de la varianza.</w:t>
      </w:r>
    </w:p>
    <w:p>
      <w:pPr>
        <w:pStyle w:val="Heading2"/>
      </w:pPr>
      <w:r>
        <w:t>Selección dimensional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048"/>
      </w:tblGrid>
      <w:tr>
        <w:tc>
          <w:tcPr>
            <w:tcW w:type="dxa" w:w="4680"/>
            <w:vAlign w:val="center"/>
          </w:tcPr>
          <w:p>
            <w:r>
              <w:t>Indicador</w:t>
            </w:r>
          </w:p>
        </w:tc>
        <w:tc>
          <w:tcPr>
            <w:tcW w:type="dxa" w:w="4680"/>
            <w:vAlign w:val="center"/>
          </w:tcPr>
          <w:p>
            <w:r>
              <w:t>Resultado</w:t>
            </w:r>
          </w:p>
        </w:tc>
      </w:tr>
      <w:tr>
        <w:tc>
          <w:tcPr>
            <w:tcW w:type="dxa" w:w="3312"/>
            <w:vAlign w:val="center"/>
          </w:tcPr>
          <w:p>
            <w:r>
              <w:t>Componentes elegidos</w:t>
            </w:r>
          </w:p>
        </w:tc>
        <w:tc>
          <w:tcPr>
            <w:tcW w:type="dxa" w:w="6048"/>
            <w:vAlign w:val="center"/>
          </w:tcPr>
          <w:p>
            <w:r>
              <w:t>6</w:t>
            </w:r>
          </w:p>
        </w:tc>
      </w:tr>
      <w:tr>
        <w:tc>
          <w:tcPr>
            <w:tcW w:type="dxa" w:w="3312"/>
            <w:vAlign w:val="center"/>
          </w:tcPr>
          <w:p>
            <w:r>
              <w:t>Varianza acumulada PC1-PC2 escalada</w:t>
            </w:r>
          </w:p>
        </w:tc>
        <w:tc>
          <w:tcPr>
            <w:tcW w:type="dxa" w:w="6048"/>
            <w:vAlign w:val="center"/>
          </w:tcPr>
          <w:p>
            <w:r>
              <w:t>0.5321</w:t>
            </w:r>
          </w:p>
        </w:tc>
      </w:tr>
      <w:tr>
        <w:tc>
          <w:tcPr>
            <w:tcW w:type="dxa" w:w="3312"/>
            <w:vAlign w:val="center"/>
          </w:tcPr>
          <w:p>
            <w:r>
              <w:t>Umbral</w:t>
            </w:r>
          </w:p>
        </w:tc>
        <w:tc>
          <w:tcPr>
            <w:tcW w:type="dxa" w:w="6048"/>
            <w:vAlign w:val="center"/>
          </w:tcPr>
          <w:p>
            <w:r>
              <w:t>0.9000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52160" cy="26437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_pca_comparac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43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2645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_pca_varianz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4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Interpretación: el cambio de geometría confirma la necesidad de escalar. El color comprar se usa solo para interpretar separación, no para ajustar PCA.</w:t>
      </w:r>
    </w:p>
    <w:p>
      <w:pPr>
        <w:pStyle w:val="Heading1"/>
      </w:pPr>
      <w:r>
        <w:t>DE 1. Clasificación alterna - Regresión logística</w:t>
      </w:r>
    </w:p>
    <w:p>
      <w:r>
        <w:rPr>
          <w:b/>
        </w:rPr>
        <w:t xml:space="preserve">Repositorio del modelo: </w:t>
      </w:r>
      <w:hyperlink r:id="rId23">
        <w:r>
          <w:rPr>
            <w:color w:val="0563C1"/>
            <w:u w:val="single"/>
          </w:rPr>
          <w:t>https://github.com/axelisaak10/evaluacion-2</w:t>
        </w:r>
      </w:hyperlink>
    </w:p>
    <w:p>
      <w:r>
        <w:t>Justificación: ofrece probabilidades y una frontera lineal regularizada, alternativa conceptual al árbol. El escalamiento vive dentro del Pipeline para evitar fuga; se optimizaron C y penalización con AUC estratificada.</w:t>
      </w:r>
    </w:p>
    <w:p>
      <w:pPr>
        <w:pStyle w:val="Heading2"/>
      </w:pPr>
      <w:r>
        <w:t>Evaluación y optimización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048"/>
      </w:tblGrid>
      <w:tr>
        <w:tc>
          <w:tcPr>
            <w:tcW w:type="dxa" w:w="4680"/>
            <w:vAlign w:val="center"/>
          </w:tcPr>
          <w:p>
            <w:r>
              <w:t>Indicador</w:t>
            </w:r>
          </w:p>
        </w:tc>
        <w:tc>
          <w:tcPr>
            <w:tcW w:type="dxa" w:w="4680"/>
            <w:vAlign w:val="center"/>
          </w:tcPr>
          <w:p>
            <w:r>
              <w:t>Resultado</w:t>
            </w:r>
          </w:p>
        </w:tc>
      </w:tr>
      <w:tr>
        <w:tc>
          <w:tcPr>
            <w:tcW w:type="dxa" w:w="3312"/>
            <w:vAlign w:val="center"/>
          </w:tcPr>
          <w:p>
            <w:r>
              <w:t>accuracy</w:t>
            </w:r>
          </w:p>
        </w:tc>
        <w:tc>
          <w:tcPr>
            <w:tcW w:type="dxa" w:w="6048"/>
            <w:vAlign w:val="center"/>
          </w:tcPr>
          <w:p>
            <w:r>
              <w:t>0.9737</w:t>
            </w:r>
          </w:p>
        </w:tc>
      </w:tr>
      <w:tr>
        <w:tc>
          <w:tcPr>
            <w:tcW w:type="dxa" w:w="3312"/>
            <w:vAlign w:val="center"/>
          </w:tcPr>
          <w:p>
            <w:r>
              <w:t>precision</w:t>
            </w:r>
          </w:p>
        </w:tc>
        <w:tc>
          <w:tcPr>
            <w:tcW w:type="dxa" w:w="6048"/>
            <w:vAlign w:val="center"/>
          </w:tcPr>
          <w:p>
            <w:r>
              <w:t>0.9756</w:t>
            </w:r>
          </w:p>
        </w:tc>
      </w:tr>
      <w:tr>
        <w:tc>
          <w:tcPr>
            <w:tcW w:type="dxa" w:w="3312"/>
            <w:vAlign w:val="center"/>
          </w:tcPr>
          <w:p>
            <w:r>
              <w:t>recall</w:t>
            </w:r>
          </w:p>
        </w:tc>
        <w:tc>
          <w:tcPr>
            <w:tcW w:type="dxa" w:w="6048"/>
            <w:vAlign w:val="center"/>
          </w:tcPr>
          <w:p>
            <w:r>
              <w:t>0.9524</w:t>
            </w:r>
          </w:p>
        </w:tc>
      </w:tr>
      <w:tr>
        <w:tc>
          <w:tcPr>
            <w:tcW w:type="dxa" w:w="3312"/>
            <w:vAlign w:val="center"/>
          </w:tcPr>
          <w:p>
            <w:r>
              <w:t>f1</w:t>
            </w:r>
          </w:p>
        </w:tc>
        <w:tc>
          <w:tcPr>
            <w:tcW w:type="dxa" w:w="6048"/>
            <w:vAlign w:val="center"/>
          </w:tcPr>
          <w:p>
            <w:r>
              <w:t>0.9639</w:t>
            </w:r>
          </w:p>
        </w:tc>
      </w:tr>
      <w:tr>
        <w:tc>
          <w:tcPr>
            <w:tcW w:type="dxa" w:w="3312"/>
            <w:vAlign w:val="center"/>
          </w:tcPr>
          <w:p>
            <w:r>
              <w:t>roc_auc</w:t>
            </w:r>
          </w:p>
        </w:tc>
        <w:tc>
          <w:tcPr>
            <w:tcW w:type="dxa" w:w="6048"/>
            <w:vAlign w:val="center"/>
          </w:tcPr>
          <w:p>
            <w:r>
              <w:t>0.9954</w:t>
            </w:r>
          </w:p>
        </w:tc>
      </w:tr>
      <w:tr>
        <w:tc>
          <w:tcPr>
            <w:tcW w:type="dxa" w:w="3312"/>
            <w:vAlign w:val="center"/>
          </w:tcPr>
          <w:p>
            <w:r>
              <w:t>CV AUC</w:t>
            </w:r>
          </w:p>
        </w:tc>
        <w:tc>
          <w:tcPr>
            <w:tcW w:type="dxa" w:w="6048"/>
            <w:vAlign w:val="center"/>
          </w:tcPr>
          <w:p>
            <w:r>
              <w:t>0.9954</w:t>
            </w:r>
          </w:p>
        </w:tc>
      </w:tr>
      <w:tr>
        <w:tc>
          <w:tcPr>
            <w:tcW w:type="dxa" w:w="3312"/>
            <w:vAlign w:val="center"/>
          </w:tcPr>
          <w:p>
            <w:r>
              <w:t>Mejores parámetros</w:t>
            </w:r>
          </w:p>
        </w:tc>
        <w:tc>
          <w:tcPr>
            <w:tcW w:type="dxa" w:w="6048"/>
            <w:vAlign w:val="center"/>
          </w:tcPr>
          <w:p>
            <w:r>
              <w:t>{'log__C': 1, 'log__penalty': 'l2', 'log__solver': 'liblinear'}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89120" cy="38114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_matriz_confus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11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508399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_curva_ro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83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Interpretación: el AUC resume discriminación en todos los umbrales; la matriz corresponde al umbral 0.5.</w:t>
      </w:r>
    </w:p>
    <w:p>
      <w:pPr>
        <w:pStyle w:val="Heading1"/>
      </w:pPr>
      <w:r>
        <w:t>DE 2. Regresión alterna - Ridge</w:t>
      </w:r>
    </w:p>
    <w:p>
      <w:r>
        <w:rPr>
          <w:b/>
        </w:rPr>
        <w:t xml:space="preserve">Repositorio del modelo: </w:t>
      </w:r>
      <w:hyperlink r:id="rId23">
        <w:r>
          <w:rPr>
            <w:color w:val="0563C1"/>
            <w:u w:val="single"/>
          </w:rPr>
          <w:t>https://github.com/axelisaak10/evaluacion-2</w:t>
        </w:r>
      </w:hyperlink>
    </w:p>
    <w:p>
      <w:r>
        <w:t>Justificación: Ridge regulariza una relación polinómica y controla coeficientes inestables, alternativa parsimoniosa al bosque. Se optimizaron grado y alpha mediante RMSE en cinco pliegues.</w:t>
      </w:r>
    </w:p>
    <w:p>
      <w:pPr>
        <w:pStyle w:val="Heading2"/>
      </w:pPr>
      <w:r>
        <w:t>Evaluación y optimización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048"/>
      </w:tblGrid>
      <w:tr>
        <w:tc>
          <w:tcPr>
            <w:tcW w:type="dxa" w:w="4680"/>
            <w:vAlign w:val="center"/>
          </w:tcPr>
          <w:p>
            <w:r>
              <w:t>Indicador</w:t>
            </w:r>
          </w:p>
        </w:tc>
        <w:tc>
          <w:tcPr>
            <w:tcW w:type="dxa" w:w="4680"/>
            <w:vAlign w:val="center"/>
          </w:tcPr>
          <w:p>
            <w:r>
              <w:t>Resultado</w:t>
            </w:r>
          </w:p>
        </w:tc>
      </w:tr>
      <w:tr>
        <w:tc>
          <w:tcPr>
            <w:tcW w:type="dxa" w:w="3312"/>
            <w:vAlign w:val="center"/>
          </w:tcPr>
          <w:p>
            <w:r>
              <w:t>MAE</w:t>
            </w:r>
          </w:p>
        </w:tc>
        <w:tc>
          <w:tcPr>
            <w:tcW w:type="dxa" w:w="6048"/>
            <w:vAlign w:val="center"/>
          </w:tcPr>
          <w:p>
            <w:r>
              <w:t>51.5635</w:t>
            </w:r>
          </w:p>
        </w:tc>
      </w:tr>
      <w:tr>
        <w:tc>
          <w:tcPr>
            <w:tcW w:type="dxa" w:w="3312"/>
            <w:vAlign w:val="center"/>
          </w:tcPr>
          <w:p>
            <w:r>
              <w:t>RMSE</w:t>
            </w:r>
          </w:p>
        </w:tc>
        <w:tc>
          <w:tcPr>
            <w:tcW w:type="dxa" w:w="6048"/>
            <w:vAlign w:val="center"/>
          </w:tcPr>
          <w:p>
            <w:r>
              <w:t>66.1970</w:t>
            </w:r>
          </w:p>
        </w:tc>
      </w:tr>
      <w:tr>
        <w:tc>
          <w:tcPr>
            <w:tcW w:type="dxa" w:w="3312"/>
            <w:vAlign w:val="center"/>
          </w:tcPr>
          <w:p>
            <w:r>
              <w:t>R2</w:t>
            </w:r>
          </w:p>
        </w:tc>
        <w:tc>
          <w:tcPr>
            <w:tcW w:type="dxa" w:w="6048"/>
            <w:vAlign w:val="center"/>
          </w:tcPr>
          <w:p>
            <w:r>
              <w:t>-0.2786</w:t>
            </w:r>
          </w:p>
        </w:tc>
      </w:tr>
      <w:tr>
        <w:tc>
          <w:tcPr>
            <w:tcW w:type="dxa" w:w="3312"/>
            <w:vAlign w:val="center"/>
          </w:tcPr>
          <w:p>
            <w:r>
              <w:t>CV RMSE</w:t>
            </w:r>
          </w:p>
        </w:tc>
        <w:tc>
          <w:tcPr>
            <w:tcW w:type="dxa" w:w="6048"/>
            <w:vAlign w:val="center"/>
          </w:tcPr>
          <w:p>
            <w:r>
              <w:t>71.5652</w:t>
            </w:r>
          </w:p>
        </w:tc>
      </w:tr>
      <w:tr>
        <w:tc>
          <w:tcPr>
            <w:tcW w:type="dxa" w:w="3312"/>
            <w:vAlign w:val="center"/>
          </w:tcPr>
          <w:p>
            <w:r>
              <w:t>Mejores parámetros</w:t>
            </w:r>
          </w:p>
        </w:tc>
        <w:tc>
          <w:tcPr>
            <w:tcW w:type="dxa" w:w="6048"/>
            <w:vAlign w:val="center"/>
          </w:tcPr>
          <w:p>
            <w:r>
              <w:t>{'poly__degree': 1, 'ridge__alpha': 10}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34872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_beisbol_dispers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8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937760" cy="49143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_beisbol_real_vs_predich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9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Interpretación: la curva resume la tendencia global; la dispersión alrededor de la diagonal representa error no explicado por bateos.</w:t>
      </w:r>
    </w:p>
    <w:p>
      <w:pPr>
        <w:pStyle w:val="Heading1"/>
      </w:pPr>
      <w:r>
        <w:t>Conclusiones y limitaciones</w:t>
      </w:r>
    </w:p>
    <w:p>
      <w:pPr>
        <w:pStyle w:val="ListBullet"/>
      </w:pPr>
      <w:r>
        <w:t>La evaluación separada reduce sesgo, pero el conjunto de béisbol es muy pequeño y el resultado depende de la partición.</w:t>
      </w:r>
    </w:p>
    <w:p>
      <w:pPr>
        <w:pStyle w:val="ListBullet"/>
      </w:pPr>
      <w:r>
        <w:t>En cáncer, AUC y recall complementan accuracy ante el costo de falsos negativos.</w:t>
      </w:r>
    </w:p>
    <w:p>
      <w:pPr>
        <w:pStyle w:val="ListBullet"/>
      </w:pPr>
      <w:r>
        <w:t>K-means supone grupos aproximadamente esféricos y es sensible a atípicos.</w:t>
      </w:r>
    </w:p>
    <w:p>
      <w:pPr>
        <w:pStyle w:val="ListBullet"/>
      </w:pPr>
      <w:r>
        <w:t>PCA maximiza varianza, no necesariamente utilidad predictiva o causal.</w:t>
      </w:r>
    </w:p>
    <w:p>
      <w:pPr>
        <w:pStyle w:val="ListBullet"/>
      </w:pPr>
      <w:r>
        <w:t>Los modelos son ejercicios académicos y no deben usarse para decisiones clínicas o financieras reales.</w:t>
      </w:r>
    </w:p>
    <w:p>
      <w:pPr>
        <w:pStyle w:val="Heading1"/>
      </w:pPr>
      <w:r>
        <w:t>Repositorio y reproducibilidad</w:t>
      </w:r>
    </w:p>
    <w:p>
      <w:r>
        <w:rPr>
          <w:b/>
        </w:rPr>
        <w:t xml:space="preserve">Repositorio público de la entrega y de todos los modelos: </w:t>
      </w:r>
      <w:hyperlink r:id="rId23">
        <w:r>
          <w:rPr>
            <w:color w:val="0563C1"/>
            <w:u w:val="single"/>
          </w:rPr>
          <w:t>https://github.com/axelisaak10/evaluacion-2</w:t>
        </w:r>
      </w:hyperlink>
      <w:r>
        <w:t>. Incluye datos, seis notebooks ejecutados, modelos joblib, métricas JSON/CSV, figuras y dependencias.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Reporte académico reproducible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ANÁLISIS DE APRENDIZAJE AUTOMÁTICO | SA · DE · AU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64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hyperlink" Target="https://github.com/axelisaak10/evaluacion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