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Tax Invoice</w:t>
      </w:r>
    </w:p>
    <w:p>
      <w:pPr>
        <w:pStyle w:val="BodyText"/>
      </w:pPr>
      <w:r>
        <w:drawing>
          <wp:inline>
            <wp:extent cx="5334000" cy="928591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lockup-h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Tax invoice</w:t>
      </w:r>
    </w:p>
    <w:bookmarkStart w:id="12" w:name="invoice-axi-2026-0001"/>
    <w:p>
      <w:pPr>
        <w:pStyle w:val="Heading1"/>
      </w:pPr>
      <w:r>
        <w:t xml:space="preserve">Invoice AXI-2026-0001</w:t>
      </w:r>
    </w:p>
    <w:p>
      <w:pPr>
        <w:pStyle w:val="FirstParagraph"/>
      </w:pPr>
      <w:r>
        <w:t xml:space="preserve">Invoice date</w:t>
      </w:r>
      <w:r>
        <w:t xml:space="preserve">21 September 2026</w:t>
      </w:r>
    </w:p>
    <w:p>
      <w:pPr>
        <w:pStyle w:val="BodyText"/>
      </w:pPr>
      <w:r>
        <w:t xml:space="preserve">Place of supply</w:t>
      </w:r>
      <w:r>
        <w:t xml:space="preserve">Chhattisgarh (22)</w:t>
      </w:r>
    </w:p>
    <w:p>
      <w:pPr>
        <w:pStyle w:val="BodyText"/>
      </w:pPr>
      <w:r>
        <w:t xml:space="preserve">Billed to</w:t>
      </w:r>
      <w:r>
        <w:t xml:space="preserve"> </w:t>
      </w:r>
    </w:p>
    <w:p>
      <w:pPr>
        <w:pStyle w:val="BodyText"/>
      </w:pPr>
      <w:r>
        <w:t xml:space="preserve">Student GSTIN / PAN</w:t>
      </w:r>
      <w:r>
        <w:t xml:space="preserve">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Taxable value</w:t>
            </w:r>
          </w:p>
        </w:tc>
        <w:tc>
          <w:tcPr/>
          <w:p>
            <w:pPr>
              <w:pStyle w:val="Compact"/>
            </w:pPr>
            <w:r>
              <w:t xml:space="preserve">CGST 9%</w:t>
            </w:r>
          </w:p>
        </w:tc>
        <w:tc>
          <w:tcPr/>
          <w:p>
            <w:pPr>
              <w:pStyle w:val="Compact"/>
            </w:pPr>
            <w:r>
              <w:t xml:space="preserve">SGST 9%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 A1 to B2 (CEFR) certification programme</w:t>
            </w:r>
            <w:r>
              <w:br/>
            </w:r>
            <w:r>
              <w:t xml:space="preserve">480 contact hours, 48 weeks, assessed against published criteria</w:t>
            </w:r>
          </w:p>
        </w:tc>
        <w:tc>
          <w:tcPr/>
          <w:p>
            <w:pPr>
              <w:pStyle w:val="Compact"/>
            </w:pPr>
            <w:r>
              <w:t xml:space="preserve">9992</w:t>
            </w:r>
          </w:p>
        </w:tc>
        <w:tc>
          <w:tcPr/>
          <w:p>
            <w:pPr>
              <w:pStyle w:val="Compact"/>
            </w:pPr>
            <w:r>
              <w:t xml:space="preserve">1,52,542.37</w:t>
            </w:r>
          </w:p>
        </w:tc>
        <w:tc>
          <w:tcPr/>
          <w:p>
            <w:pPr>
              <w:pStyle w:val="Compact"/>
            </w:pPr>
            <w:r>
              <w:t xml:space="preserve">13,728.82</w:t>
            </w:r>
          </w:p>
        </w:tc>
        <w:tc>
          <w:tcPr/>
          <w:p>
            <w:pPr>
              <w:pStyle w:val="Compact"/>
            </w:pPr>
            <w:r>
              <w:t xml:space="preserve">13,728.82</w:t>
            </w:r>
          </w:p>
        </w:tc>
        <w:tc>
          <w:tcPr/>
          <w:p>
            <w:pPr>
              <w:pStyle w:val="Compact"/>
            </w:pPr>
            <w:r>
              <w:t xml:space="preserve">1,80,000.00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Total payable (inclusive of GST)</w:t>
            </w:r>
          </w:p>
        </w:tc>
        <w:tc>
          <w:tcPr/>
          <w:p>
            <w:pPr>
              <w:pStyle w:val="Compact"/>
            </w:pPr>
            <w:r>
              <w:t xml:space="preserve">₹1,80,000.00</w:t>
            </w:r>
          </w:p>
        </w:tc>
      </w:tr>
    </w:tbl>
    <w:p>
      <w:pPr>
        <w:pStyle w:val="BodyText"/>
      </w:pPr>
      <w:r>
        <w:t xml:space="preserve">Rupees one lakh eighty thousand only. Reverse charge: not applicable.</w:t>
      </w:r>
    </w:p>
    <w:p>
      <w:pPr>
        <w:pStyle w:val="BodyText"/>
      </w:pPr>
      <w:r>
        <w:rPr>
          <w:b/>
          <w:bCs/>
        </w:rPr>
        <w:t xml:space="preserve">Cancellation and refund.</w:t>
      </w:r>
      <w:r>
        <w:t xml:space="preserve"> </w:t>
      </w:r>
      <w:r>
        <w:t xml:space="preserve">This enrolment is covered by the published Cancellation &amp; Refund Policy in force from 15 September 2026, including a 7 business-day cooling-off window less a ₹2,500 administrative fee. The policy is at overseeducation.com/policies/cancellation-refund and forms part of this invoice.</w:t>
      </w:r>
    </w:p>
    <w:p>
      <w:pPr>
        <w:pStyle w:val="BodyText"/>
      </w:pPr>
      <w:r>
        <w:t xml:space="preserve">This is a computer-generated invoice and is valid without signature. Payments are collected through Cashfree (PCI-DSS). EMI, where offered, is a contract between the student and the financing partner.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2026-09-21T18:57:46Z</dcterms:created>
  <dcterms:modified xsi:type="dcterms:W3CDTF">2026-09-21T18:57:46Z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