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800"/>
        <w:jc w:val="center"/>
      </w:pPr>
      <w:r>
        <w:drawing>
          <wp:inline distT="0" distB="0" distL="0" distR="0">
            <wp:extent cx="1238250" cy="1314450"/>
            <wp:effectExtent t="0" r="0" b="0" l="0"/>
            <wp:docPr id="1" name="logo" descr="Logo del Municipio de Morón" title="Municipio de Mor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C0111A"/>
          <w:sz w:val="48"/>
          <w:szCs w:val="48"/>
        </w:rPr>
        <w:t xml:space="preserve">Guía Educativa y de Formación Laboral 2026</w:t>
      </w:r>
    </w:p>
    <w:p>
      <w:pPr>
        <w:spacing w:after="1000"/>
        <w:jc w:val="center"/>
      </w:pPr>
      <w:r>
        <w:rPr>
          <w:sz w:val="32"/>
          <w:szCs w:val="32"/>
        </w:rPr>
        <w:t xml:space="preserve">Recorrido por el sitio web</w:t>
      </w:r>
    </w:p>
    <w:p>
      <w:pPr>
        <w:jc w:val="center"/>
      </w:pPr>
      <w:r>
        <w:rPr>
          <w:b/>
          <w:bCs/>
          <w:sz w:val="28"/>
          <w:szCs w:val="28"/>
        </w:rPr>
        <w:t xml:space="preserve">Municipio de Morón</w:t>
      </w:r>
    </w:p>
    <w:p>
      <w:pPr>
        <w:pStyle w:val="Heading1"/>
        <w:pageBreakBefore/>
      </w:pPr>
      <w:r>
        <w:t xml:space="preserve">En la computadora</w:t>
      </w:r>
    </w:p>
    <w:p>
      <w:pPr>
        <w:pStyle w:val="Heading2"/>
      </w:pPr>
      <w:r>
        <w:t xml:space="preserve">Inicio</w:t>
      </w:r>
    </w:p>
    <w:p>
      <w:pPr>
        <w:spacing w:after="120" w:line="290"/>
      </w:pPr>
      <w:r>
        <w:t xml:space="preserve">Al entrar, la persona encuentra un buscador y atajos según lo que quiere hacer.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3D6C8" w:sz="4"/>
              <w:left w:val="single" w:color="E3D6C8" w:sz="4"/>
              <w:bottom w:val="single" w:color="E3D6C8" w:sz="4"/>
              <w:right w:val="single" w:color="E3D6C8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3209925"/>
                  <wp:effectExtent t="0" r="0" b="0" l="0"/>
                  <wp:docPr id="1" name="pc-01-portada.png" descr="Inicio" title="Inic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Búsqueda</w:t>
      </w:r>
    </w:p>
    <w:p>
      <w:pPr>
        <w:spacing w:after="120" w:line="290"/>
      </w:pPr>
      <w:r>
        <w:t xml:space="preserve">Al escribir, por ejemplo, “electricista”, aparecen los cursos y las instituciones relacionadas.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3D6C8" w:sz="4"/>
              <w:left w:val="single" w:color="E3D6C8" w:sz="4"/>
              <w:bottom w:val="single" w:color="E3D6C8" w:sz="4"/>
              <w:right w:val="single" w:color="E3D6C8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3209925"/>
                  <wp:effectExtent t="0" r="0" b="0" l="0"/>
                  <wp:docPr id="1" name="pc-02-busqueda.png" descr="Búsqueda" title="Búsqued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</w:pPr>
    </w:p>
    <w:p>
      <w:pPr>
        <w:pStyle w:val="Heading2"/>
        <w:pageBreakBefore/>
      </w:pPr>
      <w:r>
        <w:t xml:space="preserve">Tu camino</w:t>
      </w:r>
    </w:p>
    <w:p>
      <w:pPr>
        <w:spacing w:after="120" w:line="290"/>
      </w:pPr>
      <w:r>
        <w:t xml:space="preserve">La persona elige la frase que se parece a su situación y ve sus opciones y los pasos para empezar.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3D6C8" w:sz="4"/>
              <w:left w:val="single" w:color="E3D6C8" w:sz="4"/>
              <w:bottom w:val="single" w:color="E3D6C8" w:sz="4"/>
              <w:right w:val="single" w:color="E3D6C8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3209925"/>
                  <wp:effectExtent t="0" r="0" b="0" l="0"/>
                  <wp:docPr id="1" name="pc-03-camino.png" descr="Tu camino" title="Tu cami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Historias reales</w:t>
      </w:r>
    </w:p>
    <w:p>
      <w:pPr>
        <w:spacing w:after="120" w:line="290"/>
      </w:pPr>
      <w:r>
        <w:t xml:space="preserve">Testimonios de estudiantes que se animaron a estudiar o capacitarse.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3D6C8" w:sz="4"/>
              <w:left w:val="single" w:color="E3D6C8" w:sz="4"/>
              <w:bottom w:val="single" w:color="E3D6C8" w:sz="4"/>
              <w:right w:val="single" w:color="E3D6C8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3209925"/>
                  <wp:effectExtent t="0" r="0" b="0" l="0"/>
                  <wp:docPr id="1" name="pc-04-historias.png" descr="Historias reales" title="Historias real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</w:pPr>
    </w:p>
    <w:p>
      <w:pPr>
        <w:pStyle w:val="Heading2"/>
        <w:pageBreakBefore/>
      </w:pPr>
      <w:r>
        <w:t xml:space="preserve">Dónde estudiar</w:t>
      </w:r>
    </w:p>
    <w:p>
      <w:pPr>
        <w:spacing w:after="120" w:line="290"/>
      </w:pPr>
      <w:r>
        <w:t xml:space="preserve">Acceso directo a cada nivel educativo.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3D6C8" w:sz="4"/>
              <w:left w:val="single" w:color="E3D6C8" w:sz="4"/>
              <w:bottom w:val="single" w:color="E3D6C8" w:sz="4"/>
              <w:right w:val="single" w:color="E3D6C8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3209925"/>
                  <wp:effectExtent t="0" r="0" b="0" l="0"/>
                  <wp:docPr id="1" name="pc-05-donde-estudiar.png" descr="Dónde estudiar" title="Dónde estudi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Escuelas e institutos</w:t>
      </w:r>
    </w:p>
    <w:p>
      <w:pPr>
        <w:spacing w:after="120" w:line="290"/>
      </w:pPr>
      <w:r>
        <w:t xml:space="preserve">Cada nivel tiene buscador y filtros (acá, secundarias con orientación en Arte). Cada escuela muestra dirección, teléfono, correo y cómo llegar.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3D6C8" w:sz="4"/>
              <w:left w:val="single" w:color="E3D6C8" w:sz="4"/>
              <w:bottom w:val="single" w:color="E3D6C8" w:sz="4"/>
              <w:right w:val="single" w:color="E3D6C8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3209925"/>
                  <wp:effectExtent t="0" r="0" b="0" l="0"/>
                  <wp:docPr id="1" name="pc-06-secundarias-filtro.png" descr="Escuelas e institutos" title="Escuelas e institut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</w:pPr>
    </w:p>
    <w:p>
      <w:pPr>
        <w:pStyle w:val="Heading2"/>
        <w:pageBreakBefore/>
      </w:pPr>
      <w:r>
        <w:t xml:space="preserve">Encontrá tu curso</w:t>
      </w:r>
    </w:p>
    <w:p>
      <w:pPr>
        <w:spacing w:after="120" w:line="290"/>
      </w:pPr>
      <w:r>
        <w:t xml:space="preserve">Buscador de cursos gratuitos por tema, rubro, localidad o centro (acá, “gastronomía”).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3D6C8" w:sz="4"/>
              <w:left w:val="single" w:color="E3D6C8" w:sz="4"/>
              <w:bottom w:val="single" w:color="E3D6C8" w:sz="4"/>
              <w:right w:val="single" w:color="E3D6C8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3209925"/>
                  <wp:effectExtent t="0" r="0" b="0" l="0"/>
                  <wp:docPr id="1" name="pc-07-cursos.png" descr="Encontrá tu curso" title="Encontrá tu curs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Trabajo</w:t>
      </w:r>
    </w:p>
    <w:p>
      <w:pPr>
        <w:spacing w:after="120" w:line="290"/>
      </w:pPr>
      <w:r>
        <w:t xml:space="preserve">Agencia de Empleo, formación para el trabajo y apoyo para emprender.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3D6C8" w:sz="4"/>
              <w:left w:val="single" w:color="E3D6C8" w:sz="4"/>
              <w:bottom w:val="single" w:color="E3D6C8" w:sz="4"/>
              <w:right w:val="single" w:color="E3D6C8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3209925"/>
                  <wp:effectExtent t="0" r="0" b="0" l="0"/>
                  <wp:docPr id="1" name="pc-08-trabajo.png" descr="Trabajo" title="Trabaj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</w:pPr>
    </w:p>
    <w:p>
      <w:pPr>
        <w:pStyle w:val="Heading2"/>
        <w:pageBreakBefore/>
      </w:pPr>
      <w:r>
        <w:t xml:space="preserve">Preguntas frecuentes</w:t>
      </w:r>
    </w:p>
    <w:p>
      <w:pPr>
        <w:spacing w:after="120" w:line="290"/>
      </w:pPr>
      <w:r>
        <w:t xml:space="preserve">Las dudas más comunes, respondidas en lenguaje simple.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3D6C8" w:sz="4"/>
              <w:left w:val="single" w:color="E3D6C8" w:sz="4"/>
              <w:bottom w:val="single" w:color="E3D6C8" w:sz="4"/>
              <w:right w:val="single" w:color="E3D6C8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3209925"/>
                  <wp:effectExtent t="0" r="0" b="0" l="0"/>
                  <wp:docPr id="1" name="pc-09-preguntas.png" descr="Preguntas frecuentes" title="Preguntas frecuent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Accesibilidad</w:t>
      </w:r>
    </w:p>
    <w:p>
      <w:pPr>
        <w:spacing w:after="120" w:line="290"/>
      </w:pPr>
      <w:r>
        <w:t xml:space="preserve">Desde la barra superior se puede agrandar el texto, activar el alto contraste e imprimir.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3D6C8" w:sz="4"/>
              <w:left w:val="single" w:color="E3D6C8" w:sz="4"/>
              <w:bottom w:val="single" w:color="E3D6C8" w:sz="4"/>
              <w:right w:val="single" w:color="E3D6C8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15000" cy="3209925"/>
                  <wp:effectExtent t="0" r="0" b="0" l="0"/>
                  <wp:docPr id="1" name="pc-10-accesibilidad.png" descr="Accesibilidad" title="Accesibilid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</w:pPr>
    </w:p>
    <w:p>
      <w:pPr>
        <w:pStyle w:val="Heading1"/>
        <w:pageBreakBefore/>
      </w:pPr>
      <w:r>
        <w:t xml:space="preserve">En el celular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cantSplit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20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3714750"/>
                  <wp:effectExtent t="0" r="0" b="0" l="0"/>
                  <wp:docPr id="1" name="cel-01-portada.png" descr="Inicio" title="Inic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120"/>
              <w:jc w:val="center"/>
            </w:pPr>
            <w:r>
              <w:rPr>
                <w:b/>
                <w:bCs/>
                <w:color w:val="C0111A"/>
              </w:rPr>
              <w:t xml:space="preserve">Inicio</w:t>
            </w:r>
          </w:p>
          <w:p>
            <w:pPr>
              <w:spacing w:line="260"/>
              <w:jc w:val="center"/>
            </w:pPr>
            <w:r>
              <w:rPr>
                <w:color w:val="5C534D"/>
                <w:sz w:val="19"/>
                <w:szCs w:val="19"/>
              </w:rPr>
              <w:t xml:space="preserve">Se adapta a la pantalla del teléfono.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20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3714750"/>
                  <wp:effectExtent t="0" r="0" b="0" l="0"/>
                  <wp:docPr id="1" name="cel-02-menu.png" descr="Menú" title="Menú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120"/>
              <w:jc w:val="center"/>
            </w:pPr>
            <w:r>
              <w:rPr>
                <w:b/>
                <w:bCs/>
                <w:color w:val="C0111A"/>
              </w:rPr>
              <w:t xml:space="preserve">Menú</w:t>
            </w:r>
          </w:p>
          <w:p>
            <w:pPr>
              <w:spacing w:line="260"/>
              <w:jc w:val="center"/>
            </w:pPr>
            <w:r>
              <w:rPr>
                <w:color w:val="5C534D"/>
                <w:sz w:val="19"/>
                <w:szCs w:val="19"/>
              </w:rPr>
              <w:t xml:space="preserve">Acceso a todas las secciones.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20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3714750"/>
                  <wp:effectExtent t="0" r="0" b="0" l="0"/>
                  <wp:docPr id="1" name="cel-03-camino.png" descr="Tu camino" title="Tu cami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120"/>
              <w:jc w:val="center"/>
            </w:pPr>
            <w:r>
              <w:rPr>
                <w:b/>
                <w:bCs/>
                <w:color w:val="C0111A"/>
              </w:rPr>
              <w:t xml:space="preserve">Tu camino</w:t>
            </w:r>
          </w:p>
          <w:p>
            <w:pPr>
              <w:spacing w:line="260"/>
              <w:jc w:val="center"/>
            </w:pPr>
            <w:r>
              <w:rPr>
                <w:color w:val="5C534D"/>
                <w:sz w:val="19"/>
                <w:szCs w:val="19"/>
              </w:rPr>
              <w:t xml:space="preserve">Opciones y pasos para cada situación.</w:t>
            </w:r>
          </w:p>
        </w:tc>
      </w:tr>
    </w:tbl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cantSplit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20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3714750"/>
                  <wp:effectExtent t="0" r="0" b="0" l="0"/>
                  <wp:docPr id="1" name="cel-04-escuelas.png" descr="Escuelas" title="Escuel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120"/>
              <w:jc w:val="center"/>
            </w:pPr>
            <w:r>
              <w:rPr>
                <w:b/>
                <w:bCs/>
                <w:color w:val="C0111A"/>
              </w:rPr>
              <w:t xml:space="preserve">Escuelas</w:t>
            </w:r>
          </w:p>
          <w:p>
            <w:pPr>
              <w:spacing w:line="260"/>
              <w:jc w:val="center"/>
            </w:pPr>
            <w:r>
              <w:rPr>
                <w:color w:val="5C534D"/>
                <w:sz w:val="19"/>
                <w:szCs w:val="19"/>
              </w:rPr>
              <w:t xml:space="preserve">Llamar, escribir o ver cómo llegar con un toque.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20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3714750"/>
                  <wp:effectExtent t="0" r="0" b="0" l="0"/>
                  <wp:docPr id="1" name="cel-05-cursos.png" descr="Cursos" title="Curs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120"/>
              <w:jc w:val="center"/>
            </w:pPr>
            <w:r>
              <w:rPr>
                <w:b/>
                <w:bCs/>
                <w:color w:val="C0111A"/>
              </w:rPr>
              <w:t xml:space="preserve">Cursos</w:t>
            </w:r>
          </w:p>
          <w:p>
            <w:pPr>
              <w:spacing w:line="260"/>
              <w:jc w:val="center"/>
            </w:pPr>
            <w:r>
              <w:rPr>
                <w:color w:val="5C534D"/>
                <w:sz w:val="19"/>
                <w:szCs w:val="19"/>
              </w:rPr>
              <w:t xml:space="preserve">Resultados de la búsqueda “peluquería”.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20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3714750"/>
                  <wp:effectExtent t="0" r="0" b="0" l="0"/>
                  <wp:docPr id="1" name="cel-06-historias.png" descr="Historias" title="Histori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120"/>
              <w:jc w:val="center"/>
            </w:pPr>
            <w:r>
              <w:rPr>
                <w:b/>
                <w:bCs/>
                <w:color w:val="C0111A"/>
              </w:rPr>
              <w:t xml:space="preserve">Historias</w:t>
            </w:r>
          </w:p>
          <w:p>
            <w:pPr>
              <w:spacing w:line="260"/>
              <w:jc w:val="center"/>
            </w:pPr>
            <w:r>
              <w:rPr>
                <w:color w:val="5C534D"/>
                <w:sz w:val="19"/>
                <w:szCs w:val="19"/>
              </w:rPr>
              <w:t xml:space="preserve">Testimonios de estudiantes.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C534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0111A" w:sz="6" w:space="4"/>
      </w:pBdr>
      <w:jc w:val="right"/>
    </w:pPr>
    <w:r>
      <w:rPr>
        <w:color w:val="5C534D"/>
        <w:sz w:val="16"/>
        <w:szCs w:val="16"/>
      </w:rPr>
      <w:t xml:space="preserve">Municipio de Morón · Guía Educativa y de Formación Laboral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80"/>
      <w:outlineLvl w:val="0"/>
    </w:pPr>
    <w:rPr>
      <w:rFonts w:ascii="Arial" w:cs="Arial" w:eastAsia="Arial" w:hAnsi="Arial"/>
      <w:b/>
      <w:bCs/>
      <w:color w:val="C011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120"/>
      <w:outlineLvl w:val="1"/>
    </w:pPr>
    <w:rPr>
      <w:rFonts w:ascii="Arial" w:cs="Arial" w:eastAsia="Arial" w:hAnsi="Arial"/>
      <w:b/>
      <w:bCs/>
      <w:color w:val="2A242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eaf7b58bfe3993e36afe2383444a5201cfedb9c8.png"/><Relationship Id="rId12" Type="http://schemas.openxmlformats.org/officeDocument/2006/relationships/image" Target="media/ddafa7685fe79864f8ff2534279798c09b0b8835.png"/><Relationship Id="rId13" Type="http://schemas.openxmlformats.org/officeDocument/2006/relationships/image" Target="media/a48c7e025d4fab74fa481350fd68b87c040e0146.png"/><Relationship Id="rId14" Type="http://schemas.openxmlformats.org/officeDocument/2006/relationships/image" Target="media/493194df43cf437c4bae1dbfd5d09d0eb644da35.png"/><Relationship Id="rId15" Type="http://schemas.openxmlformats.org/officeDocument/2006/relationships/image" Target="media/dd2802e0faac166e3066f51e087917f3686db592.png"/><Relationship Id="rId16" Type="http://schemas.openxmlformats.org/officeDocument/2006/relationships/image" Target="media/6deed6884aa05eabee19e2fd24202550db6f725c.png"/><Relationship Id="rId17" Type="http://schemas.openxmlformats.org/officeDocument/2006/relationships/image" Target="media/14ac37c1ef6a9a560895cfdee4d7e7ecf1fb14d8.png"/><Relationship Id="rId18" Type="http://schemas.openxmlformats.org/officeDocument/2006/relationships/image" Target="media/772bc254059662b2cd534dcf4ea0b29a31a32799.png"/><Relationship Id="rId19" Type="http://schemas.openxmlformats.org/officeDocument/2006/relationships/image" Target="media/546031db82e607323b3b46713c35361dc65c5041.png"/><Relationship Id="rId20" Type="http://schemas.openxmlformats.org/officeDocument/2006/relationships/image" Target="media/a2a4b9aef37c200f705c5a1da11d3598fc15072b.png"/><Relationship Id="rId21" Type="http://schemas.openxmlformats.org/officeDocument/2006/relationships/image" Target="media/c27fb5595f50d99f59b989f066e671d33fdb60c8.png"/><Relationship Id="rId22" Type="http://schemas.openxmlformats.org/officeDocument/2006/relationships/image" Target="media/1d665f704640229b7ca7b4ffb320c53b61de3404.png"/><Relationship Id="rId23" Type="http://schemas.openxmlformats.org/officeDocument/2006/relationships/image" Target="media/15448d8f990bdca1ed44142c734cd4bdad343250.png"/><Relationship Id="rId24" Type="http://schemas.openxmlformats.org/officeDocument/2006/relationships/image" Target="media/7aa3030c98b390dc260407aa776a238b9ee0fe42.png"/><Relationship Id="rId25" Type="http://schemas.openxmlformats.org/officeDocument/2006/relationships/image" Target="media/a1573fe3bb56f8239cc55372ee5c84aa60fd40ff.png"/><Relationship Id="rId26" Type="http://schemas.openxmlformats.org/officeDocument/2006/relationships/image" Target="media/7dba7010452315e8f46b71581b0e24f58b0ee26e.png"/><Relationship Id="rId27" Type="http://schemas.openxmlformats.org/officeDocument/2006/relationships/image" Target="media/2ee3c44a5e95e86893f076a1582ffc99c63d96fc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Educativa y de Formación Laboral 2026 – Recorrido por el sitio web</dc:title>
  <dc:creator>Municipio de Morón</dc:creator>
  <cp:lastModifiedBy>Un-named</cp:lastModifiedBy>
  <cp:revision>1</cp:revision>
  <dcterms:created xsi:type="dcterms:W3CDTF">2026-10-14T02:17:43.024Z</dcterms:created>
  <dcterms:modified xsi:type="dcterms:W3CDTF">2026-10-14T02:17:43.025Z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